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580"/>
              <w:spacing w:after="0"/>
              <w:rPr>
                <w:sz w:val="20"/>
                <w:szCs w:val="20"/>
                <w:color w:val="auto"/>
              </w:rPr>
            </w:pPr>
            <w:r>
              <w:rPr>
                <w:rFonts w:ascii="Arial" w:cs="Arial" w:eastAsia="Arial" w:hAnsi="Arial"/>
                <w:sz w:val="18"/>
                <w:szCs w:val="18"/>
                <w:color w:val="auto"/>
                <w:w w:val="88"/>
              </w:rPr>
              <w:t>June 6, 2016</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6, 2016, Oil-Dri Corporation of America (the “Registrant”) issued a press release announcing its results of operations for its third quarter ended April 30, 2016.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70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700" w:type="dxa"/>
            <w:vAlign w:val="bottom"/>
          </w:tcPr>
          <w:p>
            <w:pPr>
              <w:ind w:left="40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Press Release of the Registrant dated June 6, 2016 (Quarterly Earnings)</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2016</w:t>
      </w:r>
    </w:p>
    <w:p>
      <w:pPr>
        <w:sectPr>
          <w:pgSz w:w="11900" w:h="16838" w:orient="portrait"/>
          <w:cols w:equalWidth="0" w:num="1">
            <w:col w:w="10880"/>
          </w:cols>
          <w:pgMar w:left="240" w:top="580" w:right="7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00" w:type="dxa"/>
            <w:vAlign w:val="bottom"/>
            <w:gridSpan w:val="3"/>
          </w:tcPr>
          <w:p>
            <w:pPr>
              <w:ind w:left="3500"/>
              <w:spacing w:after="0"/>
              <w:rPr>
                <w:sz w:val="20"/>
                <w:szCs w:val="20"/>
                <w:color w:val="auto"/>
              </w:rPr>
            </w:pPr>
            <w:r>
              <w:rPr>
                <w:rFonts w:ascii="Arial" w:cs="Arial" w:eastAsia="Arial" w:hAnsi="Arial"/>
                <w:sz w:val="18"/>
                <w:szCs w:val="18"/>
                <w:color w:val="auto"/>
              </w:rPr>
              <w:t>Exhibit Index</w:t>
            </w:r>
          </w:p>
        </w:tc>
      </w:tr>
      <w:tr>
        <w:trPr>
          <w:trHeight w:val="615"/>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350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3500" w:type="dxa"/>
            <w:vAlign w:val="bottom"/>
          </w:tcPr>
          <w:p>
            <w:pPr>
              <w:spacing w:after="0"/>
              <w:rPr>
                <w:sz w:val="23"/>
                <w:szCs w:val="23"/>
                <w:color w:val="auto"/>
              </w:rPr>
            </w:pPr>
          </w:p>
        </w:tc>
        <w:tc>
          <w:tcPr>
            <w:tcW w:w="6200" w:type="dxa"/>
            <w:vAlign w:val="bottom"/>
            <w:gridSpan w:val="2"/>
          </w:tcPr>
          <w:p>
            <w:pPr>
              <w:ind w:left="52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9700" w:type="dxa"/>
            <w:vAlign w:val="bottom"/>
            <w:gridSpan w:val="3"/>
          </w:tcPr>
          <w:p>
            <w:pPr>
              <w:ind w:left="40"/>
              <w:spacing w:after="0"/>
              <w:rPr>
                <w:sz w:val="20"/>
                <w:szCs w:val="20"/>
                <w:color w:val="auto"/>
              </w:rPr>
            </w:pPr>
            <w:r>
              <w:rPr>
                <w:rFonts w:ascii="Arial" w:cs="Arial" w:eastAsia="Arial" w:hAnsi="Arial"/>
                <w:sz w:val="18"/>
                <w:szCs w:val="18"/>
                <w:color w:val="auto"/>
              </w:rPr>
              <w:t>Press Release of the Registrant dated June 6, 2016 (Quarterly Earnings)</w:t>
            </w:r>
          </w:p>
        </w:tc>
      </w:tr>
    </w:tbl>
    <w:p>
      <w:pPr>
        <w:sectPr>
          <w:pgSz w:w="11900" w:h="16838" w:orient="portrait"/>
          <w:cols w:equalWidth="0" w:num="1">
            <w:col w:w="11420"/>
          </w:cols>
          <w:pgMar w:left="240" w:top="56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3"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Third Quarter and First Nine Months of Fiscal 2016 Results</w:t>
      </w:r>
    </w:p>
    <w:p>
      <w:pPr>
        <w:spacing w:after="0" w:line="26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CHICAGO-(June 6, 2016)-Oil-Dri Corporation of America (NYSE: ODC) today announced a net loss for the third quarter of fiscal 2016 of $892,000, or ($0.13) per diluted share, compared to net income of $1,385,000, or $0.19 of earnings per diluted share, in the same quarter of the prior year. Net sales of $64,235,000 in the quarter decreased by 1% compared to net sales of $65,196,000 in the same quarter of the prior year.</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Despite the recent quarter’s loss, net income for the first nine-months was $8,352,000, or $1.15 of earnings per diluted share, a 31% increase compared to net income of $6,302,000, or $0.88 of earnings per diluted share, in the same period of fiscal 2015. Net sales for the nine-month period were $197,397,000, a 1% increase compared to net sales of $195,883,000 in the same period one year ago.</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REVIEW</w:t>
      </w:r>
    </w:p>
    <w:p>
      <w:pPr>
        <w:spacing w:after="0" w:line="266"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President and Chief Executive Officer Daniel S. Jaffee said, “The $892,000 loss reported for the quarter is primarily the result of an increase of $7,279,000 in Selling, General and Administrative Expenses (“SG&amp;A expense”) compared to the same quarter a year ago. The increased SG&amp;A expense was in support of our Cat’s Pride Fresh &amp; Light Ultimate Care cat litter. Our cash and short-term investments have nearly doubled in the past year despite the increased spending to support our Ultimate Care products.</w:t>
      </w:r>
    </w:p>
    <w:p>
      <w:pPr>
        <w:spacing w:after="0" w:line="143"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“Our integrated marketing campaign featuring Katherine Heigl, which was described in depth in a press release issued on March 7, 2016, is off to a great start. In addition to network television advertising, Katherine Heigl recently appeared on the popular ABC network daytime television program “The View,” which has millions of viewers. During the episode, she talked about Cat’s Pride and our partnership with the Jason Debus Heigl Foundation. Katherine Heigl also spoke about her foundation’s partnership with Cat’s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937" w:right="239" w:bottom="1440" w:gutter="0" w:footer="0" w:header="0"/>
        </w:sectPr>
      </w:pPr>
    </w:p>
    <w:bookmarkStart w:id="5" w:name="page6"/>
    <w:bookmarkEnd w:id="5"/>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Pride on the Howard Stern show, which also has millions of followers on Sirius XM radio.</w:t>
      </w:r>
    </w:p>
    <w:p>
      <w:pPr>
        <w:spacing w:after="0" w:line="220" w:lineRule="exact"/>
        <w:rPr>
          <w:sz w:val="20"/>
          <w:szCs w:val="20"/>
          <w:color w:val="auto"/>
        </w:rPr>
      </w:pPr>
    </w:p>
    <w:p>
      <w:pPr>
        <w:jc w:val="both"/>
        <w:ind w:right="40"/>
        <w:spacing w:after="0" w:line="312" w:lineRule="auto"/>
        <w:rPr>
          <w:sz w:val="20"/>
          <w:szCs w:val="20"/>
          <w:color w:val="auto"/>
        </w:rPr>
      </w:pPr>
      <w:r>
        <w:rPr>
          <w:rFonts w:ascii="Arial" w:cs="Arial" w:eastAsia="Arial" w:hAnsi="Arial"/>
          <w:sz w:val="19"/>
          <w:szCs w:val="19"/>
          <w:color w:val="auto"/>
        </w:rPr>
        <w:t>“Third party market research data for the latest four-week period ending May 22, 2016 detailed that sales of Ultimate Care grew 63% and Fresh &amp; Light grew 12%. In the twelve-week period, Ultimate Care was up 38% and Fresh &amp; Light was up 0.5%. The two brands now have a combined market share of 2.5% for the four-week period and 2.4% for the twelve-week period.</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“We also experienced continued positive results in the Business to Business segment with increases in both sales and income for the quarter and nine-month periods.</w:t>
      </w:r>
    </w:p>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“Both segments contributed to the significant increase in gross profit margin of 28.9% compared to 22.1% for the quarter and 29.5% compared to 22.2% for the nine-month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120"/>
          </w:cols>
          <w:pgMar w:left="240" w:top="1440" w:right="539" w:bottom="1440" w:gutter="0" w:footer="0" w:header="0"/>
        </w:sectPr>
      </w:pPr>
    </w:p>
    <w:bookmarkStart w:id="6" w:name="page7"/>
    <w:bookmarkEnd w:id="6"/>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700"/>
        <w:spacing w:after="0"/>
        <w:rPr>
          <w:sz w:val="20"/>
          <w:szCs w:val="20"/>
          <w:color w:val="auto"/>
        </w:rPr>
      </w:pPr>
      <w:r>
        <w:rPr>
          <w:rFonts w:ascii="Arial" w:cs="Arial" w:eastAsia="Arial" w:hAnsi="Arial"/>
          <w:sz w:val="22"/>
          <w:szCs w:val="22"/>
          <w:b w:val="1"/>
          <w:bCs w:val="1"/>
          <w:color w:val="auto"/>
        </w:rPr>
        <w:t>SEGMENT REVIEW</w:t>
      </w:r>
    </w:p>
    <w:p>
      <w:pPr>
        <w:spacing w:after="0" w:line="220"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BUSINESS TO BUSINESS</w:t>
      </w:r>
    </w:p>
    <w:p>
      <w:pPr>
        <w:spacing w:after="0" w:line="15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40" w:type="dxa"/>
            <w:vAlign w:val="bottom"/>
            <w:gridSpan w:val="3"/>
          </w:tcPr>
          <w:p>
            <w:pPr>
              <w:jc w:val="right"/>
              <w:ind w:right="145"/>
              <w:spacing w:after="0"/>
              <w:rPr>
                <w:sz w:val="20"/>
                <w:szCs w:val="20"/>
                <w:color w:val="auto"/>
              </w:rPr>
            </w:pPr>
            <w:r>
              <w:rPr>
                <w:rFonts w:ascii="Arial" w:cs="Arial" w:eastAsia="Arial" w:hAnsi="Arial"/>
                <w:sz w:val="19"/>
                <w:szCs w:val="19"/>
                <w:b w:val="1"/>
                <w:bCs w:val="1"/>
                <w:color w:val="auto"/>
              </w:rPr>
              <w:t>Three-Month Period</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40" w:type="dxa"/>
            <w:vAlign w:val="bottom"/>
            <w:gridSpan w:val="3"/>
          </w:tcPr>
          <w:p>
            <w:pPr>
              <w:jc w:val="right"/>
              <w:ind w:right="125"/>
              <w:spacing w:after="0"/>
              <w:rPr>
                <w:sz w:val="20"/>
                <w:szCs w:val="20"/>
                <w:color w:val="auto"/>
              </w:rPr>
            </w:pPr>
            <w:r>
              <w:rPr>
                <w:rFonts w:ascii="Arial" w:cs="Arial" w:eastAsia="Arial" w:hAnsi="Arial"/>
                <w:sz w:val="19"/>
                <w:szCs w:val="19"/>
                <w:b w:val="1"/>
                <w:bCs w:val="1"/>
                <w:color w:val="auto"/>
              </w:rPr>
              <w:t>February 1 - April 30</w:t>
            </w: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9"/>
                <w:szCs w:val="19"/>
                <w:b w:val="1"/>
                <w:bCs w:val="1"/>
                <w:color w:val="auto"/>
                <w:w w:val="88"/>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9"/>
                <w:szCs w:val="19"/>
                <w:b w:val="1"/>
                <w:bCs w:val="1"/>
                <w:color w:val="auto"/>
              </w:rPr>
              <w:t>Fiscal 2016</w:t>
            </w:r>
          </w:p>
        </w:tc>
        <w:tc>
          <w:tcPr>
            <w:tcW w:w="9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rPr>
              <w:t>Fiscal 2015</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640" w:type="dxa"/>
            <w:vAlign w:val="bottom"/>
            <w:tcBorders>
              <w:top w:val="single" w:sz="8" w:color="auto"/>
            </w:tcBorders>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22,473,000</w:t>
            </w:r>
          </w:p>
        </w:tc>
        <w:tc>
          <w:tcPr>
            <w:tcW w:w="300" w:type="dxa"/>
            <w:vAlign w:val="bottom"/>
          </w:tcPr>
          <w:p>
            <w:pPr>
              <w:spacing w:after="0"/>
              <w:rPr>
                <w:sz w:val="20"/>
                <w:szCs w:val="20"/>
                <w:color w:val="auto"/>
              </w:rPr>
            </w:pPr>
          </w:p>
        </w:tc>
        <w:tc>
          <w:tcPr>
            <w:tcW w:w="940" w:type="dxa"/>
            <w:vAlign w:val="bottom"/>
            <w:tcBorders>
              <w:top w:val="single" w:sz="8" w:color="auto"/>
            </w:tcBorders>
          </w:tcPr>
          <w:p>
            <w:pPr>
              <w:jc w:val="right"/>
              <w:ind w:right="725"/>
              <w:spacing w:after="0"/>
              <w:rPr>
                <w:sz w:val="20"/>
                <w:szCs w:val="20"/>
                <w:color w:val="auto"/>
              </w:rPr>
            </w:pPr>
            <w:r>
              <w:rPr>
                <w:rFonts w:ascii="Arial" w:cs="Arial" w:eastAsia="Arial" w:hAnsi="Arial"/>
                <w:sz w:val="19"/>
                <w:szCs w:val="19"/>
                <w:color w:val="auto"/>
                <w:w w:val="94"/>
              </w:rPr>
              <w:t>$</w:t>
            </w:r>
          </w:p>
        </w:tc>
        <w:tc>
          <w:tcPr>
            <w:tcW w:w="12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21,854,000</w:t>
            </w:r>
          </w:p>
        </w:tc>
        <w:tc>
          <w:tcPr>
            <w:tcW w:w="3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9"/>
                <w:szCs w:val="19"/>
                <w:color w:val="auto"/>
                <w:w w:val="94"/>
              </w:rPr>
              <w:t>3%</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64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7,304,000</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5"/>
              <w:spacing w:after="0"/>
              <w:rPr>
                <w:sz w:val="20"/>
                <w:szCs w:val="20"/>
                <w:color w:val="auto"/>
              </w:rPr>
            </w:pPr>
            <w:r>
              <w:rPr>
                <w:rFonts w:ascii="Arial" w:cs="Arial" w:eastAsia="Arial" w:hAnsi="Arial"/>
                <w:sz w:val="19"/>
                <w:szCs w:val="19"/>
                <w:color w:val="auto"/>
                <w:w w:val="94"/>
              </w:rPr>
              <w:t>$</w:t>
            </w:r>
          </w:p>
        </w:tc>
        <w:tc>
          <w:tcPr>
            <w:tcW w:w="12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6,676,000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9"/>
                <w:szCs w:val="19"/>
                <w:color w:val="auto"/>
                <w:w w:val="94"/>
              </w:rPr>
              <w:t>9%</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Nine-Month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00" w:type="dxa"/>
            <w:vAlign w:val="bottom"/>
            <w:gridSpan w:val="3"/>
          </w:tcPr>
          <w:p>
            <w:pPr>
              <w:jc w:val="right"/>
              <w:ind w:right="165"/>
              <w:spacing w:after="0"/>
              <w:rPr>
                <w:sz w:val="20"/>
                <w:szCs w:val="20"/>
                <w:color w:val="auto"/>
              </w:rPr>
            </w:pPr>
            <w:r>
              <w:rPr>
                <w:rFonts w:ascii="Arial" w:cs="Arial" w:eastAsia="Arial" w:hAnsi="Arial"/>
                <w:sz w:val="19"/>
                <w:szCs w:val="19"/>
                <w:b w:val="1"/>
                <w:bCs w:val="1"/>
                <w:color w:val="auto"/>
              </w:rPr>
              <w:t>Nine-Month Period</w:t>
            </w: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00" w:type="dxa"/>
            <w:vAlign w:val="bottom"/>
            <w:gridSpan w:val="3"/>
          </w:tcPr>
          <w:p>
            <w:pPr>
              <w:jc w:val="right"/>
              <w:ind w:right="165"/>
              <w:spacing w:after="0"/>
              <w:rPr>
                <w:sz w:val="20"/>
                <w:szCs w:val="20"/>
                <w:color w:val="auto"/>
              </w:rPr>
            </w:pPr>
            <w:r>
              <w:rPr>
                <w:rFonts w:ascii="Arial" w:cs="Arial" w:eastAsia="Arial" w:hAnsi="Arial"/>
                <w:sz w:val="19"/>
                <w:szCs w:val="19"/>
                <w:b w:val="1"/>
                <w:bCs w:val="1"/>
                <w:color w:val="auto"/>
              </w:rPr>
              <w:t>August 1 - April 30</w:t>
            </w:r>
          </w:p>
        </w:tc>
        <w:tc>
          <w:tcPr>
            <w:tcW w:w="1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9"/>
                <w:szCs w:val="19"/>
                <w:b w:val="1"/>
                <w:bCs w:val="1"/>
                <w:color w:val="auto"/>
              </w:rPr>
              <w:t>Fiscal 2016</w:t>
            </w:r>
          </w:p>
        </w:tc>
        <w:tc>
          <w:tcPr>
            <w:tcW w:w="9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rPr>
              <w:t>Fiscal 2015</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640" w:type="dxa"/>
            <w:vAlign w:val="bottom"/>
            <w:tcBorders>
              <w:top w:val="single" w:sz="8" w:color="auto"/>
            </w:tcBorders>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70,919,000</w:t>
            </w:r>
          </w:p>
        </w:tc>
        <w:tc>
          <w:tcPr>
            <w:tcW w:w="300" w:type="dxa"/>
            <w:vAlign w:val="bottom"/>
          </w:tcPr>
          <w:p>
            <w:pPr>
              <w:spacing w:after="0"/>
              <w:rPr>
                <w:sz w:val="20"/>
                <w:szCs w:val="20"/>
                <w:color w:val="auto"/>
              </w:rPr>
            </w:pPr>
          </w:p>
        </w:tc>
        <w:tc>
          <w:tcPr>
            <w:tcW w:w="900" w:type="dxa"/>
            <w:vAlign w:val="bottom"/>
            <w:tcBorders>
              <w:top w:val="single" w:sz="8" w:color="auto"/>
            </w:tcBorders>
          </w:tcPr>
          <w:p>
            <w:pPr>
              <w:jc w:val="right"/>
              <w:ind w:right="685"/>
              <w:spacing w:after="0"/>
              <w:rPr>
                <w:sz w:val="20"/>
                <w:szCs w:val="20"/>
                <w:color w:val="auto"/>
              </w:rPr>
            </w:pPr>
            <w:r>
              <w:rPr>
                <w:rFonts w:ascii="Arial" w:cs="Arial" w:eastAsia="Arial" w:hAnsi="Arial"/>
                <w:sz w:val="19"/>
                <w:szCs w:val="19"/>
                <w:color w:val="auto"/>
                <w:w w:val="94"/>
              </w:rPr>
              <w:t>$</w:t>
            </w:r>
          </w:p>
        </w:tc>
        <w:tc>
          <w:tcPr>
            <w:tcW w:w="124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68,549,000</w:t>
            </w:r>
          </w:p>
        </w:tc>
        <w:tc>
          <w:tcPr>
            <w:tcW w:w="300" w:type="dxa"/>
            <w:vAlign w:val="bottom"/>
          </w:tcPr>
          <w:p>
            <w:pPr>
              <w:spacing w:after="0"/>
              <w:rPr>
                <w:sz w:val="20"/>
                <w:szCs w:val="20"/>
                <w:color w:val="auto"/>
              </w:rPr>
            </w:pPr>
          </w:p>
        </w:tc>
        <w:tc>
          <w:tcPr>
            <w:tcW w:w="1420" w:type="dxa"/>
            <w:vAlign w:val="bottom"/>
          </w:tcPr>
          <w:p>
            <w:pPr>
              <w:jc w:val="right"/>
              <w:ind w:right="485"/>
              <w:spacing w:after="0"/>
              <w:rPr>
                <w:sz w:val="20"/>
                <w:szCs w:val="20"/>
                <w:color w:val="auto"/>
              </w:rPr>
            </w:pPr>
            <w:r>
              <w:rPr>
                <w:rFonts w:ascii="Arial" w:cs="Arial" w:eastAsia="Arial" w:hAnsi="Arial"/>
                <w:sz w:val="19"/>
                <w:szCs w:val="19"/>
                <w:color w:val="auto"/>
              </w:rPr>
              <w:t>3%</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64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24,049,000</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85"/>
              <w:spacing w:after="0"/>
              <w:rPr>
                <w:sz w:val="20"/>
                <w:szCs w:val="20"/>
                <w:color w:val="auto"/>
              </w:rPr>
            </w:pPr>
            <w:r>
              <w:rPr>
                <w:rFonts w:ascii="Arial" w:cs="Arial" w:eastAsia="Arial" w:hAnsi="Arial"/>
                <w:sz w:val="19"/>
                <w:szCs w:val="19"/>
                <w:color w:val="auto"/>
                <w:w w:val="94"/>
              </w:rPr>
              <w:t>$</w:t>
            </w:r>
          </w:p>
        </w:tc>
        <w:tc>
          <w:tcPr>
            <w:tcW w:w="12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20,990,000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45"/>
              <w:spacing w:after="0"/>
              <w:rPr>
                <w:sz w:val="20"/>
                <w:szCs w:val="20"/>
                <w:color w:val="auto"/>
              </w:rPr>
            </w:pPr>
            <w:r>
              <w:rPr>
                <w:rFonts w:ascii="Arial" w:cs="Arial" w:eastAsia="Arial" w:hAnsi="Arial"/>
                <w:sz w:val="19"/>
                <w:szCs w:val="19"/>
                <w:color w:val="auto"/>
              </w:rPr>
              <w:t>15%</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4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Sales of our Amlan animal health products increased 13% in the quarter, driven by sales in China and other Asian markets. Year-to-date sales of Amlan products were equal to the prior year.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Our fluids purification products recorded higher sales to customers in both the quarter and the nine-month periods.</w:t>
      </w:r>
    </w:p>
    <w:p>
      <w:pPr>
        <w:spacing w:after="0" w:line="260"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Verge engineered granules and Agsorb agricultural carriers were essentially flat for the quarter but reported 17% higher sales for the nine-month period.</w:t>
      </w:r>
    </w:p>
    <w:p>
      <w:pPr>
        <w:spacing w:after="0" w:line="215" w:lineRule="exact"/>
        <w:rPr>
          <w:sz w:val="20"/>
          <w:szCs w:val="20"/>
          <w:color w:val="auto"/>
        </w:rPr>
      </w:pPr>
    </w:p>
    <w:p>
      <w:pPr>
        <w:ind w:right="140"/>
        <w:spacing w:after="0" w:line="287" w:lineRule="auto"/>
        <w:rPr>
          <w:sz w:val="20"/>
          <w:szCs w:val="20"/>
          <w:color w:val="auto"/>
        </w:rPr>
      </w:pPr>
      <w:r>
        <w:rPr>
          <w:rFonts w:ascii="Arial" w:cs="Arial" w:eastAsia="Arial" w:hAnsi="Arial"/>
          <w:sz w:val="21"/>
          <w:szCs w:val="21"/>
          <w:color w:val="auto"/>
        </w:rPr>
        <w:t>Segment income improved in both periods due to lower natural gas, freight and packaging costs, which more than offset increased marketing costs supporting the launch of Varium and NeoPrime, our two newest intestinal health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00"/>
          </w:cols>
          <w:pgMar w:left="240" w:top="1440" w:right="259" w:bottom="1440" w:gutter="0" w:footer="0" w:header="0"/>
        </w:sectPr>
      </w:pPr>
    </w:p>
    <w:bookmarkStart w:id="7" w:name="page8"/>
    <w:bookmarkEnd w:id="7"/>
    <w:p>
      <w:pPr>
        <w:ind w:left="43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RETAIL AND WHOLESALE</w:t>
      </w:r>
    </w:p>
    <w:p>
      <w:pPr>
        <w:spacing w:after="0" w:line="152" w:lineRule="exact"/>
        <w:rPr>
          <w:sz w:val="20"/>
          <w:szCs w:val="20"/>
          <w:color w:val="auto"/>
        </w:rPr>
      </w:pPr>
    </w:p>
    <w:p>
      <w:pPr>
        <w:ind w:left="4760"/>
        <w:spacing w:after="0"/>
        <w:rPr>
          <w:sz w:val="20"/>
          <w:szCs w:val="20"/>
          <w:color w:val="auto"/>
        </w:rPr>
      </w:pPr>
      <w:r>
        <w:rPr>
          <w:rFonts w:ascii="Arial" w:cs="Arial" w:eastAsia="Arial" w:hAnsi="Arial"/>
          <w:sz w:val="22"/>
          <w:szCs w:val="22"/>
          <w:b w:val="1"/>
          <w:bCs w:val="1"/>
          <w:color w:val="auto"/>
        </w:rPr>
        <w:t>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40" w:type="dxa"/>
            <w:vAlign w:val="bottom"/>
            <w:gridSpan w:val="3"/>
          </w:tcPr>
          <w:p>
            <w:pPr>
              <w:jc w:val="right"/>
              <w:ind w:right="145"/>
              <w:spacing w:after="0"/>
              <w:rPr>
                <w:sz w:val="20"/>
                <w:szCs w:val="20"/>
                <w:color w:val="auto"/>
              </w:rPr>
            </w:pPr>
            <w:r>
              <w:rPr>
                <w:rFonts w:ascii="Arial" w:cs="Arial" w:eastAsia="Arial" w:hAnsi="Arial"/>
                <w:sz w:val="19"/>
                <w:szCs w:val="19"/>
                <w:b w:val="1"/>
                <w:bCs w:val="1"/>
                <w:color w:val="auto"/>
              </w:rPr>
              <w:t>Three-Month Period</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740" w:type="dxa"/>
            <w:vAlign w:val="bottom"/>
            <w:gridSpan w:val="3"/>
          </w:tcPr>
          <w:p>
            <w:pPr>
              <w:jc w:val="right"/>
              <w:ind w:right="125"/>
              <w:spacing w:after="0"/>
              <w:rPr>
                <w:sz w:val="20"/>
                <w:szCs w:val="20"/>
                <w:color w:val="auto"/>
              </w:rPr>
            </w:pPr>
            <w:r>
              <w:rPr>
                <w:rFonts w:ascii="Arial" w:cs="Arial" w:eastAsia="Arial" w:hAnsi="Arial"/>
                <w:sz w:val="19"/>
                <w:szCs w:val="19"/>
                <w:b w:val="1"/>
                <w:bCs w:val="1"/>
                <w:color w:val="auto"/>
              </w:rPr>
              <w:t>February 1 - April 30</w:t>
            </w:r>
          </w:p>
        </w:tc>
        <w:tc>
          <w:tcPr>
            <w:tcW w:w="1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9"/>
                <w:szCs w:val="19"/>
                <w:b w:val="1"/>
                <w:bCs w:val="1"/>
                <w:color w:val="auto"/>
              </w:rPr>
              <w:t>Fiscal 2016</w:t>
            </w:r>
          </w:p>
        </w:tc>
        <w:tc>
          <w:tcPr>
            <w:tcW w:w="9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rPr>
              <w:t>Fiscal 2015</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640" w:type="dxa"/>
            <w:vAlign w:val="bottom"/>
            <w:tcBorders>
              <w:top w:val="single" w:sz="8" w:color="auto"/>
            </w:tcBorders>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41,762,000</w:t>
            </w:r>
          </w:p>
        </w:tc>
        <w:tc>
          <w:tcPr>
            <w:tcW w:w="300" w:type="dxa"/>
            <w:vAlign w:val="bottom"/>
          </w:tcPr>
          <w:p>
            <w:pPr>
              <w:spacing w:after="0"/>
              <w:rPr>
                <w:sz w:val="20"/>
                <w:szCs w:val="20"/>
                <w:color w:val="auto"/>
              </w:rPr>
            </w:pPr>
          </w:p>
        </w:tc>
        <w:tc>
          <w:tcPr>
            <w:tcW w:w="940" w:type="dxa"/>
            <w:vAlign w:val="bottom"/>
            <w:tcBorders>
              <w:top w:val="single" w:sz="8" w:color="auto"/>
            </w:tcBorders>
          </w:tcPr>
          <w:p>
            <w:pPr>
              <w:jc w:val="right"/>
              <w:ind w:right="725"/>
              <w:spacing w:after="0"/>
              <w:rPr>
                <w:sz w:val="20"/>
                <w:szCs w:val="20"/>
                <w:color w:val="auto"/>
              </w:rPr>
            </w:pPr>
            <w:r>
              <w:rPr>
                <w:rFonts w:ascii="Arial" w:cs="Arial" w:eastAsia="Arial" w:hAnsi="Arial"/>
                <w:sz w:val="19"/>
                <w:szCs w:val="19"/>
                <w:color w:val="auto"/>
                <w:w w:val="94"/>
              </w:rPr>
              <w:t>$</w:t>
            </w:r>
          </w:p>
        </w:tc>
        <w:tc>
          <w:tcPr>
            <w:tcW w:w="120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43,342,000</w:t>
            </w:r>
          </w:p>
        </w:tc>
        <w:tc>
          <w:tcPr>
            <w:tcW w:w="300" w:type="dxa"/>
            <w:vAlign w:val="bottom"/>
          </w:tcPr>
          <w:p>
            <w:pPr>
              <w:spacing w:after="0"/>
              <w:rPr>
                <w:sz w:val="20"/>
                <w:szCs w:val="20"/>
                <w:color w:val="auto"/>
              </w:rPr>
            </w:pPr>
          </w:p>
        </w:tc>
        <w:tc>
          <w:tcPr>
            <w:tcW w:w="1420" w:type="dxa"/>
            <w:vAlign w:val="bottom"/>
          </w:tcPr>
          <w:p>
            <w:pPr>
              <w:jc w:val="right"/>
              <w:ind w:right="465"/>
              <w:spacing w:after="0"/>
              <w:rPr>
                <w:sz w:val="20"/>
                <w:szCs w:val="20"/>
                <w:color w:val="auto"/>
              </w:rPr>
            </w:pPr>
            <w:r>
              <w:rPr>
                <w:rFonts w:ascii="Arial" w:cs="Arial" w:eastAsia="Arial" w:hAnsi="Arial"/>
                <w:sz w:val="19"/>
                <w:szCs w:val="19"/>
                <w:color w:val="auto"/>
              </w:rPr>
              <w:t>-4%</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(Loss) Income</w:t>
            </w:r>
          </w:p>
        </w:tc>
        <w:tc>
          <w:tcPr>
            <w:tcW w:w="640" w:type="dxa"/>
            <w:vAlign w:val="bottom"/>
            <w:tcBorders>
              <w:bottom w:val="single" w:sz="8" w:color="CCEEFF"/>
            </w:tcBorders>
            <w:shd w:val="clear" w:color="auto" w:fill="CCEEFF"/>
          </w:tcPr>
          <w:p>
            <w:pPr>
              <w:jc w:val="right"/>
              <w:ind w:right="425"/>
              <w:spacing w:after="0"/>
              <w:rPr>
                <w:sz w:val="20"/>
                <w:szCs w:val="20"/>
                <w:color w:val="auto"/>
              </w:rPr>
            </w:pPr>
            <w:r>
              <w:rPr>
                <w:rFonts w:ascii="Arial" w:cs="Arial" w:eastAsia="Arial" w:hAnsi="Arial"/>
                <w:sz w:val="19"/>
                <w:szCs w:val="19"/>
                <w:color w:val="auto"/>
                <w:w w:val="94"/>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9"/>
                <w:szCs w:val="19"/>
                <w:color w:val="auto"/>
              </w:rPr>
              <w:t>(4,015,000)</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5"/>
              <w:spacing w:after="0"/>
              <w:rPr>
                <w:sz w:val="20"/>
                <w:szCs w:val="20"/>
                <w:color w:val="auto"/>
              </w:rPr>
            </w:pPr>
            <w:r>
              <w:rPr>
                <w:rFonts w:ascii="Arial" w:cs="Arial" w:eastAsia="Arial" w:hAnsi="Arial"/>
                <w:sz w:val="19"/>
                <w:szCs w:val="19"/>
                <w:color w:val="auto"/>
                <w:w w:val="94"/>
              </w:rPr>
              <w:t>$</w:t>
            </w:r>
          </w:p>
        </w:tc>
        <w:tc>
          <w:tcPr>
            <w:tcW w:w="12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373,000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85"/>
              <w:spacing w:after="0"/>
              <w:rPr>
                <w:sz w:val="20"/>
                <w:szCs w:val="20"/>
                <w:color w:val="auto"/>
              </w:rPr>
            </w:pPr>
            <w:r>
              <w:rPr>
                <w:rFonts w:ascii="Arial" w:cs="Arial" w:eastAsia="Arial" w:hAnsi="Arial"/>
                <w:sz w:val="19"/>
                <w:szCs w:val="19"/>
                <w:color w:val="auto"/>
              </w:rPr>
              <w:t>-1,176%</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Nine-Month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28575</wp:posOffset>
            </wp:positionV>
            <wp:extent cx="6457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57315" cy="8890"/>
                    </a:xfrm>
                    <a:prstGeom prst="rect">
                      <a:avLst/>
                    </a:prstGeom>
                    <a:noFill/>
                  </pic:spPr>
                </pic:pic>
              </a:graphicData>
            </a:graphic>
          </wp:anchor>
        </w:drawing>
      </w:r>
    </w:p>
    <w:p>
      <w:pPr>
        <w:spacing w:after="0" w:line="37" w:lineRule="exact"/>
        <w:rPr>
          <w:sz w:val="20"/>
          <w:szCs w:val="20"/>
          <w:color w:val="auto"/>
        </w:rPr>
      </w:pPr>
    </w:p>
    <w:tbl>
      <w:tblPr>
        <w:tblLayout w:type="fixed"/>
        <w:tblInd w:w="620" w:type="dxa"/>
        <w:tblCellMar>
          <w:top w:w="0" w:type="dxa"/>
          <w:left w:w="0" w:type="dxa"/>
          <w:bottom w:w="0" w:type="dxa"/>
          <w:right w:w="0" w:type="dxa"/>
        </w:tblCellMar>
      </w:tblPr>
      <w:tr>
        <w:trPr>
          <w:trHeight w:val="246"/>
        </w:trPr>
        <w:tc>
          <w:tcPr>
            <w:tcW w:w="3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720" w:type="dxa"/>
            <w:vAlign w:val="bottom"/>
            <w:gridSpan w:val="3"/>
          </w:tcPr>
          <w:p>
            <w:pPr>
              <w:jc w:val="right"/>
              <w:ind w:right="145"/>
              <w:spacing w:after="0"/>
              <w:rPr>
                <w:sz w:val="20"/>
                <w:szCs w:val="20"/>
                <w:color w:val="auto"/>
              </w:rPr>
            </w:pPr>
            <w:r>
              <w:rPr>
                <w:rFonts w:ascii="Arial" w:cs="Arial" w:eastAsia="Arial" w:hAnsi="Arial"/>
                <w:sz w:val="19"/>
                <w:szCs w:val="19"/>
                <w:b w:val="1"/>
                <w:bCs w:val="1"/>
                <w:color w:val="auto"/>
              </w:rPr>
              <w:t>Nine-Month Period</w:t>
            </w: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3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720" w:type="dxa"/>
            <w:vAlign w:val="bottom"/>
            <w:gridSpan w:val="3"/>
          </w:tcPr>
          <w:p>
            <w:pPr>
              <w:jc w:val="right"/>
              <w:ind w:right="145"/>
              <w:spacing w:after="0"/>
              <w:rPr>
                <w:sz w:val="20"/>
                <w:szCs w:val="20"/>
                <w:color w:val="auto"/>
              </w:rPr>
            </w:pPr>
            <w:r>
              <w:rPr>
                <w:rFonts w:ascii="Arial" w:cs="Arial" w:eastAsia="Arial" w:hAnsi="Arial"/>
                <w:sz w:val="19"/>
                <w:szCs w:val="19"/>
                <w:b w:val="1"/>
                <w:bCs w:val="1"/>
                <w:color w:val="auto"/>
              </w:rPr>
              <w:t>August 1 - April 30</w:t>
            </w: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20" w:type="dxa"/>
            <w:vAlign w:val="bottom"/>
          </w:tcPr>
          <w:p>
            <w:pPr>
              <w:ind w:left="400"/>
              <w:spacing w:after="0"/>
              <w:rPr>
                <w:sz w:val="20"/>
                <w:szCs w:val="20"/>
                <w:color w:val="auto"/>
              </w:rPr>
            </w:pPr>
            <w:r>
              <w:rPr>
                <w:rFonts w:ascii="Arial" w:cs="Arial" w:eastAsia="Arial" w:hAnsi="Arial"/>
                <w:sz w:val="19"/>
                <w:szCs w:val="19"/>
                <w:b w:val="1"/>
                <w:bCs w:val="1"/>
                <w:color w:val="auto"/>
              </w:rPr>
              <w:t>Change</w:t>
            </w:r>
          </w:p>
        </w:tc>
      </w:tr>
      <w:tr>
        <w:trPr>
          <w:trHeight w:val="25"/>
        </w:trPr>
        <w:tc>
          <w:tcPr>
            <w:tcW w:w="358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9"/>
                <w:szCs w:val="19"/>
                <w:b w:val="1"/>
                <w:bCs w:val="1"/>
                <w:color w:val="auto"/>
              </w:rPr>
              <w:t>Fiscal 2016</w:t>
            </w:r>
          </w:p>
        </w:tc>
        <w:tc>
          <w:tcPr>
            <w:tcW w:w="8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b w:val="1"/>
                <w:bCs w:val="1"/>
                <w:color w:val="auto"/>
              </w:rPr>
              <w:t>Fiscal 2015</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9"/>
        </w:trPr>
        <w:tc>
          <w:tcPr>
            <w:tcW w:w="3880" w:type="dxa"/>
            <w:vAlign w:val="bottom"/>
            <w:gridSpan w:val="2"/>
          </w:tcPr>
          <w:p>
            <w:pPr>
              <w:ind w:left="200"/>
              <w:spacing w:after="0"/>
              <w:rPr>
                <w:sz w:val="20"/>
                <w:szCs w:val="20"/>
                <w:color w:val="auto"/>
              </w:rPr>
            </w:pPr>
            <w:r>
              <w:rPr>
                <w:rFonts w:ascii="Arial" w:cs="Arial" w:eastAsia="Arial" w:hAnsi="Arial"/>
                <w:sz w:val="19"/>
                <w:szCs w:val="19"/>
                <w:b w:val="1"/>
                <w:bCs w:val="1"/>
                <w:color w:val="auto"/>
              </w:rPr>
              <w:t>Net Sales</w:t>
            </w:r>
          </w:p>
        </w:tc>
        <w:tc>
          <w:tcPr>
            <w:tcW w:w="600" w:type="dxa"/>
            <w:vAlign w:val="bottom"/>
            <w:tcBorders>
              <w:top w:val="single" w:sz="8" w:color="auto"/>
            </w:tcBorders>
          </w:tcPr>
          <w:p>
            <w:pPr>
              <w:jc w:val="right"/>
              <w:ind w:right="385"/>
              <w:spacing w:after="0"/>
              <w:rPr>
                <w:sz w:val="20"/>
                <w:szCs w:val="20"/>
                <w:color w:val="auto"/>
              </w:rPr>
            </w:pPr>
            <w:r>
              <w:rPr>
                <w:rFonts w:ascii="Arial" w:cs="Arial" w:eastAsia="Arial" w:hAnsi="Arial"/>
                <w:sz w:val="19"/>
                <w:szCs w:val="19"/>
                <w:color w:val="auto"/>
                <w:w w:val="94"/>
              </w:rPr>
              <w:t>$</w:t>
            </w:r>
          </w:p>
        </w:tc>
        <w:tc>
          <w:tcPr>
            <w:tcW w:w="154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126,478,000</w:t>
            </w:r>
          </w:p>
        </w:tc>
        <w:tc>
          <w:tcPr>
            <w:tcW w:w="300" w:type="dxa"/>
            <w:vAlign w:val="bottom"/>
          </w:tcPr>
          <w:p>
            <w:pPr>
              <w:spacing w:after="0"/>
              <w:rPr>
                <w:sz w:val="20"/>
                <w:szCs w:val="20"/>
                <w:color w:val="auto"/>
              </w:rPr>
            </w:pPr>
          </w:p>
        </w:tc>
        <w:tc>
          <w:tcPr>
            <w:tcW w:w="880" w:type="dxa"/>
            <w:vAlign w:val="bottom"/>
            <w:tcBorders>
              <w:top w:val="single" w:sz="8" w:color="auto"/>
            </w:tcBorders>
          </w:tcPr>
          <w:p>
            <w:pPr>
              <w:jc w:val="right"/>
              <w:ind w:right="665"/>
              <w:spacing w:after="0"/>
              <w:rPr>
                <w:sz w:val="20"/>
                <w:szCs w:val="20"/>
                <w:color w:val="auto"/>
              </w:rPr>
            </w:pPr>
            <w:r>
              <w:rPr>
                <w:rFonts w:ascii="Arial" w:cs="Arial" w:eastAsia="Arial" w:hAnsi="Arial"/>
                <w:sz w:val="19"/>
                <w:szCs w:val="19"/>
                <w:color w:val="auto"/>
                <w:w w:val="94"/>
              </w:rPr>
              <w:t>$</w:t>
            </w:r>
          </w:p>
        </w:tc>
        <w:tc>
          <w:tcPr>
            <w:tcW w:w="1260" w:type="dxa"/>
            <w:vAlign w:val="bottom"/>
            <w:tcBorders>
              <w:top w:val="single" w:sz="8" w:color="auto"/>
            </w:tcBorders>
          </w:tcPr>
          <w:p>
            <w:pPr>
              <w:jc w:val="right"/>
              <w:ind w:right="5"/>
              <w:spacing w:after="0"/>
              <w:rPr>
                <w:sz w:val="20"/>
                <w:szCs w:val="20"/>
                <w:color w:val="auto"/>
              </w:rPr>
            </w:pPr>
            <w:r>
              <w:rPr>
                <w:rFonts w:ascii="Arial" w:cs="Arial" w:eastAsia="Arial" w:hAnsi="Arial"/>
                <w:sz w:val="19"/>
                <w:szCs w:val="19"/>
                <w:color w:val="auto"/>
              </w:rPr>
              <w:t>127,334,000</w:t>
            </w:r>
          </w:p>
        </w:tc>
        <w:tc>
          <w:tcPr>
            <w:tcW w:w="300" w:type="dxa"/>
            <w:vAlign w:val="bottom"/>
          </w:tcPr>
          <w:p>
            <w:pPr>
              <w:spacing w:after="0"/>
              <w:rPr>
                <w:sz w:val="20"/>
                <w:szCs w:val="20"/>
                <w:color w:val="auto"/>
              </w:rPr>
            </w:pPr>
          </w:p>
        </w:tc>
        <w:tc>
          <w:tcPr>
            <w:tcW w:w="1420" w:type="dxa"/>
            <w:vAlign w:val="bottom"/>
          </w:tcPr>
          <w:p>
            <w:pPr>
              <w:jc w:val="right"/>
              <w:ind w:right="465"/>
              <w:spacing w:after="0"/>
              <w:rPr>
                <w:sz w:val="20"/>
                <w:szCs w:val="20"/>
                <w:color w:val="auto"/>
              </w:rPr>
            </w:pPr>
            <w:r>
              <w:rPr>
                <w:rFonts w:ascii="Arial" w:cs="Arial" w:eastAsia="Arial" w:hAnsi="Arial"/>
                <w:sz w:val="19"/>
                <w:szCs w:val="19"/>
                <w:color w:val="auto"/>
              </w:rPr>
              <w:t>-1%</w:t>
            </w:r>
          </w:p>
        </w:tc>
      </w:tr>
      <w:tr>
        <w:trPr>
          <w:trHeight w:val="25"/>
        </w:trPr>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9"/>
                <w:szCs w:val="19"/>
                <w:b w:val="1"/>
                <w:bCs w:val="1"/>
                <w:color w:val="auto"/>
              </w:rPr>
              <w:t>Segment Income</w:t>
            </w:r>
          </w:p>
        </w:tc>
        <w:tc>
          <w:tcPr>
            <w:tcW w:w="600" w:type="dxa"/>
            <w:vAlign w:val="bottom"/>
            <w:tcBorders>
              <w:bottom w:val="single" w:sz="8" w:color="CCEEFF"/>
            </w:tcBorders>
            <w:shd w:val="clear" w:color="auto" w:fill="CCEEFF"/>
          </w:tcPr>
          <w:p>
            <w:pPr>
              <w:jc w:val="right"/>
              <w:ind w:right="385"/>
              <w:spacing w:after="0"/>
              <w:rPr>
                <w:sz w:val="20"/>
                <w:szCs w:val="20"/>
                <w:color w:val="auto"/>
              </w:rPr>
            </w:pPr>
            <w:r>
              <w:rPr>
                <w:rFonts w:ascii="Arial" w:cs="Arial" w:eastAsia="Arial" w:hAnsi="Arial"/>
                <w:sz w:val="19"/>
                <w:szCs w:val="19"/>
                <w:color w:val="auto"/>
                <w:w w:val="94"/>
              </w:rPr>
              <w:t>$</w:t>
            </w:r>
          </w:p>
        </w:tc>
        <w:tc>
          <w:tcPr>
            <w:tcW w:w="15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5,682,000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5"/>
              <w:spacing w:after="0"/>
              <w:rPr>
                <w:sz w:val="20"/>
                <w:szCs w:val="20"/>
                <w:color w:val="auto"/>
              </w:rPr>
            </w:pPr>
            <w:r>
              <w:rPr>
                <w:rFonts w:ascii="Arial" w:cs="Arial" w:eastAsia="Arial" w:hAnsi="Arial"/>
                <w:sz w:val="19"/>
                <w:szCs w:val="19"/>
                <w:color w:val="auto"/>
                <w:w w:val="94"/>
              </w:rPr>
              <w:t>$</w:t>
            </w:r>
          </w:p>
        </w:tc>
        <w:tc>
          <w:tcPr>
            <w:tcW w:w="12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9"/>
                <w:szCs w:val="19"/>
                <w:color w:val="auto"/>
              </w:rPr>
              <w:t>2,521,000</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85"/>
              <w:spacing w:after="0"/>
              <w:rPr>
                <w:sz w:val="20"/>
                <w:szCs w:val="20"/>
                <w:color w:val="auto"/>
              </w:rPr>
            </w:pPr>
            <w:r>
              <w:rPr>
                <w:rFonts w:ascii="Arial" w:cs="Arial" w:eastAsia="Arial" w:hAnsi="Arial"/>
                <w:sz w:val="19"/>
                <w:szCs w:val="19"/>
                <w:color w:val="auto"/>
              </w:rPr>
              <w:t>125%</w:t>
            </w:r>
          </w:p>
        </w:tc>
      </w:tr>
      <w:tr>
        <w:trPr>
          <w:trHeight w:val="20"/>
        </w:trPr>
        <w:tc>
          <w:tcPr>
            <w:tcW w:w="3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8" w:lineRule="exact"/>
        <w:rPr>
          <w:sz w:val="20"/>
          <w:szCs w:val="20"/>
          <w:color w:val="auto"/>
        </w:rPr>
      </w:pPr>
    </w:p>
    <w:p>
      <w:pPr>
        <w:ind w:right="260"/>
        <w:spacing w:after="0" w:line="312" w:lineRule="auto"/>
        <w:rPr>
          <w:sz w:val="20"/>
          <w:szCs w:val="20"/>
          <w:color w:val="auto"/>
        </w:rPr>
      </w:pPr>
      <w:r>
        <w:rPr>
          <w:rFonts w:ascii="Arial" w:cs="Arial" w:eastAsia="Arial" w:hAnsi="Arial"/>
          <w:sz w:val="19"/>
          <w:szCs w:val="19"/>
          <w:color w:val="auto"/>
        </w:rPr>
        <w:t>During the quarter, we continued executing our strategy of selling more profitable cat litter and shedding lower margin products. Sales of our profitable private label lightweight products did not fully offset the sales decline in the overall coarse cat litter segment. Sales of our Cat's Pride Fresh &amp; Light litters were up for the quarter and the nine-month periods.</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The costs associated with our marketing campaign for our Cat’s Pride Fresh &amp; Light Ultimate Care products resulted in a segment loss in the third quarter. However, segment income improved over the prior nine-month period despite these increased marketing costs. A favorable product mix, reduced trade spending and lower costs for natural gas, freight and packaging contributed to the higher nine-month segment income. The costs associated with our marketing campaign are reflected in SG&amp;A expense, while trade spending impacts net sales.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80"/>
          </w:cols>
          <w:pgMar w:left="240" w:top="1409" w:right="279" w:bottom="1440" w:gutter="0" w:footer="0" w:header="0"/>
        </w:sectPr>
      </w:pPr>
    </w:p>
    <w:bookmarkStart w:id="8" w:name="page9"/>
    <w:bookmarkEnd w:id="8"/>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b w:val="1"/>
          <w:bCs w:val="1"/>
          <w:color w:val="auto"/>
        </w:rPr>
        <w:t>FINANCIAL REVIEW</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Cash, cash equivalents, and short-term investments at April 30, 2016 totaled $27,687,000, compared to $14,859,000 a year ago.</w:t>
      </w:r>
    </w:p>
    <w:p>
      <w:pPr>
        <w:spacing w:after="0" w:line="295" w:lineRule="exact"/>
        <w:rPr>
          <w:sz w:val="20"/>
          <w:szCs w:val="20"/>
          <w:color w:val="auto"/>
        </w:rPr>
      </w:pPr>
    </w:p>
    <w:p>
      <w:pPr>
        <w:ind w:right="260"/>
        <w:spacing w:after="0" w:line="343" w:lineRule="auto"/>
        <w:rPr>
          <w:sz w:val="20"/>
          <w:szCs w:val="20"/>
          <w:color w:val="auto"/>
        </w:rPr>
      </w:pPr>
      <w:r>
        <w:rPr>
          <w:rFonts w:ascii="Arial" w:cs="Arial" w:eastAsia="Arial" w:hAnsi="Arial"/>
          <w:sz w:val="19"/>
          <w:szCs w:val="19"/>
          <w:color w:val="auto"/>
        </w:rPr>
        <w:t>Cash provided by operating activities was $19,409,000 for the nine months ended April 30, 2016, which was $3,141,000 higher than the $16,268,000 for the same period last year, due to higher net income and overall positive changes in working capital.</w:t>
      </w:r>
    </w:p>
    <w:p>
      <w:pPr>
        <w:spacing w:after="0" w:line="145" w:lineRule="exact"/>
        <w:rPr>
          <w:sz w:val="20"/>
          <w:szCs w:val="20"/>
          <w:color w:val="auto"/>
        </w:rPr>
      </w:pPr>
    </w:p>
    <w:p>
      <w:pPr>
        <w:ind w:right="260"/>
        <w:spacing w:after="0" w:line="343" w:lineRule="auto"/>
        <w:rPr>
          <w:sz w:val="20"/>
          <w:szCs w:val="20"/>
          <w:color w:val="auto"/>
        </w:rPr>
      </w:pPr>
      <w:r>
        <w:rPr>
          <w:rFonts w:ascii="Arial" w:cs="Arial" w:eastAsia="Arial" w:hAnsi="Arial"/>
          <w:sz w:val="19"/>
          <w:szCs w:val="19"/>
          <w:color w:val="auto"/>
        </w:rPr>
        <w:t>Capital expenditures for the nine months ended April 30, 2016 totaled $7,052,000, which was $1,939,000 less than depreciation and amortization of $8,991,000. By comparison, capital expenditures totaled $13,945,000 in the same period of last year.</w:t>
      </w:r>
    </w:p>
    <w:p>
      <w:pPr>
        <w:spacing w:after="0" w:line="145"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On March 15, 2016, Oil-Dri’s Board of Directors declared quarterly cash dividends of $0.21 per share of outstanding Common Stock and $0.1575 per share of outstanding Class B Stock. The dividends were paid on June 3, 2016, to stockholders of record at the close of business on May 20, 2016. The Company has paid cash dividends continuously since 1974. At the end of the third quarter, the annualized dividend yield on the Company’s Common Stock was 2.5%, based on the closing stock price on April 29, 2016 of $33.36 per share and the latest quarterly cash dividend of $0.21 per share.</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LOOKING FORWARD</w:t>
      </w:r>
    </w:p>
    <w:p>
      <w:pPr>
        <w:spacing w:after="0" w:line="266"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President and Chief Executive Officer Daniel Jaffee continued, “In addition to the overall sales growth mentioned previously, third party market research data also shows strong repeat purchases of Ultimate Care products. Our goal is to continue to create brand and product awareness and gain consumer trials of what we believe is the best performing lightweight litter on the market.</w:t>
      </w:r>
    </w:p>
    <w:p>
      <w:pPr>
        <w:spacing w:after="0" w:line="174" w:lineRule="exact"/>
        <w:rPr>
          <w:sz w:val="20"/>
          <w:szCs w:val="20"/>
          <w:color w:val="auto"/>
        </w:rPr>
      </w:pPr>
    </w:p>
    <w:p>
      <w:pPr>
        <w:jc w:val="both"/>
        <w:ind w:right="40"/>
        <w:spacing w:after="0" w:line="260" w:lineRule="auto"/>
        <w:rPr>
          <w:sz w:val="20"/>
          <w:szCs w:val="20"/>
          <w:color w:val="auto"/>
        </w:rPr>
      </w:pPr>
      <w:r>
        <w:rPr>
          <w:rFonts w:ascii="Arial" w:cs="Arial" w:eastAsia="Arial" w:hAnsi="Arial"/>
          <w:sz w:val="22"/>
          <w:szCs w:val="22"/>
          <w:color w:val="auto"/>
        </w:rPr>
        <w:t>“We are pleased with our strong cash position and intend to continue our integrated marketing campaign in support of Cat’s Pride Fresh &amp; Light Ultimate Care in the fourth quarter of fiscal year 2016 and throughout fiscal year 2017. Our Board of Directors will consider raising our dividend for the 13</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consecutive year at its June 9, 2016 meeting.”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320"/>
          </w:cols>
          <w:pgMar w:left="240" w:top="1440"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w:t>
      </w:r>
    </w:p>
    <w:p>
      <w:pPr>
        <w:spacing w:after="0" w:line="194"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industrial and automotive markets and is a leading manufacturer of cat litter.</w:t>
      </w:r>
    </w:p>
    <w:p>
      <w:pPr>
        <w:spacing w:after="0" w:line="164"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 xml:space="preserve">The Company will offer a live webcast of the third quarter earnings teleconference on </w:t>
      </w:r>
      <w:r>
        <w:rPr>
          <w:rFonts w:ascii="Arial" w:cs="Arial" w:eastAsia="Arial" w:hAnsi="Arial"/>
          <w:sz w:val="18"/>
          <w:szCs w:val="18"/>
          <w:b w:val="1"/>
          <w:bCs w:val="1"/>
          <w:color w:val="auto"/>
        </w:rPr>
        <w:t>Wednesday, June 8, 2016 from 10:00 am to 10:30 am, Central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Time. </w:t>
      </w:r>
      <w:r>
        <w:rPr>
          <w:rFonts w:ascii="Arial" w:cs="Arial" w:eastAsia="Arial" w:hAnsi="Arial"/>
          <w:sz w:val="18"/>
          <w:szCs w:val="18"/>
          <w:color w:val="auto"/>
        </w:rPr>
        <w:t>To listen via the web, visit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www.streetevents.com</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www.oildri.com</w:t>
      </w:r>
      <w:r>
        <w:rPr>
          <w:rFonts w:ascii="Arial" w:cs="Arial" w:eastAsia="Arial" w:hAnsi="Arial"/>
          <w:sz w:val="18"/>
          <w:szCs w:val="18"/>
          <w:color w:val="auto"/>
        </w:rPr>
        <w:t>. An archived recording of the call and written transcripts of all teleconferences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are posted on the Oil-Dri website.</w:t>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i w:val="1"/>
          <w:iCs w:val="1"/>
          <w:color w:val="auto"/>
        </w:rPr>
        <w:t xml:space="preserve">“Oil-Dri,” “Cat’s Pride,” “Fresh &amp; Light,” “Fresh &amp; Light Ultimate Care,” “Agsorb,” “Pure-Flo,” “Verge,” and “Amlan” are registered trademarks of Oil-Dri Corporation of America. “Varium,” and “NeoPrime” are trademark of Oil-Dri Corporation of America. “The View” is a trademark of The ABC Television Network. The “Jason Debus Heigl Foundation” is a trademark of the Jason Debus Heigl Foundation. “The Howard Stern Show” is a trademark of The Howard Stern Production Company, Inc. </w:t>
      </w:r>
      <w:r>
        <w:rPr>
          <w:rFonts w:ascii="Arial" w:cs="Arial" w:eastAsia="Arial" w:hAnsi="Arial"/>
          <w:sz w:val="16"/>
          <w:szCs w:val="16"/>
          <w:color w:val="auto"/>
        </w:rPr>
        <w:t>“</w:t>
      </w:r>
      <w:r>
        <w:rPr>
          <w:rFonts w:ascii="Arial" w:cs="Arial" w:eastAsia="Arial" w:hAnsi="Arial"/>
          <w:sz w:val="16"/>
          <w:szCs w:val="16"/>
          <w:i w:val="1"/>
          <w:iCs w:val="1"/>
          <w:color w:val="auto"/>
        </w:rPr>
        <w:t>SiriusXM” is a trademark of SiriusXM Radio Inc.</w:t>
      </w:r>
    </w:p>
    <w:p>
      <w:pPr>
        <w:spacing w:after="0" w:line="160"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variations of such words and similar expressions are intended to identify such forward-looking statements, which are made pursuant to the safe harbor provisions of the Private Securities Litigation Reform Act of 1995.</w:t>
      </w:r>
    </w:p>
    <w:p>
      <w:pPr>
        <w:spacing w:after="0" w:line="164"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00"/>
          </w:cols>
          <w:pgMar w:left="240" w:top="1413" w:right="259" w:bottom="1440" w:gutter="0" w:footer="0" w:header="0"/>
        </w:sectPr>
      </w:pPr>
    </w:p>
    <w:bookmarkStart w:id="10" w:name="page11"/>
    <w:bookmarkEnd w:id="10"/>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INCOME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177800</wp:posOffset>
            </wp:positionV>
            <wp:extent cx="42881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5"/>
          </w:tcPr>
          <w:p>
            <w:pPr>
              <w:ind w:left="520"/>
              <w:spacing w:after="0"/>
              <w:rPr>
                <w:sz w:val="20"/>
                <w:szCs w:val="20"/>
                <w:color w:val="auto"/>
              </w:rPr>
            </w:pPr>
            <w:r>
              <w:rPr>
                <w:rFonts w:ascii="Arial" w:cs="Arial" w:eastAsia="Arial" w:hAnsi="Arial"/>
                <w:sz w:val="18"/>
                <w:szCs w:val="18"/>
                <w:b w:val="1"/>
                <w:bCs w:val="1"/>
                <w:color w:val="auto"/>
              </w:rPr>
              <w:t>Third Quarter Ended April 30,</w:t>
            </w:r>
          </w:p>
        </w:tc>
        <w:tc>
          <w:tcPr>
            <w:tcW w:w="160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20" w:type="dxa"/>
            <w:vAlign w:val="bottom"/>
            <w:gridSpan w:val="2"/>
          </w:tcPr>
          <w:p>
            <w:pPr>
              <w:ind w:left="540"/>
              <w:spacing w:after="0"/>
              <w:rPr>
                <w:sz w:val="20"/>
                <w:szCs w:val="20"/>
                <w:color w:val="auto"/>
              </w:rPr>
            </w:pPr>
            <w:r>
              <w:rPr>
                <w:rFonts w:ascii="Arial" w:cs="Arial" w:eastAsia="Arial" w:hAnsi="Arial"/>
                <w:sz w:val="18"/>
                <w:szCs w:val="18"/>
                <w:b w:val="1"/>
                <w:bCs w:val="1"/>
                <w:color w:val="auto"/>
              </w:rPr>
              <w:t>% of Sales</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64,235</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65,196</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(45,667)</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71.1 %</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(50,763)</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77.9 %</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18,568</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14,433</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(19,803)</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30.8 %</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(12,524)</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19.2 %</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0.4 %</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2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1,902</w:t>
            </w:r>
          </w:p>
        </w:tc>
        <w:tc>
          <w:tcPr>
            <w:tcW w:w="2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97"/>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1,385</w:t>
            </w:r>
          </w:p>
        </w:tc>
        <w:tc>
          <w:tcPr>
            <w:tcW w:w="20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0.16</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(0.13)</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4,986</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4,957</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7,041</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7,046</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154305</wp:posOffset>
            </wp:positionV>
            <wp:extent cx="42881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gridSpan w:val="5"/>
          </w:tcPr>
          <w:p>
            <w:pPr>
              <w:ind w:left="580"/>
              <w:spacing w:after="0"/>
              <w:rPr>
                <w:sz w:val="20"/>
                <w:szCs w:val="20"/>
                <w:color w:val="auto"/>
              </w:rPr>
            </w:pPr>
            <w:r>
              <w:rPr>
                <w:rFonts w:ascii="Arial" w:cs="Arial" w:eastAsia="Arial" w:hAnsi="Arial"/>
                <w:sz w:val="18"/>
                <w:szCs w:val="18"/>
                <w:b w:val="1"/>
                <w:bCs w:val="1"/>
                <w:color w:val="auto"/>
              </w:rPr>
              <w:t>Nine Months Ended April 30,</w:t>
            </w:r>
          </w:p>
        </w:tc>
        <w:tc>
          <w:tcPr>
            <w:tcW w:w="1600" w:type="dxa"/>
            <w:vAlign w:val="bottom"/>
          </w:tcPr>
          <w:p>
            <w:pPr>
              <w:spacing w:after="0"/>
              <w:rPr>
                <w:sz w:val="20"/>
                <w:szCs w:val="20"/>
                <w:color w:val="auto"/>
              </w:rPr>
            </w:pPr>
          </w:p>
        </w:tc>
      </w:tr>
      <w:tr>
        <w:trPr>
          <w:trHeight w:val="27"/>
        </w:trPr>
        <w:tc>
          <w:tcPr>
            <w:tcW w:w="4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20"/>
                <w:szCs w:val="20"/>
                <w:color w:val="auto"/>
              </w:rPr>
            </w:pPr>
          </w:p>
        </w:tc>
        <w:tc>
          <w:tcPr>
            <w:tcW w:w="1820" w:type="dxa"/>
            <w:vAlign w:val="bottom"/>
            <w:gridSpan w:val="2"/>
          </w:tcPr>
          <w:p>
            <w:pPr>
              <w:ind w:left="540"/>
              <w:spacing w:after="0"/>
              <w:rPr>
                <w:sz w:val="20"/>
                <w:szCs w:val="20"/>
                <w:color w:val="auto"/>
              </w:rPr>
            </w:pPr>
            <w:r>
              <w:rPr>
                <w:rFonts w:ascii="Arial" w:cs="Arial" w:eastAsia="Arial" w:hAnsi="Arial"/>
                <w:sz w:val="18"/>
                <w:szCs w:val="18"/>
                <w:b w:val="1"/>
                <w:bCs w:val="1"/>
                <w:color w:val="auto"/>
              </w:rPr>
              <w:t>% of Sales</w:t>
            </w: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1600" w:type="dxa"/>
            <w:vAlign w:val="bottom"/>
          </w:tcPr>
          <w:p>
            <w:pPr>
              <w:jc w:val="right"/>
              <w:ind w:right="150"/>
              <w:spacing w:after="0"/>
              <w:rPr>
                <w:sz w:val="20"/>
                <w:szCs w:val="20"/>
                <w:color w:val="auto"/>
              </w:rPr>
            </w:pPr>
            <w:r>
              <w:rPr>
                <w:rFonts w:ascii="Arial" w:cs="Arial" w:eastAsia="Arial" w:hAnsi="Arial"/>
                <w:sz w:val="18"/>
                <w:szCs w:val="18"/>
                <w:b w:val="1"/>
                <w:bCs w:val="1"/>
                <w:color w:val="auto"/>
              </w:rPr>
              <w:t>% of Sales</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197,397</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195,883</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Cost of Sales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(139,114)</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70.5 %</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(152,448)</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77.8 %</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58,283</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43,435</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(46,342)</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23.5 %</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(34,085)</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17.4 %</w:t>
            </w:r>
          </w:p>
        </w:tc>
      </w:tr>
      <w:tr>
        <w:trPr>
          <w:trHeight w:val="27"/>
        </w:trPr>
        <w:tc>
          <w:tcPr>
            <w:tcW w:w="4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11,941</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9,350</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0.4 %</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11,376</w:t>
            </w:r>
          </w:p>
        </w:tc>
        <w:tc>
          <w:tcPr>
            <w:tcW w:w="22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5.8 %</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8,653</w:t>
            </w:r>
          </w:p>
        </w:tc>
        <w:tc>
          <w:tcPr>
            <w:tcW w:w="20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97"/>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8,352</w:t>
            </w:r>
          </w:p>
        </w:tc>
        <w:tc>
          <w:tcPr>
            <w:tcW w:w="2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6,302</w:t>
            </w:r>
          </w:p>
        </w:tc>
        <w:tc>
          <w:tcPr>
            <w:tcW w:w="20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3.2 %</w:t>
            </w:r>
          </w:p>
        </w:tc>
      </w:tr>
      <w:tr>
        <w:trPr>
          <w:trHeight w:val="23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0.96</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0.72</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0.88</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b w:val="1"/>
                <w:bCs w:val="1"/>
                <w:color w:val="auto"/>
              </w:rPr>
              <w:t>Basic Common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4,981</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4,953</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Basic Class B Common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280"/>
              <w:spacing w:after="0"/>
              <w:rPr>
                <w:sz w:val="20"/>
                <w:szCs w:val="20"/>
                <w:color w:val="auto"/>
              </w:rPr>
            </w:pPr>
            <w:r>
              <w:rPr>
                <w:rFonts w:ascii="Arial" w:cs="Arial" w:eastAsia="Arial" w:hAnsi="Arial"/>
                <w:sz w:val="18"/>
                <w:szCs w:val="18"/>
                <w:b w:val="1"/>
                <w:bCs w:val="1"/>
                <w:color w:val="auto"/>
              </w:rPr>
              <w:t>Diluted</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7,085</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7,034</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854" w:gutter="0" w:footer="0" w:header="0"/>
        </w:sectPr>
      </w:pPr>
    </w:p>
    <w:bookmarkStart w:id="11" w:name="page12"/>
    <w:bookmarkEnd w:id="11"/>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 except for per share amounts)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As of April 30,</w:t>
            </w:r>
          </w:p>
        </w:tc>
        <w:tc>
          <w:tcPr>
            <w:tcW w:w="126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1"/>
                <w:szCs w:val="21"/>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17,194</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14,379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10,493</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29,161</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31,965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25,025</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24,285</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8,072</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7,382</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89,945</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78,491</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79,489</w:t>
            </w: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80,547</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3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26,715</w:t>
            </w:r>
          </w:p>
        </w:tc>
        <w:tc>
          <w:tcPr>
            <w:tcW w:w="3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26,388</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196,149</w:t>
            </w:r>
          </w:p>
        </w:tc>
        <w:tc>
          <w:tcPr>
            <w:tcW w:w="34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185,426</w:t>
            </w:r>
          </w:p>
        </w:tc>
      </w:tr>
      <w:tr>
        <w:trPr>
          <w:trHeight w:val="284"/>
        </w:trPr>
        <w:tc>
          <w:tcPr>
            <w:tcW w:w="4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3,483</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6,002</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6,165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Accrued Expenses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20,155</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17,771</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30,647</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28,729</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12,333</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15,417</w:t>
            </w:r>
          </w:p>
        </w:tc>
      </w:tr>
      <w:tr>
        <w:trPr>
          <w:trHeight w:val="243"/>
        </w:trPr>
        <w:tc>
          <w:tcPr>
            <w:tcW w:w="426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36,618</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33,910</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26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48,951</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49,327</w:t>
            </w: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116,551</w:t>
            </w:r>
          </w:p>
        </w:tc>
        <w:tc>
          <w:tcPr>
            <w:tcW w:w="3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107,370</w:t>
            </w:r>
          </w:p>
        </w:tc>
      </w:tr>
      <w:tr>
        <w:trPr>
          <w:trHeight w:val="27"/>
        </w:trPr>
        <w:tc>
          <w:tcPr>
            <w:tcW w:w="426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196,149</w:t>
            </w:r>
          </w:p>
        </w:tc>
        <w:tc>
          <w:tcPr>
            <w:tcW w:w="3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185,426</w:t>
            </w:r>
          </w:p>
        </w:tc>
      </w:tr>
      <w:tr>
        <w:trPr>
          <w:trHeight w:val="20"/>
        </w:trPr>
        <w:tc>
          <w:tcPr>
            <w:tcW w:w="42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84"/>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16.58</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w:t>
            </w:r>
          </w:p>
        </w:tc>
      </w:tr>
      <w:tr>
        <w:trPr>
          <w:trHeight w:val="297"/>
        </w:trPr>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Third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2,257</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4,025</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7,052</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13,945</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Third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3,077</w:t>
            </w:r>
          </w:p>
        </w:tc>
        <w:tc>
          <w:tcPr>
            <w:tcW w:w="34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3,019</w:t>
            </w: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8,991</w:t>
            </w: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8,955</w:t>
            </w:r>
          </w:p>
        </w:tc>
      </w:tr>
      <w:tr>
        <w:trPr>
          <w:trHeight w:val="696"/>
        </w:trPr>
        <w:tc>
          <w:tcPr>
            <w:tcW w:w="4260" w:type="dxa"/>
            <w:vAlign w:val="bottom"/>
          </w:tcPr>
          <w:p>
            <w:pPr>
              <w:spacing w:after="0"/>
              <w:rPr>
                <w:sz w:val="24"/>
                <w:szCs w:val="24"/>
                <w:color w:val="auto"/>
              </w:rPr>
            </w:pPr>
          </w:p>
        </w:tc>
        <w:tc>
          <w:tcPr>
            <w:tcW w:w="3180" w:type="dxa"/>
            <w:vAlign w:val="bottom"/>
          </w:tcPr>
          <w:p>
            <w:pPr>
              <w:ind w:left="1420"/>
              <w:spacing w:after="0"/>
              <w:rPr>
                <w:sz w:val="20"/>
                <w:szCs w:val="20"/>
                <w:color w:val="auto"/>
              </w:rPr>
            </w:pPr>
            <w:r>
              <w:rPr>
                <w:rFonts w:ascii="Arial" w:cs="Arial" w:eastAsia="Arial" w:hAnsi="Arial"/>
                <w:sz w:val="16"/>
                <w:szCs w:val="16"/>
                <w:color w:val="auto"/>
              </w:rPr>
              <w:t>8</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1440" w:right="239" w:bottom="1440" w:gutter="0" w:footer="0" w:header="0"/>
        </w:sectPr>
      </w:pPr>
    </w:p>
    <w:bookmarkStart w:id="12" w:name="page13"/>
    <w:bookmarkEnd w:id="12"/>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88900</wp:posOffset>
            </wp:positionV>
            <wp:extent cx="1475105" cy="488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2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Nine Months Ended</w:t>
            </w:r>
          </w:p>
        </w:tc>
        <w:tc>
          <w:tcPr>
            <w:tcW w:w="700" w:type="dxa"/>
            <w:vAlign w:val="bottom"/>
          </w:tcPr>
          <w:p>
            <w:pPr>
              <w:spacing w:after="0"/>
              <w:rPr>
                <w:sz w:val="20"/>
                <w:szCs w:val="20"/>
                <w:color w:val="auto"/>
              </w:rPr>
            </w:pPr>
          </w:p>
        </w:tc>
      </w:tr>
      <w:tr>
        <w:trPr>
          <w:trHeight w:val="270"/>
        </w:trPr>
        <w:tc>
          <w:tcPr>
            <w:tcW w:w="74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160" w:type="dxa"/>
            <w:vAlign w:val="bottom"/>
            <w:gridSpan w:val="3"/>
          </w:tcPr>
          <w:p>
            <w:pPr>
              <w:jc w:val="right"/>
              <w:ind w:right="850"/>
              <w:spacing w:after="0"/>
              <w:rPr>
                <w:sz w:val="20"/>
                <w:szCs w:val="20"/>
                <w:color w:val="auto"/>
              </w:rPr>
            </w:pPr>
            <w:r>
              <w:rPr>
                <w:rFonts w:ascii="Arial" w:cs="Arial" w:eastAsia="Arial" w:hAnsi="Arial"/>
                <w:sz w:val="18"/>
                <w:szCs w:val="18"/>
                <w:b w:val="1"/>
                <w:bCs w:val="1"/>
                <w:color w:val="auto"/>
              </w:rPr>
              <w:t>April 30,</w:t>
            </w:r>
          </w:p>
        </w:tc>
        <w:tc>
          <w:tcPr>
            <w:tcW w:w="700" w:type="dxa"/>
            <w:vAlign w:val="bottom"/>
          </w:tcPr>
          <w:p>
            <w:pPr>
              <w:spacing w:after="0"/>
              <w:rPr>
                <w:sz w:val="23"/>
                <w:szCs w:val="23"/>
                <w:color w:val="auto"/>
              </w:rPr>
            </w:pPr>
          </w:p>
        </w:tc>
      </w:tr>
      <w:tr>
        <w:trPr>
          <w:trHeight w:val="27"/>
        </w:trPr>
        <w:tc>
          <w:tcPr>
            <w:tcW w:w="74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20"/>
                <w:szCs w:val="20"/>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8,352</w:t>
            </w:r>
          </w:p>
        </w:tc>
        <w:tc>
          <w:tcPr>
            <w:tcW w:w="340" w:type="dxa"/>
            <w:vAlign w:val="bottom"/>
          </w:tcPr>
          <w:p>
            <w:pPr>
              <w:spacing w:after="0"/>
              <w:rPr>
                <w:sz w:val="21"/>
                <w:szCs w:val="21"/>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6,302</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provided by operating activities, net of acquisition:</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Depreciation and Amortization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8,955</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(Increase) in Accounts Receivable</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2,140</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(1,183)</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Decrease in Inventories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Decrease in Accounts Payable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(1,383)</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Increase in Accrued Expenses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7440" w:type="dxa"/>
            <w:vAlign w:val="bottom"/>
          </w:tcPr>
          <w:p>
            <w:pPr>
              <w:ind w:left="26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Total Adjustments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11,057</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9,966</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19,409</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16,268</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Capital Expenditures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(7,052)</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(13,945)</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Restricted Cash</w:t>
            </w:r>
          </w:p>
        </w:tc>
        <w:tc>
          <w:tcPr>
            <w:tcW w:w="1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Net (Purchase) Dispositions of Investment Securities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(8,297)</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2,161</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(15,093)</w:t>
            </w:r>
          </w:p>
        </w:tc>
        <w:tc>
          <w:tcPr>
            <w:tcW w:w="34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(10,622)</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91"/>
        </w:trPr>
        <w:tc>
          <w:tcPr>
            <w:tcW w:w="7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Principal Payments on Long-Term Debt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Dividends Paid</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(4,190)</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(3,937)</w:t>
            </w:r>
          </w:p>
        </w:tc>
      </w:tr>
      <w:tr>
        <w:trPr>
          <w:trHeight w:val="27"/>
        </w:trPr>
        <w:tc>
          <w:tcPr>
            <w:tcW w:w="7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Purchase of Treasury Stock</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91"/>
        </w:trPr>
        <w:tc>
          <w:tcPr>
            <w:tcW w:w="74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97"/>
        </w:trPr>
        <w:tc>
          <w:tcPr>
            <w:tcW w:w="7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20,138</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16,230</w:t>
            </w:r>
          </w:p>
        </w:tc>
      </w:tr>
      <w:tr>
        <w:trPr>
          <w:trHeight w:val="27"/>
        </w:trPr>
        <w:tc>
          <w:tcPr>
            <w:tcW w:w="74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17,194</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14,379</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2020-01-20T14:24:48Z</dcterms:created>
  <dcterms:modified xsi:type="dcterms:W3CDTF">2020-01-20T14:24:48Z</dcterms:modified>
</cp:coreProperties>
</file>