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6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18.51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18.53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18.66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18.72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18.74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135,082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130,582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-2543810</wp:posOffset>
            </wp:positionV>
            <wp:extent cx="24765" cy="2679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7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356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35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15,500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80,711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sales reported on this Form 4 are pursuant to a written plan which satisfies the requirements of SEC rule 10b5-1 for shares obtained through exercise of employee stock options.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Maryon Gray by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2020-02-18T22:11:28Z</dcterms:created>
  <dcterms:modified xsi:type="dcterms:W3CDTF">2020-02-18T22:11:28Z</dcterms:modified>
</cp:coreProperties>
</file>