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Washington, D.C. 20549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SCHEDULE 14A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(Amendment No. 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 w:line="161" w:lineRule="exact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80" w:hanging="570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3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80" w:hanging="570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1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80" w:hanging="570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80" w:hanging="570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80" w:hanging="570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 240.14a-12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Oil-Dri Corporation of America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253365</wp:posOffset>
            </wp:positionH>
            <wp:positionV relativeFrom="paragraph">
              <wp:posOffset>19685</wp:posOffset>
            </wp:positionV>
            <wp:extent cx="6616065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06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253365</wp:posOffset>
            </wp:positionH>
            <wp:positionV relativeFrom="paragraph">
              <wp:posOffset>41910</wp:posOffset>
            </wp:positionV>
            <wp:extent cx="661606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06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0" w:hanging="513"/>
        <w:spacing w:after="0"/>
        <w:tabs>
          <w:tab w:leader="none" w:pos="5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60" w:hanging="513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24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60" w:hanging="513"/>
        <w:spacing w:after="0"/>
        <w:tabs>
          <w:tab w:leader="none" w:pos="5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1240"/>
          </w:cols>
          <w:pgMar w:left="320" w:top="1225" w:right="3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2026-10-27T15:12:31Z</dcterms:created>
  <dcterms:modified xsi:type="dcterms:W3CDTF">2026-10-27T15:12:31Z</dcterms:modified>
</cp:coreProperties>
</file>