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2013</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2013.</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4,918,843 Shares and Class B Stock – 2,069,746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2012.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10,388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$635 and $626</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January 31, 2013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3,305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97,177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176,707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(115,350)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65,117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64,453</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$414 and $409 at January 31, 2013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$417 and $380 at January 31, 2013 and July 31 2012,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$1,736 and $1,611 at January 31, 2013 and July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176,418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29,395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29,122</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22,400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57,182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86,577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88,959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7,832,410 shares at January 31, 2013</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7,786,241 shares at July 31, 2012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2,394,487 shares at January 31, 2013</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2,374,859 shares at July 31, 2012</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122,901</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(11,291)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Less Treasury Stock, at cost (2,913,567 Common and 324,741 Class B shares at</w:t>
            </w: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January 31, 2013 and 2,911,564 Common and 324,741 Class B shares at July 31, 2012)</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89,841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85,308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174,267</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Six Months Ended January</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122,539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(89,039)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(91,028)</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(22,132)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5,752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122,901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125,997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123,363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0.65</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5,119</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6,904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7"/>
          <w:szCs w:val="17"/>
          <w:b w:val="1"/>
          <w:bCs w:val="1"/>
          <w:color w:val="auto"/>
        </w:rPr>
        <w:t>For the Six Months Ended January</w:t>
      </w:r>
    </w:p>
    <w:p>
      <w:pPr>
        <w:spacing w:after="0" w:line="3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6,919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60,203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(44,853)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(45,649)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(12,834)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1,976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center"/>
        <w:ind w:right="-120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420" w:type="dxa"/>
            <w:vAlign w:val="bottom"/>
          </w:tcPr>
          <w:p>
            <w:pPr>
              <w:jc w:val="right"/>
              <w:ind w:right="49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9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r>
      <w:tr>
        <w:trPr>
          <w:trHeight w:val="209"/>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4,634</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 premium</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Capacity rationalization charges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5,967</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10,281</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(5,009)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(6,197)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3,366</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3"/>
        </w:trPr>
        <w:tc>
          <w:tcPr>
            <w:tcW w:w="574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(4,630)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5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5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9,474</w:t>
            </w: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27,093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17,885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27,359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19"/>
          </w:cols>
          <w:pgMar w:left="240" w:top="580" w:right="1440" w:bottom="921"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580" w:right="1440" w:bottom="92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2012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and six months ended January 31, 2013 are not necessarily an indication of the results that may be expected for the fiscal year ending July 31, 2013. Certain minor reclassifications have been made to the prior year data to conform to the current year presentation, which had no effect on net earnings or equity reported for any period.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our sales agreements with customers, we recognize revenue when risk of loss and title are transferred. An invoice is generated upon shipment that sets the fixed and determinable price. Promotional reserves are provided for sales incentives made directly to consumers and customers, and are netted against sales. Sales returns and allowances are not material.</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historical experience and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The pre-production overburden removal costs associated with opening a new mine are deferred as prepaid expense and amortized.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pit, it is hauled to previously mined pits and used to refill older sites. This process allows us to continuously reclaim older pits and dispose of overburden simultaneously, thereby minimizing our liability for future reclamation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CAPACITY RATIONALIZATION CHARGES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recorded approximately $50,000 of expense during the second quarter of fiscal 2013 and $62,000 of expense during the first six months of fiscal 2013 related to the relocation of production of our industrial floor absorbent and cat litter products from our facility located in Mounds, Illinois, to our plants located in Mississippi, which we announced in fiscal 2012. These costs are shown as “Capacity Rationalization Charges” on the condensed Consolidated Statements of Income and Retained Earnings. Allocation of these expenses between operating segments is impracticable due to the shared nature of our production facilities. In addition, we expect to incur an additional estimated $2,000 of expense for employee relocation during the remainder of fiscal 2013.</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rollforward of the reserve included in Other Accrued Expenses on the condensed Consolidated Balance Sheets as of January 31, 2013 (in thousands).</w:t>
      </w:r>
    </w:p>
    <w:p>
      <w:pPr>
        <w:spacing w:after="0" w:line="112"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Severance and other employee</w:t>
            </w:r>
          </w:p>
        </w:tc>
      </w:tr>
      <w:tr>
        <w:trPr>
          <w:trHeight w:val="234"/>
        </w:trPr>
        <w:tc>
          <w:tcPr>
            <w:tcW w:w="4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jc w:val="right"/>
              <w:ind w:right="650"/>
              <w:spacing w:after="0"/>
              <w:rPr>
                <w:sz w:val="20"/>
                <w:szCs w:val="20"/>
                <w:color w:val="auto"/>
              </w:rPr>
            </w:pPr>
            <w:r>
              <w:rPr>
                <w:rFonts w:ascii="Arial" w:cs="Arial" w:eastAsia="Arial" w:hAnsi="Arial"/>
                <w:sz w:val="18"/>
                <w:szCs w:val="18"/>
                <w:b w:val="1"/>
                <w:bCs w:val="1"/>
                <w:color w:val="auto"/>
              </w:rPr>
              <w:t>related costs</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July 31, 2012</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Charges against reserve</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balance at January 31, 2013</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2013, the Financial Accounting Standard Board (“FASB”) issued guidance under Accounting Standard Codification (“ASC”) 220, </w:t>
      </w:r>
      <w:r>
        <w:rPr>
          <w:rFonts w:ascii="Arial" w:cs="Arial" w:eastAsia="Arial" w:hAnsi="Arial"/>
          <w:sz w:val="16"/>
          <w:szCs w:val="16"/>
          <w:i w:val="1"/>
          <w:iCs w:val="1"/>
          <w:color w:val="auto"/>
        </w:rPr>
        <w:t>Comprehensive Income-Reporting of Amounts Reclassified Out of Accumulated Other Comprehensive Income</w:t>
      </w:r>
      <w:r>
        <w:rPr>
          <w:rFonts w:ascii="Arial" w:cs="Arial" w:eastAsia="Arial" w:hAnsi="Arial"/>
          <w:sz w:val="16"/>
          <w:szCs w:val="16"/>
          <w:color w:val="auto"/>
        </w:rPr>
        <w:t>, that requires presentation by the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line items of net income, either on the face of the statement where net income is presented or in the notes, information about significant amounts required under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 ending April 30, 2013 and will not have a significant impact on our consolidated financial statements.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 of dollars):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3,982</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r>
      <w:tr>
        <w:trPr>
          <w:trHeight w:val="237"/>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19,673</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2013 and July 31, 2012 were $484,000 and $281,000,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 as follows:</w:t>
      </w:r>
    </w:p>
    <w:p>
      <w:pPr>
        <w:spacing w:after="0" w:line="1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ind w:left="980" w:right="60" w:hanging="917"/>
        <w:spacing w:after="0" w:line="277" w:lineRule="auto"/>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January 31, 2013</w:t>
            </w: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4,296</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former key employees as of January 31, 2013. The cash surrender value of life insurance is included in other assets on the condensed Consolidated Balance Sheets.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in short-term securities on the condensed Consolidated Balance Sheets includes U.S. Treasury securities, certificates of deposit and debt securities. We have the ability to hold our investment in short-term securities to maturity and intend to do so; therefore, these investments were reported at amortized cost on the condensed Consolidated Balance Sheets, which approximated fair value as of January 31, 2013. These balances are excluded from the above table.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condensed Consolidated Balance Sheets approximate their fair values at January 31, 2013 due to the short maturity and nature of those balances; therefore, these balances are excluded from the above table.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notes payable approximated their fair values at January 31, 2013 and are excluded from the above table. The estimated fair value of notes payable, including current maturities, was $29,144,000 as of January 31, 2013.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167"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PENSION PLAN</w:t>
      </w:r>
    </w:p>
    <w:p>
      <w:pPr>
        <w:spacing w:after="0" w:line="27"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22860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Pr>
          <w:p>
            <w:pPr>
              <w:spacing w:after="0"/>
              <w:rPr>
                <w:sz w:val="18"/>
                <w:szCs w:val="18"/>
                <w:color w:val="auto"/>
              </w:rPr>
            </w:pPr>
          </w:p>
        </w:tc>
        <w:tc>
          <w:tcPr>
            <w:tcW w:w="21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January 31,</w:t>
            </w:r>
          </w:p>
        </w:tc>
        <w:tc>
          <w:tcPr>
            <w:tcW w:w="120" w:type="dxa"/>
            <w:vAlign w:val="bottom"/>
          </w:tcPr>
          <w:p>
            <w:pPr>
              <w:spacing w:after="0"/>
              <w:rPr>
                <w:sz w:val="20"/>
                <w:szCs w:val="20"/>
                <w:color w:val="auto"/>
              </w:rPr>
            </w:pPr>
          </w:p>
        </w:tc>
        <w:tc>
          <w:tcPr>
            <w:tcW w:w="21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January 31,</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808</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49"/>
        </w:trPr>
        <w:tc>
          <w:tcPr>
            <w:tcW w:w="6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gridSpan w:val="8"/>
          </w:tcPr>
          <w:p>
            <w:pPr>
              <w:ind w:left="180"/>
              <w:spacing w:after="0"/>
              <w:rPr>
                <w:sz w:val="20"/>
                <w:szCs w:val="20"/>
                <w:color w:val="auto"/>
              </w:rPr>
            </w:pPr>
            <w:r>
              <w:rPr>
                <w:rFonts w:ascii="Arial" w:cs="Arial" w:eastAsia="Arial" w:hAnsi="Arial"/>
                <w:sz w:val="18"/>
                <w:szCs w:val="18"/>
                <w:b w:val="1"/>
                <w:bCs w:val="1"/>
                <w:color w:val="auto"/>
              </w:rPr>
              <w:t>POSTRETIREMENT HEALTH PLAN</w:t>
            </w:r>
          </w:p>
        </w:tc>
        <w:tc>
          <w:tcPr>
            <w:tcW w:w="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(in</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r>
      <w:tr>
        <w:trPr>
          <w:trHeight w:val="218"/>
        </w:trPr>
        <w:tc>
          <w:tcPr>
            <w:tcW w:w="6640" w:type="dxa"/>
            <w:vAlign w:val="bottom"/>
          </w:tcPr>
          <w:p>
            <w:pPr>
              <w:spacing w:after="0"/>
              <w:rPr>
                <w:sz w:val="18"/>
                <w:szCs w:val="18"/>
                <w:color w:val="auto"/>
              </w:rPr>
            </w:pPr>
          </w:p>
        </w:tc>
        <w:tc>
          <w:tcPr>
            <w:tcW w:w="25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120" w:type="dxa"/>
            <w:vAlign w:val="bottom"/>
          </w:tcPr>
          <w:p>
            <w:pPr>
              <w:spacing w:after="0"/>
              <w:rPr>
                <w:sz w:val="18"/>
                <w:szCs w:val="18"/>
                <w:color w:val="auto"/>
              </w:rPr>
            </w:pPr>
          </w:p>
        </w:tc>
        <w:tc>
          <w:tcPr>
            <w:tcW w:w="21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January 31,</w:t>
            </w:r>
          </w:p>
        </w:tc>
        <w:tc>
          <w:tcPr>
            <w:tcW w:w="120" w:type="dxa"/>
            <w:vAlign w:val="bottom"/>
          </w:tcPr>
          <w:p>
            <w:pPr>
              <w:spacing w:after="0"/>
              <w:rPr>
                <w:sz w:val="20"/>
                <w:szCs w:val="20"/>
                <w:color w:val="auto"/>
              </w:rPr>
            </w:pPr>
          </w:p>
        </w:tc>
        <w:tc>
          <w:tcPr>
            <w:tcW w:w="21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2"/>
              </w:rPr>
              <w:t>January 31,</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transition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covering postretirement health benefits is an unfunded plan. We have funded the pension plan based upon actuarially determined contributions that take into account the normal cost and the minimum and maximum contribution requirements of various regulations. We contributed $427,000 to our pension plan during the second quarter ended January 31, 2013. We intend to make contributions to the pension plan during the current fiscal year approximately equal to the annual actuarial determined cost. We currently estimate this amount to be approximately $780,000 for the remainder of fiscal 2013</w:t>
      </w:r>
      <w:r>
        <w:rPr>
          <w:rFonts w:ascii="Arial" w:cs="Arial" w:eastAsia="Arial" w:hAnsi="Arial"/>
          <w:sz w:val="18"/>
          <w:szCs w:val="18"/>
          <w:color w:val="FF0000"/>
        </w:rPr>
        <w:t>.</w:t>
      </w:r>
      <w:r>
        <w:rPr>
          <w:rFonts w:ascii="Arial" w:cs="Arial" w:eastAsia="Arial" w:hAnsi="Arial"/>
          <w:sz w:val="18"/>
          <w:szCs w:val="18"/>
          <w:color w:val="auto"/>
        </w:rPr>
        <w:t xml:space="preserve"> See Item 3. Quantitative and Qualitative Disclosures About Market Risk for a discussion of the potential impact of financial market fluctuations on pension plan assets and future funding contributions.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0"/>
        </w:trPr>
        <w:tc>
          <w:tcPr>
            <w:tcW w:w="5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20" w:type="dxa"/>
            <w:vAlign w:val="bottom"/>
          </w:tcPr>
          <w:p>
            <w:pPr>
              <w:spacing w:after="0"/>
              <w:rPr>
                <w:sz w:val="20"/>
                <w:szCs w:val="20"/>
                <w:color w:val="auto"/>
              </w:rPr>
            </w:pPr>
          </w:p>
        </w:tc>
        <w:tc>
          <w:tcPr>
            <w:tcW w:w="2840" w:type="dxa"/>
            <w:vAlign w:val="bottom"/>
            <w:gridSpan w:val="4"/>
          </w:tcPr>
          <w:p>
            <w:pPr>
              <w:ind w:left="720"/>
              <w:spacing w:after="0"/>
              <w:rPr>
                <w:sz w:val="20"/>
                <w:szCs w:val="20"/>
                <w:color w:val="auto"/>
              </w:rPr>
            </w:pPr>
            <w:r>
              <w:rPr>
                <w:rFonts w:ascii="Arial" w:cs="Arial" w:eastAsia="Arial" w:hAnsi="Arial"/>
                <w:sz w:val="18"/>
                <w:szCs w:val="18"/>
                <w:b w:val="1"/>
                <w:bCs w:val="1"/>
                <w:color w:val="auto"/>
              </w:rPr>
              <w:t>PENSION PLAN</w:t>
            </w: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HEALTH BENEFITS</w:t>
            </w:r>
          </w:p>
        </w:tc>
      </w:tr>
      <w:tr>
        <w:trPr>
          <w:trHeight w:val="27"/>
        </w:trPr>
        <w:tc>
          <w:tcPr>
            <w:tcW w:w="5820" w:type="dxa"/>
            <w:vAlign w:val="bottom"/>
          </w:tcPr>
          <w:p>
            <w:pPr>
              <w:spacing w:after="0"/>
              <w:rPr>
                <w:sz w:val="2"/>
                <w:szCs w:val="2"/>
                <w:color w:val="auto"/>
              </w:rPr>
            </w:pPr>
          </w:p>
        </w:tc>
        <w:tc>
          <w:tcPr>
            <w:tcW w:w="4740" w:type="dxa"/>
            <w:vAlign w:val="bottom"/>
            <w:tcBorders>
              <w:bottom w:val="single" w:sz="8" w:color="auto"/>
            </w:tcBorders>
            <w:gridSpan w:val="7"/>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4740" w:type="dxa"/>
            <w:vAlign w:val="bottom"/>
            <w:gridSpan w:val="7"/>
          </w:tcPr>
          <w:p>
            <w:pPr>
              <w:ind w:left="900"/>
              <w:spacing w:after="0"/>
              <w:rPr>
                <w:sz w:val="20"/>
                <w:szCs w:val="20"/>
                <w:color w:val="auto"/>
              </w:rPr>
            </w:pPr>
            <w:r>
              <w:rPr>
                <w:rFonts w:ascii="Arial" w:cs="Arial" w:eastAsia="Arial" w:hAnsi="Arial"/>
                <w:sz w:val="18"/>
                <w:szCs w:val="18"/>
                <w:b w:val="1"/>
                <w:bCs w:val="1"/>
                <w:color w:val="auto"/>
                <w:w w:val="91"/>
              </w:rPr>
              <w:t>For the Three and Six Months Ended January 31,</w:t>
            </w:r>
          </w:p>
        </w:tc>
        <w:tc>
          <w:tcPr>
            <w:tcW w:w="8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90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8.0%. The graded trend rate is expected to decrease to an ultimate rate of 5.0% in fiscal 2019.</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(1) Retail and Wholesale Products and (2)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most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2012</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80,130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79,658</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50,817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50,359</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176,418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174,267</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80" w:type="dxa"/>
            <w:vAlign w:val="bottom"/>
            <w:gridSpan w:val="9"/>
          </w:tcPr>
          <w:p>
            <w:pPr>
              <w:jc w:val="right"/>
              <w:spacing w:after="0"/>
              <w:rPr>
                <w:sz w:val="20"/>
                <w:szCs w:val="20"/>
                <w:color w:val="auto"/>
              </w:rPr>
            </w:pPr>
            <w:r>
              <w:rPr>
                <w:rFonts w:ascii="Arial" w:cs="Arial" w:eastAsia="Arial" w:hAnsi="Arial"/>
                <w:sz w:val="18"/>
                <w:szCs w:val="18"/>
                <w:b w:val="1"/>
                <w:bCs w:val="1"/>
                <w:color w:val="auto"/>
                <w:w w:val="92"/>
              </w:rPr>
              <w:t>For the Six Months Ended January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ind w:left="50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Income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43,497</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79,042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122,539</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Rationalization Charges</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9,088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6,598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0" w:type="dxa"/>
            <w:vAlign w:val="bottom"/>
            <w:vMerge w:val="restart"/>
          </w:tcPr>
          <w:p>
            <w:pPr>
              <w:jc w:val="right"/>
              <w:ind w:right="75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40" w:type="dxa"/>
            <w:vAlign w:val="bottom"/>
            <w:shd w:val="clear" w:color="auto" w:fill="CCEEFF"/>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580" w:type="dxa"/>
            <w:vAlign w:val="bottom"/>
            <w:tcBorders>
              <w:bottom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For the Three Months Ended January 31,</w:t>
            </w: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5"/>
          </w:tcPr>
          <w:p>
            <w:pPr>
              <w:ind w:left="48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1"/>
                <w:szCs w:val="21"/>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1"/>
                <w:szCs w:val="2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37"/>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21,715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21,303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7,101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6,427</w:t>
            </w:r>
          </w:p>
        </w:tc>
      </w:tr>
      <w:tr>
        <w:trPr>
          <w:trHeight w:val="27"/>
        </w:trPr>
        <w:tc>
          <w:tcPr>
            <w:tcW w:w="6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61,122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3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
        </w:trPr>
        <w:tc>
          <w:tcPr>
            <w:tcW w:w="6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0"/>
        </w:trPr>
        <w:tc>
          <w:tcPr>
            <w:tcW w:w="6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recognized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There are no shares available for future grants under this plan.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shares have been issued under the 2006 Plan as described in the restricted stock section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directors, who are considered employees. Stock options have been granted to our directors with a one year vesting period. There are no shares available for future grants under this plan. All shares of stock issued under the Directors' Plan were from treasury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5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w w:val="91"/>
              </w:rPr>
              <w:t>A summary of stock option transactions as of January 31, 2013 is shown below:</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4"/>
        </w:trPr>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w w:val="88"/>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7"/>
        </w:trPr>
        <w:tc>
          <w:tcPr>
            <w:tcW w:w="5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July 31, 2012</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43"/>
        </w:trPr>
        <w:tc>
          <w:tcPr>
            <w:tcW w:w="580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991</w:t>
            </w:r>
          </w:p>
        </w:tc>
      </w:tr>
      <w:tr>
        <w:trPr>
          <w:trHeight w:val="27"/>
        </w:trPr>
        <w:tc>
          <w:tcPr>
            <w:tcW w:w="5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January 31, 2013</w:t>
            </w:r>
          </w:p>
        </w:tc>
        <w:tc>
          <w:tcPr>
            <w:tcW w:w="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0"/>
        </w:trPr>
        <w:tc>
          <w:tcPr>
            <w:tcW w:w="5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1"/>
        </w:trPr>
        <w:tc>
          <w:tcPr>
            <w:tcW w:w="5800" w:type="dxa"/>
            <w:vAlign w:val="bottom"/>
            <w:gridSpan w:val="2"/>
          </w:tcPr>
          <w:p>
            <w:pPr>
              <w:ind w:left="40"/>
              <w:spacing w:after="0"/>
              <w:rPr>
                <w:sz w:val="20"/>
                <w:szCs w:val="20"/>
                <w:color w:val="auto"/>
              </w:rPr>
            </w:pPr>
            <w:r>
              <w:rPr>
                <w:rFonts w:ascii="Arial" w:cs="Arial" w:eastAsia="Arial" w:hAnsi="Arial"/>
                <w:sz w:val="18"/>
                <w:szCs w:val="18"/>
                <w:color w:val="auto"/>
              </w:rPr>
              <w:t>Options exercisable, January 31, 2013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1,184</w:t>
            </w: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cash received from the exercise of stock options during the second quarter of fiscal 2013 was $591,000 and the related tax benefit was $255,000. The amount of cash received from the exercise of stock options during the second quarter of fiscal 2012 was $55,000 and the related tax benefit was $18,000. The amount of cash received from the exercise of stock options during the first six months of fiscal 2013 was $652,000 and the related tax benefit was $268,000. The amount of cash received from the exercise of stock options during the first six months of fiscal 2012 was $121,000 and the related tax benefit was $65,000.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January 31, 2013 was issued under the 2006 Plan with vesting periods between 2 years and 5 years.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2006 Plan, no new restricted shares of common stock were granted in the second quarter of either fiscal 2013 or fiscal 2012. In the first quarter of fiscal 2013, 7,000 restricted shares of Class B Stock were granted. In the first quarter of fiscal 2012, 8,000 restricted shares of Common Stock were granted.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our stock-based compensation expense in the second quarter of fiscal years 2013 and 2012 was $210,000 and $170,000, respectively, related to non-vested restricted stock. In the first six months of fiscal years 2013 and 2012, the expense related to the unvested restricted stock was $413,000 and $334,000,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A summary of restricted stock transactions under the plan is shown below:</w:t>
            </w:r>
          </w:p>
        </w:tc>
        <w:tc>
          <w:tcPr>
            <w:tcW w:w="3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89"/>
              </w:rPr>
              <w:t>Restricted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2012</w:t>
            </w:r>
          </w:p>
        </w:tc>
        <w:tc>
          <w:tcPr>
            <w:tcW w:w="4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Vested</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0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Non-vested restricted stock outstanding at January 31, 2013</w:t>
            </w:r>
          </w:p>
        </w:tc>
        <w:tc>
          <w:tcPr>
            <w:tcW w:w="306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60" w:type="dxa"/>
            <w:vAlign w:val="bottom"/>
            <w:vMerge w:val="restart"/>
          </w:tcPr>
          <w:p>
            <w:pPr>
              <w:jc w:val="right"/>
              <w:ind w:right="267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cat litter, industrial and automotive floor absorbents, fluids purification and filtration bleaching clays, agricultural and horticultural chemical carriers, animal health and nutrition products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6 of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six months ended January 31, 2013 were $122,539,000, an increase of 2% from net sales of $119,785,000, for the six months ended January 31, 2012. Consolidated net income for the first six months of fiscal 2013 was $6,598,000, compared to $4,314,000 in the first six months of fiscal 2012. Diluted net income per share was $0.94 for the first six months of fiscal 2013 compared to $0.60 for the first six months of fiscal 2012.</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first six months of fiscal 2013 improved due to lower trade spending (trade spending, which includes coupons, slotting, and cooperative marketing programs, reduces net sales), selling price increases and a favorable product sales mix, defined as a greater proportion of sales from higher priced products. Consolidated net income for the first six months of fiscal 2013 was positively impacted by the lower cost of fuel used in our manufacturing processes, as well as by lower non-fuel manufacturing costs. Operating income increased for both the Retail and Wholesale Products Group and the Business to Business Products Group compared to the first six months of fiscal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six months of fiscal 2013 were $43,497,000, an increase of $1,260,000, or 3%, from net sales of $42,237,000 in the first six months of fiscal 2012. Net sales of animal health and nutrition products increased approximately 19% compared to the first six months of fiscal 2012 due primarily to 8% more tons sold and higher selling prices. Sales of our enterosorbent and other animal health products improved in both domestic and foreign markets. Net sales of fluid purification products increased approximately 3% due to 7% more tons sold primarily to edible oil and petroleum oil processors, including several new customers. These increased sales were partially offset by lower sales to overseas recycled motor oil customers. Our co-packaged traditional coarse cat litter net sales improved 7% due to a 4% increase in tons sold and a higher selling price. Net sales of agricultural products decreased approximately 9% due to 13% fewer tons sold. Sales declined for products used in horticultural applications and for agricultural chemical carriers sold to corn root worm producers, while sales of products for other agricultural uses increased. Sales of our engineered granule products also declined in the agricultural markets.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Business to Business Products Group’s operating income for the first six months of fiscal 2013 was $14,624,000, an increase of $757,000, or 5%, from operating income of $13,867,000 in the first six months of fiscal 2012. Operating income was positively impacted by the increased sales described above, by approximately 3% lower per ton freight costs and by a reduction in the cost of natural gas used to operate kilns that dry our clay. Freight costs declined for our products shipped overseas. Operating income was negatively impacted by approximately 2% higher material costs per ton. Certain products in the Business to Business Products Group received higher fixed manufacturing cost allocations subsequent to the relocation of production between our plants,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discussed in Note 2 of the condensed consolidated financial statements. See further discussion of manufacturing costs under “Consolidated Results” below.</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for the Business to Business Products Group were comparable to the first six months of fiscal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first six months of fiscal 2013 were $79,042,000, an increase of $1,494,000, or 2%, from net sales of $77,548,000 for the first six months of fiscal 2012. Net sales increased for our cat litter products and for our foreign subsidiaries, but decreased for our industrial absorbent products. Net sales for our foreign subsidiaries are described under “Foreign Operations” below. Overall cat litter net sales increased approximately 3% due to lower trade spending (trade spending reduces net sales), higher selling prices and a favorable product sales mix. These positive factors outweighed an approximate 4% decrease in tons sold. Branded cat litter net sales increased approximately 3% due primarily to lower trade spending and higher sales for our Cat's Pride Fresh &amp; Light scoopable products. In addition, net sales of private label cat litter increased approximately 2% due to higher selling prices, which offset a 4% decrease in tons sold. Industrial absorbents net sales were down approximately 4% compared with the first six months of fiscal 2012 due to a 10% decline in tons sold.</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Retail and Wholesale Products Group's operating income for the first six months of fiscal 2013 was $6,460,000, an increase of $4,621,000, from operating income of $1,839,000 for the first six months of fiscal 2012. The Group's operating income was positively impacted by the higher sales described above, lower selling, general and administrative expenses as discussed below, a reduction in the cost of natural gas used to operate kilns that dry our clay and lower packaging costs. Packaging costs per ton decreased approximately 2% due to fluctuations in the price of paper and resin commodities and supplies. The Group's operating income was negatively impacted by approximately 15% higher freight costs per ton due to diesel fuel price and other cost increases in the freight industry which we expect to continue. Material costs per ton were even compared to the prior year as higher costs for purchased additives, fragrances and other materials were offset by other lower non-fuel manufacturing costs per ton. Certain products in the Retail and Wholesale Products Group received lower fixed manufacturing cost allocations subsequent to the relocation of production between plants, as discussed in Note 2 of the condensed consolidated financial statements. See further discussion of manufacturing costs under “Consolidated Results” below.</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decreased 5% compared to the first six months of fiscal 2012 due to approximately $260,000 lower advertising and promotion expenditures primarily for our Cat's Pride products. We expect to increase advertising and promotional expenditures over the remainder of fiscal 2013; however, total advertising and promotional spending is anticipated to be less than in fiscal 2012, but will remain higher than historical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consolidated gross profit as a percentage of net sales for the first six months of fiscal 2013 was 27%, which was higher than the 24% reported for the first six months of fiscal 2012. As discussed above, higher sales and lower total costs for packaging contributed to improved gross profit, but were partially offset by higher freight costs. A 2% decrease in non-fuel manufacturing cost per ton produced was driven primarily by lower labor and repair costs, which were partially offset by higher costs of purchased additives, fragrances and other materials due to the mix of products produced. In addition, the cost per ton of natural gas used to operate kilns that dry our clay decreased 19% compared to the first six months of fiscal 2012.</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expenses as a percentage of net sales for the first six months of fiscal 2013 were 19%, compared to 18% for the first six months of fiscal 2012. The discussions of the segments' operating income above describe the change in the selling, general and administrative expenses that were allocated to the operating segments. The remaining unallocated corporate expenses in the first six months of fiscal 2013 included a higher estimated annual incentive plan bonus accrual. The incentive bonus expense was based on performance targets that are established for the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$101,000 lower for the first six months of fiscal 2013 compared to the same period in fiscal 2012 due to a reduction of notes payable.</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27% of pre-tax income in the first six months of fiscal 2013, the same rate as the full year of fiscal 2012. The effective tax rate for fiscal 2013 was estimated based on the projected composition and estimated level of our taxable income for the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January 31, 2013 were $61,122,000, an increase of 2% from net sales of $60,203,000, for the three months ended January 31, 2012. Consolidated net income for the second quarter of fiscal 2013 was $2,146,000, compared to $3,239,000 for the second quarter of fiscal 2012. Diluted net income per share was $0.31 for the second quarter of fiscal 2013 compared to $0.45 for the second quarter of fiscal 2012.</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Consolidated net sales for the second quarter of fiscal 2013 improved due to lower trade spending (trade spending reduces net sales) and selling price increases. Consolidated net income for the second quarter of fiscal 2013 was reduced by significantly higher advertising expense, which was partially offset by the lower cost of fuel used in our manufacturing processes, as well as by lower non-fuel manufacturing costs. The Retail and Wholesale Products Group's operating income declined compared to the second quarter of fiscal 2012, while the Business to Business Products Group's operating income increased.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of the Business to Business Products Group for the second quarter of fiscal 2013 were $21,715,000, an increase of $412,000, or 2%, from net sales of $21,303,000 for the second quarter of fiscal 2012. Net sales of animal health and nutrition products increased approximately 10% compared to the first six months of fiscal 2012 due primarily to 18% more tons sold. Sales of our enterosorbent and other animal health products improved in both domestic and foreign markets. Net sales of fluid purification products were approximately 11% higher due primarily to 13% more tons sold. This increase was driven primarily by sales to edible oil and petroleum oil processors, including several new customers. These higher sales were partially offset by lower sales to overseas recycled motor oil customers. Our co-packaged traditional coarse cat litter net sales improved 7% due to a 4% increase in tons sold and higher selling prices. Net sales of agricultural products decreased approximately 24% driven by fewer tons sold. Sales declined for products used in horticultural applications and for agricultural chemical carriers sold to corn root worm producers. In addition, sales of our engineered granule products decreased in the agricultural markets.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Business to Business Products Group’s operating income for the second quarter of fiscal 2013 was $7,101,000, an increase of $674,000, or 10%, from operating income of $6,427,000 in the second quarter of fiscal 2012. Operating income was positively impacted by the increase in sales described above, by lower material costs and by a reduction in the cost of natural gas used to operate kilns that dry our clay. Material costs were lower due to the mix of products sold and lower non-fuel manufacturing costs, which offset higher fixed manufacturing cost allocations received by some products subsequent to the relocation of production between our plants, as discussed in Note 2 of the condensed consolidated financial statements. See further discussion of manufacturing costs under “Consolidated Results” below. Operating income was negatively impacted by higher packaging costs per ton due to fluctuations in the price of paper commodities and the mix of products manufactured. In addition, freight costs per ton increased due to the cost of diesel fuel and other cost increases in the freight industry.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for the Business to Business Products Group were comparable to the second quarter of fiscal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Retail and Wholesale Products Group for the second quarter of fiscal 2013 were $39,407,000, an increase of $507,000, or 1%, from net sales of $38,900,000 for the second quarter of fiscal 2012. Net sales increased for our cat litter products and for our foreign subsidiaries, but decreased for our industrial absorbent products. Our foreign subsidiaries are discussed under “Foreign Operations” below. Overall cat litter net sales increased approximately 1% due to lower trade spending (trade spending reduces net sales) and increased selling prices, which outweighed an approximate 3% decrease in tons sold. Branded cat litter net sales were flat compared to the second quarter of fiscal 2012. Sales continued to increase for our Cat's Pride Fresh &amp; Light scoopable products; however, our other branded scoopable cat litter products experienced strong price competition during the quarter. Net sales of private label cat litter increased approximately 2% due primarily to additional sales to existing customers. Industrial absorbents net sales were down approximately 6% compared with the second quarter of fiscal 2012 due to a 12% decline in tons sold.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second quarter of fiscal 2013 was $1,936,000, a decrease of $1,122,000 from operating income of $3,058,000 for the second quarter of fiscal 2012. The decrease was due primarily to higher selling, general and administrative expenses discussed below. In addition, freight cost per ton increased approximately 14% due to the mix of products manufactured, diesel fuel price and other cost increases in the freight industry which we expect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continue. The Group's operating income was positively impacted by the higher sales described above, by a reduction in the cost of natural gas used to operate kilns that dry our clay and by lower packaging costs. Packaging costs per ton decreased approximately 2% due to fluctuations in the price of paper and resin commodities and supplies. Material costs per ton were down 1% as lower non-fuel manufacturing costs per ton offset higher costs for purchased additives, fragrances and other materials. Certain products in the Retail and Wholesale Products Group received lower fixed manufacturing cost allocations subsequent to the relocation of production between plants, as discussed in Note 2 of the condensed consolidated financial statements. See further discussion of manufacturing costs under “Consolidated Results” below.</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increased 78% compared to the second quarter of fiscal 2012 due to approximately $2,300,000 higher advertising and promotion expenditures, which were primarily for our Cat's Pride and other branded cat litter products. We expect to increase advertising and promotional expenditures over the remainder of fiscal 2013; however, total advertising and promotional spending is anticipated to be less than in fiscal 2012, but will remain higher than historical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gross profit as a percentage of net sales for the second quarter of fiscal 2013 was 27%, which was higher than the 24% reported for the second quarter of fiscal 2012. As discussed above, higher sales and lower totals cost for packaging and materials, which were partially offset by higher freight costs, contributed to improved gross profit. A 4% decrease in non-fuel manufacturing cost per ton produced contributed to lower overall material costs. This decrease was driven primarily by lower labor cost per ton, which was partially offset by the mix of products produced requiring more purchased additives, fragrances and other materials. In addition, the cost per ton of natural gas used to operate kilns that dry our clay decreased 7% compared to the second quarter of fiscal 2012.</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as a percentage of net sales for the second quarter of fiscal 2013 were 21%, compared to 16% for the second quarter of fiscal 2012. The discussions of the segments' operating income above describe the change in the selling, general and administrative expenses that were allocated to the operating segments, including higher advertising costs in the Retail and Wholesale Products Group. The remaining unallocated corporate expenses in the second quarter of fiscal 2013 included a higher estimated annual incentive plan bonus accrual. The incentive bonus expense was based on performance targets that are established for the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$58,000 lower for the second quarter of fiscal 2013 compared to the same period in fiscal 2012 due to a reduction of notes payable.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29% of pre-tax income in the second quarter of fiscal 2013, compared to 27% for the full year of fiscal 2012. The fiscal 2013 second quarter rate includes an adjustment to bring the six month effective tax rate for fiscal 2013 to a rate of 27%, which was estimated based on the projected composition and estimated level of our taxable income for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by our foreign subsidiaries during the first six months of fiscal 2013 were $6,153,000, a 9% increase, compared to net sales of $5,665,000 during the first six months of fiscal 2012. The net sales increase was attributed to 4% more tons sold, price increases and slightly stronger average exchange rates for both the Canadian Dollar and the British Pound relative to the U.S. Dollar. Net sales improved for our Canadian subsidiary due to higher sales of both branded and private label cat litters and for our United Kingdom subsidiary due to increased sales of bleaching earth. Net sales by our foreign subsidiaries represented 5% of our consolidated net sales during the first six months of both fiscal 2013 and 2012.</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six months of fiscal 2013, our foreign subsidiaries reported a net loss of $146,000, compared to a net loss of $316,000 for the first six months of fiscal 2012. The change in the net loss was due primarily to the increased sales and a reduction in overhead costs.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Identifiable assets of our foreign subsidiaries as of January 31, 2013 were $8,569,000, compared to $8,900,000 as of January 31, 2012. The decrease is primarily due to lower cash and cash equivalents and net fixed assets, which were partially offset by increased accounts receivable and inventories.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by our foreign subsidiaries during the second quarter of fiscal 2013 were $3,307,000, an 18% increase, compared to net sales of $2,796,000 during the second quarter of fiscal 2012. The net sales increase was attributed to 11% more tons sold, price increases and stronger average exchange rates for both the Canadian Dollar and the British Pound relative to the U.S. Dollar. Net sales improved for our Canadian subsidiary due to higher sales of both branded and private label cat litters and for our United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Kingdom subsidiary due to increased sales of bleaching earth. Net sales by our foreign subsidiaries represented 5% of our consolidated net sales during the second quarter of both fiscal 2013 and 2012.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second quarter of fiscal 2013, our foreign subsidiaries reported net income of $21,000, compared to a net loss of $159,000 for the second quarter of fiscal 2012. The change from net loss to net income was due primarily to the increased sales and a reduction in overhead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real estate, equipment and facilities, funding new product development and investing in infrastructure, repurchases of Common Stock, paying dividends and, from time to time, making acquisitions. During the first six months of fiscal 2013, we principally used cash generated from operations and from previous debt issuances to fund these requirements. We also have the ability to borrow under our credit facilities; however, we have not borrowed under the credit agreement in recent years. Cash and cash equivalents decreased $1,663,000 during the first six months of fiscal 2013 to $25,430,000 at January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For the Six Months Ended January</w:t>
      </w:r>
    </w:p>
    <w:p>
      <w:pPr>
        <w:spacing w:after="0" w:line="2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22860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8"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3,366</w:t>
            </w:r>
          </w:p>
        </w:tc>
      </w:tr>
      <w:tr>
        <w:trPr>
          <w:trHeight w:val="27"/>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9,474</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fiscal years 2013 and 2012, the primary components of operating cash flows were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$779,000 in the first six months of fiscal 2013 compared to a decrease of $310,000 in the first six months of fiscal 2012. The change in both periods is due to the level and timing of sales and collections and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$2,513,000 in the first six months of fiscal 2013 compared to an increase of $2,410,000 in the same period in fiscal 2012. Finished goods inventories increased in the first six months of fiscal 2013 due to more tons and the mix of products in inventory, including increased agricultural products to meet forecasted needs. Finished goods and additive inventories increased in the first six months of fiscal 2012 due to higher costs and increased stocking of our Cat's Pride, fluid purification and agricultural products to meet forecasted needs.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expenses decreased $879,000 in the first six months of fiscal 2013 compared to a decrease of $2,417,000 in the first six months of fiscal 2012. During the first six months of fiscal 2013, decreases in prepaid income taxes and deferred trade spending exceeded an increase in prepaid insurance. During the first six months of fiscal 2012, a decrease in deferred advertising costs and prepaid income taxes outweighed an increase in prepaid insurance. Advertising and trade spending costs are recognized in accordance with our accounting policies. Prepaid insurance increased in both periods due the timing of insurance premium payments.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assets decreased $24,000 in the first six months of fiscal 2013 compared to an increase of $349,000 in the first six months of fiscal 2012. The change in other assets for both periods included the effect of currency exchange rate fluctuations on non-cash assets held by our foreign subsidiaries. The change in the relative value of the U.S. Dollar to both the British Pound and the Canadian Dollar resulted in a decrease in other assets in the first six months of fiscal 2013 compared to an increase in the same period in fiscal 2012.</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decreased $168,000 in the first six months of fiscal 2013 compared to a decrease of $179,000 in the first six months of fiscal 2012. Trade payables in both fiscal 2013 and fiscal 2012 varied due to timing of payments, cost fluctuations for goods and services we purchased and our production volume levels.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Accrued expenses increased $690,000 in the first six months of fiscal 2013 compared to a decrease of $98,000 in the first six months of fiscal 2012. Accrued salaries included the bonus accrual, which in the first six months of both fiscal 2013 and 2012 decreased by the payout of the prior fiscal year's bonus accrual and increased by the current fiscal year's first six months' bonus accrual. The bonus paid out in fiscal 2013 was substantially greater than the bonus paid out in fiscal 2012; however, the current year's accrual for the first six months of fiscal 2013 was higher than for the same period of fiscal 2012. Accrued trade promotions and advertising in the first six months of both fiscal 2013 and 2012 varied due to marketing programs for our Cat's Pride cat litter. Accrued freight changed in both years due to the timing of payments and shipments at quarter-end. Similar to accounts payable, accrued plant expenses fluctuated due to timing of payments, cost fluctuations for goods and services we purchased and our production levels. Accrued plant expenses increased in the first six months of both fiscal 2013 and 2012.</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increased $281,000 in the first six months of fiscal 2013 compared to an increase of $116,000 in the first six months of fiscal 2012. In the first six months of both fiscal 2013 and 2012, deferred compensation balances were reduced by scheduled payouts and were increased by employee deferrals and interest earned on accumulated deferred compensation balances.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and other postretirement liabilities increased $882,000 in the first six months of fiscal 2013 compared to an increase of $952,000 in the first six months of fiscal 2012. A $427,000 contribution during the first six months of fiscal 2013 partially offset a higher actuarially determined liability due to a lower required discount rate. No contribution was made during the first six months of fiscal 2012. See Note 6 of the notes to the condensed consolidated financial statements for further discussion of our postretirement benefit obligations.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liabilities decreased $25,000 in the first six months of fiscal 2013 compared to an increase of $50,000 in the first six months of fiscal 2012. The change in other liabilities included the effect of currency exchange rate fluctuations on the liabilities of our foreign subsidiaries. The change in the relative value of the U.S. Dollar to both the British Pound and the Canadian Dollar resulted in a decrease in other liabilities in the first six months of fiscal 2013 compared to an increase in the same period of fiscal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investing activities was $6,197,000 in the first six months of fiscal 2013 compared to net cash provided by investing activities of $3,366,000 in the first six months of fiscal 2012. Dispositions of investment securities were less than purchases by $1,222,000 and exceeded purchases by $6,855,000 in the first six months of fiscal 2013 and 2012, respectively. Purchases and dispositions of investment securities in both periods are subject to variations in the timing of investment maturities. Cash used for capital expenditures of $5,009,000 in the first six months of fiscal 2013 was primarily for improvement and replacement of machinery at our manufacturing facilities. Cash used for capital expenditures of $3,512,000 for the same period in fiscal 2012 included a new storage facility and replacement of machinery at our manufacturing locations.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$6,253,000 in the first six months of fiscal 2013 compared to cash used in financing activities of $4,196,000 in the first six months of fiscal 2012. Payments on long-term debt in the first six months of fiscal 2013 were $2,300,000 compared to $2,100,000 in the first six months of fiscal 2012. Proceeds from issuance of Common Stock and treasury stock in connection with stock option exercises were $653,000 and $121,000 in the first six months of fiscal 2013 and 2012,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Dividend payments in the first six months of fiscal 2013 of $4,630,000 were higher than the $2,262,000 paid during the same period of fiscal 2012. On December 4, 2012 our Board of Directors declared accelerated cash dividends of $0.36 per share of Common Stock and $0.27 per share of Class B Stock, which reflected dividends for the third and fourth quarters of fiscal 2013. These dividends were payable on December 28, 2012. This was not a special dividend payment nor an increase, but rather an acceleration of the quarterly dividends that would be paid normally over the course of fiscal 2013. The Board of Directors will consider the next regularly scheduled dividend payment at its June 2013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$1,331,000 at January 31, 2013 were lower than the January 31, 2012 balances of $1,939,000 due to continuing operating losses as discussed in “Foreign Operations” above.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$15,000,000 unsecured revolving credit agreement with BMO Harris Bank N.A. (“BMO Harris”) which will expire on December 31, 2014. The credit agreement provides that we may select a variable rate based on either BMO Harris’ prime rate or a LIBOR-based rate, plus a margin which varies depending on our debt to earnings ratio, or a fixed rate as agreed between us and BMO Harris. The credit agreement also allows us to obtain foreign letters of credit when necessary. At January 31, 2013,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variable rates would have been 3.25% for BMO Harris’ prime-based rate or 2.07%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2013 and 2012 and we were in compliance with its covenants.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2013, we had remaining authority to repurchase 312,197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cash flow from operations, availability under our revolving credit facility and current cash and investment balances will provide adequate cash funds for foreseeable working capital needs, capital expenditures at existing facilities, dividend payments and debt service obligations for at least the next 12 months. We expect cash requirements for capital expenditures in fiscal 2013 to be higher than in fiscal 2012 due to projects at our manufacturing facilities. We expect increased advertising and promotional expenditures over the remaining two quarters of fiscal 2013; however, total advertising and promotional spending is anticipated to be less than in fiscal 2012, but will remain higher than historical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at January 31, 2013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7"/>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3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9,250,000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4,778,000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1,218,000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1,718,000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1,109,000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733,000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9,686,000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2,418,000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1,501,000</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41,864,000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8,636,000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11,961,000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9,783,000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11,484,000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a quarterly contribution to our defined benefit pension plan of $427,000 during the first six months of fiscal 2013. We estimate contributions of approximately $780,000 will be made during the remainder of fiscal 2013.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7"/>
          </w:tcPr>
          <w:p>
            <w:pPr>
              <w:ind w:left="60"/>
              <w:spacing w:after="0"/>
              <w:rPr>
                <w:sz w:val="20"/>
                <w:szCs w:val="20"/>
                <w:color w:val="auto"/>
              </w:rPr>
            </w:pPr>
            <w:r>
              <w:rPr>
                <w:rFonts w:ascii="Arial" w:cs="Arial" w:eastAsia="Arial" w:hAnsi="Arial"/>
                <w:sz w:val="18"/>
                <w:szCs w:val="18"/>
                <w:b w:val="1"/>
                <w:bCs w:val="1"/>
                <w:color w:val="auto"/>
                <w:w w:val="99"/>
              </w:rPr>
              <w:t>Amount of Commitment Expiration Per Period</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 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After 5 Years</w:t>
            </w:r>
          </w:p>
        </w:tc>
      </w:tr>
      <w:tr>
        <w:trPr>
          <w:trHeight w:val="27"/>
        </w:trPr>
        <w:tc>
          <w:tcPr>
            <w:tcW w:w="4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   28,660,000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26,330,000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2,330,000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2013, the FASB issued guidance under ASC 220, </w:t>
      </w:r>
      <w:r>
        <w:rPr>
          <w:rFonts w:ascii="Arial" w:cs="Arial" w:eastAsia="Arial" w:hAnsi="Arial"/>
          <w:sz w:val="18"/>
          <w:szCs w:val="18"/>
          <w:i w:val="1"/>
          <w:iCs w:val="1"/>
          <w:color w:val="auto"/>
        </w:rPr>
        <w:t>Comprehensive Income-Reporting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that requires presentation by the respective line items of net income, either on the face of the statement where net income is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or in the notes, information about significant amounts required under U.S. GAAP to be reclassified out of accumulated other comprehensive income in their entirety. For amounts not required to be reclassified in their entirety to net income, an entity is required to cross-reference to other disclosures that provide additional details about those amounts. These presentation requirements will be effective for our quarter ending April 30, 2013 and will not have a significant impact on our consolidated financial statements.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2012, the FASB issued guidance under ASC 350, </w:t>
      </w:r>
      <w:r>
        <w:rPr>
          <w:rFonts w:ascii="Arial" w:cs="Arial" w:eastAsia="Arial" w:hAnsi="Arial"/>
          <w:sz w:val="18"/>
          <w:szCs w:val="18"/>
          <w:i w:val="1"/>
          <w:iCs w:val="1"/>
          <w:color w:val="auto"/>
        </w:rPr>
        <w:t>Testing Indefinite-Lived Intangible Assets for Impairment,</w:t>
      </w:r>
      <w:r>
        <w:rPr>
          <w:rFonts w:ascii="Arial" w:cs="Arial" w:eastAsia="Arial" w:hAnsi="Arial"/>
          <w:sz w:val="18"/>
          <w:szCs w:val="18"/>
          <w:color w:val="auto"/>
        </w:rPr>
        <w:t xml:space="preserve"> that provides the option to first assess qualitative factors to determine whether it is more likely than not that an indefinite-lived intangible asset is impaired as a basis for determining whether it is necessary to perform the second, quantitative impairment test. If, based on the qualitative assessment of events or circumstances, an entity determines it is more likely than not that the indefinite-lived intangible asset's fair value is more than its carrying amount, then it is not necessary to perform the quantitative impairment test. However, if an entity concludes otherwise, then the quantitative impairment test must also be performed to identify and measure any potential impairment amount. We are currently evaluating the impact this guidance will have on our annual indefinite-lived intangible asset impairment testing for our fiscal year 2014 beginning August 1, 2013.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fluctuation risk, primarily U.S. Dollar/British Pound, U.S. Dollar/Euro and U.S. Dollar/Canadian Dollar, as it relates to certain accounts receivables and to our foreign operations. We are also subject to translation exposure of our foreign subsidiaries’ financial statements. In recent years, our foreign subsidiaries have not generated a substantial portion of our consolidated sales or net income. In addition, a small portion of our consolidated accounts receivable are denominated in foreign currencies. In the second quarter of fiscal 2013 we entered into two derivative contracts to reduce our exposure to fluctuations in the exchange rate of the Euro compared to the U.S. Dollar. These contracts expired prior to January 31, 2013 and no transactions were executed per the contractual terms. We believe that the overall foreign currency fluctuation risk is not material to our consolidated financial statements.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2013. We continue to purchase natural gas at spot rates on a month to month basis.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2013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three months ended January 31, 2013,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Number of Shares</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Plans or</w:t>
            </w:r>
          </w:p>
        </w:tc>
      </w:tr>
      <w:tr>
        <w:trPr>
          <w:trHeight w:val="261"/>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Ended January 31, 2013</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Programs</w:t>
            </w:r>
            <w:r>
              <w:rPr>
                <w:rFonts w:ascii="Arial" w:cs="Arial" w:eastAsia="Arial" w:hAnsi="Arial"/>
                <w:sz w:val="25"/>
                <w:szCs w:val="25"/>
                <w:b w:val="1"/>
                <w:bCs w:val="1"/>
                <w:color w:val="auto"/>
                <w:w w:val="85"/>
                <w:vertAlign w:val="superscript"/>
              </w:rPr>
              <w:t>2</w:t>
            </w:r>
          </w:p>
        </w:tc>
      </w:tr>
      <w:tr>
        <w:trPr>
          <w:trHeight w:val="22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1, 2012 to</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30, 2012</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7,856</w:t>
            </w:r>
          </w:p>
        </w:tc>
        <w:tc>
          <w:tcPr>
            <w:tcW w:w="2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$21.25</w:t>
            </w: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7,856</w:t>
            </w:r>
          </w:p>
        </w:tc>
        <w:tc>
          <w:tcPr>
            <w:tcW w:w="2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312,197</w:t>
            </w: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December 1, 2012 to</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312,197</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 2013 to</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31, 2013</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312,197</w:t>
            </w:r>
          </w:p>
        </w:tc>
      </w:tr>
      <w:tr>
        <w:trPr>
          <w:trHeight w:val="27"/>
        </w:trPr>
        <w:tc>
          <w:tcPr>
            <w:tcW w:w="1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Note 7 of the consolidated financial statements included in our Annual Report on Form 10-K for the fiscal year ended July 31, 2012 filed with the SEC.</w:t>
      </w:r>
    </w:p>
    <w:p>
      <w:pPr>
        <w:spacing w:after="0" w:line="202" w:lineRule="exact"/>
        <w:rPr>
          <w:sz w:val="20"/>
          <w:szCs w:val="20"/>
          <w:color w:val="auto"/>
        </w:rPr>
      </w:pPr>
    </w:p>
    <w:p>
      <w:pPr>
        <w:jc w:val="both"/>
        <w:ind w:firstLine="8"/>
        <w:spacing w:after="0" w:line="232" w:lineRule="auto"/>
        <w:tabs>
          <w:tab w:leader="none" w:pos="125"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both March 11, 2011 and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 and no shares of Class A Common Stock are currently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2013</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320"/>
          </w:cols>
          <w:pgMar w:left="580" w:top="584" w:right="9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4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31750</wp:posOffset>
            </wp:positionV>
            <wp:extent cx="68605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340" w:lineRule="exact"/>
        <w:rPr>
          <w:sz w:val="20"/>
          <w:szCs w:val="20"/>
          <w:color w:val="auto"/>
        </w:rPr>
      </w:pPr>
    </w:p>
    <w:p>
      <w:pPr>
        <w:ind w:left="1640" w:hanging="529"/>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40" w:hanging="536"/>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8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8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80"/>
              <w:spacing w:after="0"/>
              <w:rPr>
                <w:sz w:val="20"/>
                <w:szCs w:val="20"/>
                <w:color w:val="auto"/>
              </w:rPr>
            </w:pPr>
            <w:r>
              <w:rPr>
                <w:rFonts w:ascii="Arial" w:cs="Arial" w:eastAsia="Arial" w:hAnsi="Arial"/>
                <w:sz w:val="18"/>
                <w:szCs w:val="18"/>
                <w:color w:val="auto"/>
                <w:w w:val="94"/>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8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For the Three Months Ended</w:t>
            </w:r>
          </w:p>
        </w:tc>
        <w:tc>
          <w:tcPr>
            <w:tcW w:w="120" w:type="dxa"/>
            <w:vAlign w:val="bottom"/>
          </w:tcPr>
          <w:p>
            <w:pPr>
              <w:spacing w:after="0"/>
              <w:rPr>
                <w:sz w:val="18"/>
                <w:szCs w:val="18"/>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ind w:left="46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0"/>
                <w:szCs w:val="20"/>
                <w:color w:val="auto"/>
              </w:rPr>
            </w:pPr>
          </w:p>
        </w:tc>
        <w:tc>
          <w:tcPr>
            <w:tcW w:w="21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available to stockholders</w:t>
            </w:r>
          </w:p>
        </w:tc>
        <w:tc>
          <w:tcPr>
            <w:tcW w:w="14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6,598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2"/>
              </w:rPr>
              <w:t>Less: Distributed and undistributed earnings allocated to non-vested stock</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available to common shareholders</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Shares Calculation</w:t>
            </w: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3"/>
            <w:vMerge w:val="continue"/>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shares outstanding -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Average shares outstanding - Basic Class B Common</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1,976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1,960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Potential Common Stock relating to stock options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Average shares outstanding - Assuming dilution</w:t>
            </w:r>
          </w:p>
        </w:tc>
        <w:tc>
          <w:tcPr>
            <w:tcW w:w="1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6,922</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7,128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6,904</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51"/>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 Per Share: Basic Class B Common</w:t>
            </w:r>
          </w:p>
        </w:tc>
        <w:tc>
          <w:tcPr>
            <w:tcW w:w="1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0.25</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1"/>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480" w:type="dxa"/>
            <w:vAlign w:val="bottom"/>
            <w:gridSpan w:val="2"/>
            <w:shd w:val="clear" w:color="auto" w:fill="CCEEFF"/>
          </w:tcPr>
          <w:p>
            <w:pPr>
              <w:ind w:left="1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11, 2013</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11, 2013</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10,464</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2,051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1,145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6,996</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31"/>
    </w:lvl>
  </w:abstractNum>
  <w:abstractNum w:abstractNumId="5">
    <w:nsid w:val="2EB141F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6">
    <w:nsid w:val="41B71E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2020-02-18T22:15:29Z</dcterms:created>
  <dcterms:modified xsi:type="dcterms:W3CDTF">2020-02-18T22:15:29Z</dcterms:modified>
</cp:coreProperties>
</file>