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lineRule="auto" w:line="288" w:before="0" w:after="0"/>
        <w:ind w:left="0" w:right="0" w:firstLine="540"/>
        <w:jc w:val="left"/>
        <w:rPr>
          <w:color w:val="000000"/>
        </w:rPr>
      </w:pPr>
      <w:r>
        <w:rPr>
          <w:color w:val="000000"/>
        </w:rPr>
        <w:t> </w:t>
      </w:r>
    </w:p>
    <w:tbl>
      <w:tblPr>
        <w:tblW w:w="5234" w:type="dxa"/>
        <w:jc w:val="left"/>
        <w:tblInd w:w="0" w:type="dxa"/>
        <w:tblLayout w:type="fixed"/>
        <w:tblCellMar>
          <w:top w:w="28" w:type="dxa"/>
          <w:left w:w="28" w:type="dxa"/>
          <w:bottom w:w="28" w:type="dxa"/>
          <w:right w:w="28" w:type="dxa"/>
        </w:tblCellMar>
      </w:tblPr>
      <w:tblGrid>
        <w:gridCol w:w="1411"/>
        <w:gridCol w:w="1239"/>
        <w:gridCol w:w="1249"/>
        <w:gridCol w:w="391"/>
        <w:gridCol w:w="391"/>
        <w:gridCol w:w="553"/>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2"/>
        <w:gridCol w:w="738"/>
        <w:gridCol w:w="738"/>
        <w:gridCol w:w="738"/>
        <w:gridCol w:w="738"/>
        <w:gridCol w:w="772"/>
        <w:gridCol w:w="109"/>
        <w:gridCol w:w="109"/>
        <w:gridCol w:w="109"/>
        <w:gridCol w:w="718"/>
        <w:gridCol w:w="718"/>
        <w:gridCol w:w="725"/>
        <w:gridCol w:w="109"/>
        <w:gridCol w:w="109"/>
        <w:gridCol w:w="109"/>
        <w:gridCol w:w="822"/>
        <w:gridCol w:w="822"/>
        <w:gridCol w:w="1180"/>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u w:val="single"/>
              </w:rPr>
              <w:t>Delaware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001-12622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36-2048898</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u w:val="single"/>
              </w:rPr>
              <w:t>410 North Michigan Avenue,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60611-4213</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color w:val="000000"/>
                <w:sz w:val="20"/>
              </w:rPr>
              <w:t>Chicago</w:t>
            </w:r>
            <w:r>
              <w:rPr>
                <w:rFonts w:ascii="Times New Roman;sans-serif" w:hAnsi="Times New Roman;sans-serif"/>
                <w:b w:val="false"/>
                <w:color w:val="000000"/>
                <w:sz w:val="20"/>
                <w:u w:val="single"/>
              </w:rPr>
              <w:t>,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telephone number, including area code: (312) 321-1515 </w:t>
            </w:r>
          </w:p>
        </w:tc>
      </w:tr>
    </w:tbl>
    <w:p>
      <w:pPr>
        <w:pStyle w:val="TextBody"/>
        <w:bidi w:val="0"/>
        <w:spacing w:lineRule="auto" w:line="288" w:before="100" w:after="283"/>
        <w:jc w:val="center"/>
        <w:rPr>
          <w:color w:val="000000"/>
        </w:rPr>
      </w:pPr>
      <w:r>
        <w:rPr>
          <w:color w:val="000000"/>
        </w:rPr>
        <w:t> </w:t>
      </w:r>
    </w:p>
    <w:tbl>
      <w:tblPr>
        <w:tblW w:w="5115" w:type="dxa"/>
        <w:jc w:val="left"/>
        <w:tblInd w:w="0" w:type="dxa"/>
        <w:tblLayout w:type="fixed"/>
        <w:tblCellMar>
          <w:top w:w="28" w:type="dxa"/>
          <w:left w:w="28" w:type="dxa"/>
          <w:bottom w:w="28" w:type="dxa"/>
          <w:right w:w="28" w:type="dxa"/>
        </w:tblCellMar>
      </w:tblPr>
      <w:tblGrid>
        <w:gridCol w:w="1637"/>
        <w:gridCol w:w="1440"/>
        <w:gridCol w:w="2038"/>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$0.10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ODC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33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2024, Oil-Dri Corporation of America (the “Company”) issued a press release announcing its results of operations for its second quarter ended January 31, 2024. A copy of the press release is attached as Exhibit 99.1, and the information contained therein is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2.02, including Exhibit 99.1 hereto,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(the "Securities Act"), or the Exchange Act, except as shall be expressly set forth by specific reference to such disclosure in this Form 8-K in such a filing.</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4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381"/>
        <w:gridCol w:w="381"/>
        <w:gridCol w:w="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its regular meeting on March 6, 2024, the Board of Directors of the Company declared quarterly cash dividends of $0.29 per share of the Company’s Common Stock and $0.218 per share of the Company’s Class B Stock. The dividends will be payable on May 24, 2024 to stockholders of record at the close of business on May 10, 2024. A copy of the Company’s press release announcing these matters is attached as Exhibit 99.2 and the information contained therein is incorporated herein by reference.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8.01, including Exhibit 99.2 hereto, shall not be deemed “filed” for purposes of Section 18 of the Exchange Act, or otherwise subject to the liabilities of that section. This information shall not be deemed to be incorporated by reference into any filing under the Securities Act, or the Exchange Act, except as shall be expressly set forth by specific reference to such disclosure in this Form 8-K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6"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695" w:type="dxa"/>
        <w:jc w:val="left"/>
        <w:tblInd w:w="0" w:type="dxa"/>
        <w:tblLayout w:type="fixed"/>
        <w:tblCellMar>
          <w:top w:w="28" w:type="dxa"/>
          <w:left w:w="28" w:type="dxa"/>
          <w:bottom w:w="28" w:type="dxa"/>
          <w:right w:w="28" w:type="dxa"/>
        </w:tblCellMar>
      </w:tblPr>
      <w:tblGrid>
        <w:gridCol w:w="279"/>
        <w:gridCol w:w="247"/>
        <w:gridCol w:w="247"/>
        <w:gridCol w:w="109"/>
        <w:gridCol w:w="109"/>
        <w:gridCol w:w="109"/>
        <w:gridCol w:w="2516"/>
        <w:gridCol w:w="2516"/>
        <w:gridCol w:w="3563"/>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63"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 of Exhibits</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release.htm">
              <w:r>
                <w:rPr>
                  <w:rStyle w:val="InternetLink"/>
                  <w:rFonts w:ascii="Times New Roman;sans-serif" w:hAnsi="Times New Roman;sans-serif"/>
                  <w:b w:val="false"/>
                  <w:color w:val="000080"/>
                  <w:sz w:val="20"/>
                  <w:u w:val="single"/>
                </w:rPr>
                <w:t xml:space="preserve">Earnings </w:t>
              </w:r>
            </w:hyperlink>
            <w:hyperlink w:anchor="exhibit991-earningsrelease.htm">
              <w:r>
                <w:rPr>
                  <w:rStyle w:val="InternetLink"/>
                  <w:rFonts w:ascii="Times New Roman;sans-serif" w:hAnsi="Times New Roman;sans-serif"/>
                  <w:b w:val="false"/>
                  <w:color w:val="000080"/>
                  <w:sz w:val="20"/>
                  <w:u w:val="single"/>
                </w:rPr>
                <w:t xml:space="preserve">Press Release of the Company dated March </w:t>
              </w:r>
            </w:hyperlink>
            <w:hyperlink w:anchor="exhibit991-earningsrelease.htm">
              <w:r>
                <w:rPr>
                  <w:rStyle w:val="InternetLink"/>
                  <w:rFonts w:ascii="Times New Roman;sans-serif" w:hAnsi="Times New Roman;sans-serif"/>
                  <w:b w:val="false"/>
                  <w:color w:val="000080"/>
                  <w:sz w:val="20"/>
                  <w:u w:val="single"/>
                </w:rPr>
                <w:t>7</w:t>
              </w:r>
            </w:hyperlink>
            <w:hyperlink w:anchor="exhibit991-earningsrelease.htm">
              <w:r>
                <w:rPr>
                  <w:rStyle w:val="InternetLink"/>
                  <w:rFonts w:ascii="Times New Roman;sans-serif" w:hAnsi="Times New Roman;sans-serif"/>
                  <w:b w:val="false"/>
                  <w:color w:val="000080"/>
                  <w:sz w:val="20"/>
                  <w:u w:val="single"/>
                </w:rPr>
                <w:t>, 2024</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dividendrelease.htm">
              <w:r>
                <w:rPr>
                  <w:rStyle w:val="InternetLink"/>
                  <w:rFonts w:ascii="Times New Roman;sans-serif" w:hAnsi="Times New Roman;sans-serif"/>
                  <w:b w:val="false"/>
                  <w:color w:val="0000FF"/>
                  <w:sz w:val="20"/>
                  <w:u w:val="single"/>
                </w:rPr>
                <w:t>Dividends Press Release of the Company dated March 6, 2024</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iXBRL document)</w:t>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58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585"/>
        <w:jc w:val="left"/>
        <w:rPr>
          <w:color w:val="000000"/>
        </w:rPr>
      </w:pPr>
      <w:r>
        <w:rPr>
          <w:color w:val="000000"/>
        </w:rPr>
        <w:t> </w:t>
      </w:r>
    </w:p>
    <w:tbl>
      <w:tblPr>
        <w:tblW w:w="7350" w:type="dxa"/>
        <w:jc w:val="left"/>
        <w:tblInd w:w="0" w:type="dxa"/>
        <w:tblLayout w:type="fixed"/>
        <w:tblCellMar>
          <w:top w:w="28" w:type="dxa"/>
          <w:left w:w="28" w:type="dxa"/>
          <w:bottom w:w="28" w:type="dxa"/>
          <w:right w:w="28" w:type="dxa"/>
        </w:tblCellMar>
      </w:tblPr>
      <w:tblGrid>
        <w:gridCol w:w="124"/>
        <w:gridCol w:w="109"/>
        <w:gridCol w:w="109"/>
        <w:gridCol w:w="371"/>
        <w:gridCol w:w="371"/>
        <w:gridCol w:w="371"/>
        <w:gridCol w:w="1184"/>
        <w:gridCol w:w="1184"/>
        <w:gridCol w:w="1184"/>
        <w:gridCol w:w="686"/>
        <w:gridCol w:w="686"/>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G. Scheland</w:t>
            </w:r>
          </w:p>
        </w:tc>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G. Scheland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Strategic Partnerships and General Counsel &amp; Secretary</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7,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542925"/>
                    </a:xfrm>
                    <a:prstGeom prst="rect">
                      <a:avLst/>
                    </a:prstGeom>
                  </pic:spPr>
                </pic:pic>
              </a:graphicData>
            </a:graphic>
          </wp:inline>
        </w:drawing>
      </w:r>
    </w:p>
    <w:p>
      <w:pPr>
        <w:pStyle w:val="TextBody"/>
        <w:bidi w:val="0"/>
        <w:spacing w:lineRule="auto" w:line="417" w:before="0" w:after="0"/>
        <w:jc w:val="center"/>
        <w:rPr>
          <w:rFonts w:ascii="Arial;sans-serif" w:hAnsi="Arial;sans-serif"/>
          <w:b w:val="false"/>
          <w:i/>
          <w:color w:val="002D69"/>
          <w:sz w:val="17"/>
        </w:rPr>
      </w:pPr>
      <w:r>
        <w:rPr>
          <w:rFonts w:ascii="Arial;sans-serif" w:hAnsi="Arial;sans-serif"/>
          <w:b w:val="false"/>
          <w:i/>
          <w:color w:val="002D69"/>
          <w:sz w:val="17"/>
        </w:rPr>
        <w:t>410 N. Michigan Ave. Chicago, Illinois 60611, U.S.A</w:t>
      </w:r>
    </w:p>
    <w:p>
      <w:pPr>
        <w:pStyle w:val="TextBody"/>
        <w:bidi w:val="0"/>
        <w:spacing w:lineRule="auto" w:line="288" w:before="0" w:after="0"/>
        <w:jc w:val="center"/>
        <w:rPr>
          <w:rFonts w:ascii="Times New Roman;sans-serif" w:hAnsi="Times New Roman;sans-serif"/>
          <w:b/>
          <w:color w:val="002D69"/>
          <w:sz w:val="24"/>
        </w:rPr>
      </w:pPr>
      <w:r>
        <w:rPr>
          <w:rFonts w:ascii="Times New Roman;sans-serif" w:hAnsi="Times New Roman;sans-serif"/>
          <w:b/>
          <w:color w:val="002D69"/>
          <w:sz w:val="24"/>
        </w:rPr>
        <w:t>News Announcement</w:t>
      </w:r>
    </w:p>
    <w:p>
      <w:pPr>
        <w:pStyle w:val="TextBody"/>
        <w:bidi w:val="0"/>
        <w:spacing w:lineRule="auto" w:line="288" w:before="0" w:after="0"/>
        <w:jc w:val="center"/>
        <w:rPr>
          <w:rFonts w:ascii="Times New Roman;sans-serif" w:hAnsi="Times New Roman;sans-serif"/>
          <w:b w:val="false"/>
          <w:i/>
          <w:color w:val="002D69"/>
          <w:sz w:val="24"/>
        </w:rPr>
      </w:pPr>
      <w:r>
        <w:rPr>
          <w:rFonts w:ascii="Times New Roman;sans-serif" w:hAnsi="Times New Roman;sans-serif"/>
          <w:b w:val="false"/>
          <w:i/>
          <w:color w:val="002D69"/>
          <w:sz w:val="24"/>
        </w:rPr>
        <w:t>For Immediate Release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Exhibit 99.1</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Oil-Dri Achieves Record Results for the Second Quarter and Triples its Net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CHICAGO-(March 7, 2024) - Oil-Dri Corporation of America (NYSE: ODC), producer and marketer of sorbent mineral products, today announced results for its second quarter and first six-months of fiscal year 2024.</w:t>
      </w:r>
    </w:p>
    <w:tbl>
      <w:tblPr>
        <w:tblW w:w="10205" w:type="dxa"/>
        <w:jc w:val="center"/>
        <w:tblInd w:w="0" w:type="dxa"/>
        <w:tblLayout w:type="fixed"/>
        <w:tblCellMar>
          <w:top w:w="28" w:type="dxa"/>
          <w:left w:w="28" w:type="dxa"/>
          <w:bottom w:w="28" w:type="dxa"/>
          <w:right w:w="28" w:type="dxa"/>
        </w:tblCellMar>
      </w:tblPr>
      <w:tblGrid>
        <w:gridCol w:w="1687"/>
        <w:gridCol w:w="1442"/>
        <w:gridCol w:w="1453"/>
        <w:gridCol w:w="196"/>
        <w:gridCol w:w="736"/>
        <w:gridCol w:w="109"/>
        <w:gridCol w:w="196"/>
        <w:gridCol w:w="736"/>
        <w:gridCol w:w="109"/>
        <w:gridCol w:w="235"/>
        <w:gridCol w:w="235"/>
        <w:gridCol w:w="236"/>
        <w:gridCol w:w="196"/>
        <w:gridCol w:w="736"/>
        <w:gridCol w:w="109"/>
        <w:gridCol w:w="196"/>
        <w:gridCol w:w="736"/>
        <w:gridCol w:w="109"/>
        <w:gridCol w:w="220"/>
        <w:gridCol w:w="220"/>
        <w:gridCol w:w="313"/>
      </w:tblGrid>
      <w:tr>
        <w:trPr/>
        <w:tc>
          <w:tcPr>
            <w:tcW w:w="168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Second Quarter</w:t>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to Date</w:t>
            </w:r>
          </w:p>
        </w:tc>
      </w:tr>
      <w:tr>
        <w:trPr/>
        <w:tc>
          <w:tcPr>
            <w:tcW w:w="4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xml:space="preserve">Ended January 31, </w:t>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xml:space="preserve">Ended January 31, </w:t>
            </w:r>
          </w:p>
        </w:tc>
      </w:tr>
      <w:tr>
        <w:trPr/>
        <w:tc>
          <w:tcPr>
            <w:tcW w:w="458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5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582"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Consolidated Results</w:t>
            </w:r>
          </w:p>
        </w:tc>
        <w:tc>
          <w:tcPr>
            <w:tcW w:w="1041"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45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Oil-Dri</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154%</w:t>
            </w:r>
          </w:p>
        </w:tc>
      </w:tr>
      <w:tr>
        <w:trPr/>
        <w:tc>
          <w:tcPr>
            <w:tcW w:w="45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Income Attributable to Oil-Dri Excluding Nonrecurring Events </w:t>
            </w:r>
            <w:r>
              <w:rPr>
                <w:color w:val="000000"/>
              </w:rPr>
              <w:t>†</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w:t>
            </w:r>
          </w:p>
        </w:tc>
      </w:tr>
      <w:tr>
        <w:trPr/>
        <w:tc>
          <w:tcPr>
            <w:tcW w:w="45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EPS - Common</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138%</w:t>
            </w:r>
          </w:p>
        </w:tc>
      </w:tr>
      <w:tr>
        <w:trPr/>
        <w:tc>
          <w:tcPr>
            <w:tcW w:w="45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Diluted EPS - Common, Excluding Nonrecurring Events </w:t>
            </w:r>
            <w:r>
              <w:rPr>
                <w:color w:val="000000"/>
              </w:rPr>
              <w:t>†</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w:t>
            </w:r>
          </w:p>
        </w:tc>
      </w:tr>
      <w:tr>
        <w:trPr/>
        <w:tc>
          <w:tcPr>
            <w:tcW w:w="4582"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Business to Business</w:t>
            </w:r>
          </w:p>
        </w:tc>
        <w:tc>
          <w:tcPr>
            <w:tcW w:w="1041"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45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Income</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r>
      <w:tr>
        <w:trPr/>
        <w:tc>
          <w:tcPr>
            <w:tcW w:w="4582"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Retail and Wholesale</w:t>
            </w:r>
          </w:p>
        </w:tc>
        <w:tc>
          <w:tcPr>
            <w:tcW w:w="1041"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4582"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Income</w:t>
            </w:r>
          </w:p>
        </w:tc>
        <w:tc>
          <w:tcPr>
            <w:tcW w:w="196"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11,877 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96"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color w:val="000000"/>
        </w:rPr>
      </w:pPr>
      <w:r>
        <w:rPr>
          <w:color w:val="000000"/>
        </w:rPr>
        <w:t xml:space="preserve">† </w:t>
      </w:r>
      <w:r>
        <w:rPr>
          <w:rFonts w:ascii="Times New Roman;sans-serif" w:hAnsi="Times New Roman;sans-serif"/>
          <w:b w:val="false"/>
          <w:i/>
          <w:color w:val="000000"/>
          <w:sz w:val="16"/>
        </w:rPr>
        <w:t>Please refer to Reconciliation of Non-GAAP Financial Measures below for a reconciliation of Non-GAAP items to the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Daniel S. Jaffee, President and Chief Executive Officer, stated, “I am pleased to report another exceptional quarter, marked by growth in consolidated net sales, gross profit, and net income. Increased sales of renewable diesel and cat litter products pushed our revenues to record highs for the second quarter. Our strategic initiatives to improve gross margins yielded positive results in the second quarter of fiscal 2024 which generated cash to help fund the replacement of aging manufacturing assets. Our net income more than tripled in the second quarter of fiscal 2024, compared to the prior year. These achievements can be attributed to our team’s ongoing dedication and the diverse product offerings derived from our unique minerals. In the periods ahead, we remain committed to sustaining this momentum, investing in our manufacturing infrastructure, and delivering our value- added products and services to our loyal customers.”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Consolidated Results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Consolidated net sales reached $105.7 million, a 4% increase over the prior year, which was a record for the second quarter. This growth was primarily driven by elevated sales of fluids purification and cat litter products, including co-packaged items. Revenues from industrial &amp; sports products remained flat, while sales from the animal health and agricultural businesses declined in the second quarter compared to last year. Higher prices across all principal products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helped contribute to the improvement in net sales, as well as increased volumes within the Business to Business (“B2B”) Products Group.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Consolidated gross profit of $30.9 million was an all-time high for the second quarter, an increase of $7.9 million, or 34%, over the prior year. Gross margins expanded to 29.3% in fiscal 2024 from 22.6% in fiscal 2023. This increase was driven by higher selling prices across multiple products and improved product mix. During the three months ended January 31, 2024, domestic cost of goods sold per ton increased by 1% compared to the prior year. This was a result of higher per ton freight and non-fuel manufacturing costs, such as labor and repairs, which offset lower natural gas and packaging costs.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Selling, general and administrative (“SG&amp;A”) expenses were $15.8 million during the second quarter of fiscal 2024 and remained relatively flat compared to the same period last year.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the second quarter of fiscal 2024, consolidated operating income more than doubled to $15.2 million from $7.3 million in the second quarter of fiscal 2023.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other expense, net was $500,000 for the three months ended January 31, 2024 compared to total other expense, net of $2.3 million in the same period last year. In the second quarter of fiscal 2023, the Company recorded a reserve of $2.5 million for modification costs to address capacity issues at its sole landfill located in Ochlocknee, Georgia. In the second quarter of fiscal year 2024, the landfill reserve accrual was increased, but partially offset by higher interest income.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Income tax expense increased to $2.3 million in the second quarter of fiscal year 2024 compared to $1.2 million in the same period last year due to the Company’s higher taxable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set a record for the highest second quarter net income attributable to Oil-Dri of $12.4 million in fiscal 2024, more than triple the prior year’s second quarter bottom line of $3.9 million. Excluding nonrecurring items, net income attributable to Oil-Dri for the second quarter of fiscal year 2024 was $12.8 million compared to $5.8 million in the same period last year, or a 120% increase.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Cash and cash equivalents for the three month period ending January 31, 2024, totaled $27.8 million compared to $14.0 million in the prior year. This $13.8 million increase was driven by higher earnings. Significant uses of cash during the second quarter of fiscal 2024 include capital investments for manufacturing infrastructure improvements and dividends.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Product Group Review</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Business to Business Products Group’s second quarter of fiscal 2024 revenues were $36.2 million, or 3% higher than the prior year, driven primarily from an increase in volume, and to a lesser extent, from higher prices. Elevated revenues from fluids purification products more than offset sales declines in the agricultural and animal health businesses. During the second quarter of fiscal 2024, revenues from fluid purification products reached a record $22.7 million, or a 19% increase over the prior year. This was primarily due to increased demand for renewable diesel, edible oil, and jet fuel products within North America, combined with higher prices in the region. The Company acquired several new customers as a result of the recently established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renewable diesel plants within the U.S. which helped drive this growth. In the second quarter of fiscal 2024, sales of agricultural products were $9.3 million, or a 5% decrease from the prior year. This decline was a result of softer volumes. Amlan International, the Company’s animal health business, generated $4.2 million in sales during the second quarter of fiscal 2024, reflecting a 33% decrease from last year. Despite this decline, double digit revenue gains were achieved within North America where the Company has made significant investments to grow the business. Sales improved within this region through higher prices and increased demand of Sorbiam products. These gains were more than offset by revenue declines within Asia (including China), Latin America, and Mexico as a result of timing of orders and lower demand. Due to the transition from sales through Oil-Dri’s subsidiary in China to a master distributor model, future sales to China will be directly through the Company and captured under the Asia region.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During the second quarter of fiscal 2024, SG&amp;A costs within the B2B Products Group increased by $200,000, or 7%, over the prior year. This was mainly driven by higher compensation-related expenses, partially offset by a reduction in the allocation of technical support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Operating income for the B2B Products Group was $11.0 million in the second quarter of fiscal 2024 compared to $7.7 million in fiscal 2023, reflecting a 42% increase. This $3.3 million gain can be attributed to higher sales and a favorable product mix, partially offset by elevated SG&amp;A expenses.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The Retail and Wholesale (“R&amp;W”) Products Group’s second quarter revenues reached $69.4 million, a 4% increase over the prior year. This increase was driven by higher prices across product offerings. A significant portion of this growth can be attributed to record high sales from co-packaged coarse cat litter products. A combination of higher prices and the shift in the timing of sales from a key customer who was impacted by a cyberattack during the first quarter of fiscal 2024 generated these sales gains. In addition, domestic cat litter sales, excluding the Company’s co-packaged coarse cat litter business, grew to $50.2 million, or a 3% increase over the prior year. Higher prices across the domestic cat litter product portfolio drove the increase. Revenues from combined domestic branded and private label lightweight litter items rose 3% in the second quarter of fiscal 2024 versus the prior year. However, retail sales of these products grew 8% compared to the lightweight litter segment sales growth of 7% for the 13-week period ended January 27, 2024, according to third-party research data for retail sales</w:t>
      </w:r>
      <w:r>
        <w:rPr>
          <w:rFonts w:ascii="Times New Roman;sans-serif" w:hAnsi="Times New Roman;sans-serif"/>
          <w:b w:val="false"/>
          <w:color w:val="000000"/>
          <w:sz w:val="16"/>
        </w:rPr>
        <w:t>1</w:t>
      </w:r>
      <w:r>
        <w:rPr>
          <w:rFonts w:ascii="Times New Roman;sans-serif" w:hAnsi="Times New Roman;sans-serif"/>
          <w:b w:val="false"/>
          <w:color w:val="000000"/>
          <w:sz w:val="24"/>
        </w:rPr>
        <w:t xml:space="preserve">. While shipment growth trailed the lightweight litter segment consumption growth this quarter, the Company continued to increase its share of the lightweight litter segment. In addition, Oil-Dri expanded distribution of its newly launched EPA approved Cat’s Pride Antibacterial Clumping Litter. Sales of both branded and private label coarse cat litter increased during the second quarter compared to the same period last year. Domestic industrial and sports product revenues were $9.6 million in the second quarter of fiscal 2024 and flat compared to the prior year. Sales from the Company’s Canadian subsidiary also remained relatively flat in the three months ended January 31, 2024, compared to the same period last year. Slightly higher revenues from cat litter products were offset by softer sales from industrial floor absorbents.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During the second quarter of fiscal 2024, SG&amp;A expenses within the R&amp;W Products Group increased by $800,000 or 25% over the prior year. This was driven by higher advertising costs to promote Cat’s Pride lightweight litter, including the newly launched Cat’s Pride Antibacterial Clumping Litter product. The Company expects advertising costs for the full fiscal year 2024 to be higher than fiscal year 2023, though spread more evenly over four quarters.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Operating income for the R&amp;W Products Group reached $11.9 million in the second quarter of fiscal year 2024 compared to $8.7 million in the prior year, reflecting a 37% increase. This $3.2 million increase can be attributed to higher sales, partially offset by increased cost of goods sold and SG&amp;A expenses.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Oil-Dri will host its second quarter of fiscal year 2024 earnings discussion via a live webcast on Friday, March 8, 2024 at 10:00 a.m. Central Time. Participation details are available on the Company’s website’s Events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i/>
          <w:color w:val="000000"/>
          <w:sz w:val="13"/>
        </w:rPr>
        <w:t>1</w:t>
      </w:r>
      <w:r>
        <w:rPr>
          <w:rFonts w:ascii="Times New Roman;sans-serif" w:hAnsi="Times New Roman;sans-serif"/>
          <w:b w:val="false"/>
          <w:i/>
          <w:color w:val="000000"/>
          <w:sz w:val="20"/>
        </w:rPr>
        <w:t>Based in part on data reported by NielsenIQ through its Scantrack Service for the Cat Litter Category in the 13-week period ended January 27, 2024, for the U.S. xAOC+Pet Supers market. Copyright © 2024 NielsenIQ.</w:t>
      </w:r>
    </w:p>
    <w:p>
      <w:pPr>
        <w:pStyle w:val="TextBody"/>
        <w:bidi w:val="0"/>
        <w:spacing w:before="0" w:after="0"/>
        <w:jc w:val="left"/>
        <w:rPr/>
      </w:pPr>
      <w:r>
        <w:rPr/>
      </w:r>
    </w:p>
    <w:p>
      <w:pPr>
        <w:pStyle w:val="TextBody"/>
        <w:bidi w:val="0"/>
        <w:spacing w:lineRule="auto" w:line="276" w:before="0" w:after="0"/>
        <w:jc w:val="both"/>
        <w:rPr>
          <w:color w:val="000000"/>
        </w:rPr>
      </w:pPr>
      <w:r>
        <w:rPr>
          <w:color w:val="000000"/>
        </w:rPr>
        <w:t>“</w:t>
      </w:r>
      <w:r>
        <w:rPr>
          <w:rFonts w:ascii="Times New Roman;sans-serif" w:hAnsi="Times New Roman;sans-serif"/>
          <w:b w:val="false"/>
          <w:i/>
          <w:color w:val="000000"/>
          <w:sz w:val="20"/>
        </w:rPr>
        <w:t>Oil-Dri”, “Cat’s Pride”, “Sorbiam”, and “Amlan” are registered trademarks of Oil-Dri Corporation of America.</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About Oil-Dri Corporation of America</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Certain statements in this press release may contain forward-looking statements, within the meaning of the safe harbor provisions of the U.S. Private Securities Litigation Reform Act of 1995,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Such statements are subject to certain risks, uncertainties and assumptions that could cause actual results to differ materially, including, but not limited to, those described in Item 1A, “Risk Factors” of our Quarterly Report on Form 10-Q for the quarter ended January 31, 2024 and our most recent Annual Report on Form 10-K and from time to time in our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forward-looking statements after the distribution of this press release, whether as a result of new information, future events, changes in assumptions, or otherwise.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Leslie A. Garber</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Director of Investor Relations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Oil-Dri Corporation of America</w:t>
      </w:r>
    </w:p>
    <w:p>
      <w:pPr>
        <w:pStyle w:val="TextBody"/>
        <w:bidi w:val="0"/>
        <w:spacing w:lineRule="auto" w:line="268" w:before="0" w:after="0"/>
        <w:jc w:val="both"/>
        <w:rPr>
          <w:rFonts w:ascii="Times New Roman;sans-serif" w:hAnsi="Times New Roman;sans-serif"/>
          <w:b w:val="false"/>
          <w:color w:val="0000FF"/>
          <w:sz w:val="24"/>
        </w:rPr>
      </w:pPr>
      <w:r>
        <w:rPr>
          <w:rFonts w:ascii="Times New Roman;sans-serif" w:hAnsi="Times New Roman;sans-serif"/>
          <w:b w:val="false"/>
          <w:color w:val="0000FF"/>
          <w:sz w:val="24"/>
        </w:rPr>
        <w:t>InvestorRelations@oildri.com</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(312) 321-1515</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35"/>
        <w:gridCol w:w="1259"/>
        <w:gridCol w:w="1137"/>
        <w:gridCol w:w="363"/>
        <w:gridCol w:w="1366"/>
        <w:gridCol w:w="202"/>
        <w:gridCol w:w="202"/>
        <w:gridCol w:w="202"/>
        <w:gridCol w:w="202"/>
        <w:gridCol w:w="343"/>
        <w:gridCol w:w="228"/>
        <w:gridCol w:w="475"/>
        <w:gridCol w:w="109"/>
        <w:gridCol w:w="109"/>
        <w:gridCol w:w="109"/>
        <w:gridCol w:w="196"/>
        <w:gridCol w:w="736"/>
        <w:gridCol w:w="109"/>
        <w:gridCol w:w="109"/>
        <w:gridCol w:w="109"/>
        <w:gridCol w:w="109"/>
        <w:gridCol w:w="278"/>
        <w:gridCol w:w="278"/>
        <w:gridCol w:w="540"/>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741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637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Second Quarter Ended January 31, </w:t>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Sales</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105,668 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 of Goods Sold</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(74,726)</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w:t>
            </w:r>
          </w:p>
        </w:tc>
        <w:tc>
          <w:tcPr>
            <w:tcW w:w="5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7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Selling, General and Administrative Expenses</w:t>
            </w:r>
          </w:p>
        </w:tc>
        <w:tc>
          <w:tcPr>
            <w:tcW w:w="17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(15,777)</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7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15,165 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Net</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5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7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Taxes Expense</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7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Attributable to Noncontrolling Interest</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Oil-Dri</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Basic Common</w:t>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Basic Class B</w:t>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Diluted Common</w:t>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Diluted Class B</w:t>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Avg Shares Outstanding: Basic Common</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Basic Class B</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8"/>
              </w:rPr>
              <w:t>Diluted Common</w:t>
            </w:r>
            <w:r>
              <w:rPr>
                <w:color w:val="000000"/>
              </w:rPr>
              <w:t xml:space="preserve"> </w:t>
            </w:r>
            <w:r>
              <w:rPr>
                <w:rFonts w:ascii="Times New Roman;sans-serif" w:hAnsi="Times New Roman;sans-serif"/>
                <w:b/>
                <w:color w:val="000000"/>
                <w:sz w:val="12"/>
              </w:rPr>
              <w:t>(1)</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Diluted Class B</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lineRule="auto" w:line="268"/>
        <w:jc w:val="left"/>
        <w:rPr>
          <w:rFonts w:ascii="Times New Roman;sans-serif" w:hAnsi="Times New Roman;sans-serif"/>
          <w:b w:val="false"/>
          <w:i/>
          <w:color w:val="000000"/>
          <w:sz w:val="16"/>
        </w:rPr>
      </w:pPr>
      <w:r>
        <w:rPr>
          <w:rFonts w:ascii="Times New Roman;sans-serif" w:hAnsi="Times New Roman;sans-serif"/>
          <w:b w:val="false"/>
          <w:i/>
          <w:color w:val="000000"/>
          <w:sz w:val="16"/>
        </w:rPr>
        <w:t>(1) Please see Note 1 of the unaudited Notes to the Condensed Consolidated Financial Statements in our Quarterly Report on Form 10-Q for the three months ended January 31, 2024.</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6"/>
        <w:gridCol w:w="1375"/>
        <w:gridCol w:w="1245"/>
        <w:gridCol w:w="326"/>
        <w:gridCol w:w="1227"/>
        <w:gridCol w:w="181"/>
        <w:gridCol w:w="181"/>
        <w:gridCol w:w="181"/>
        <w:gridCol w:w="181"/>
        <w:gridCol w:w="343"/>
        <w:gridCol w:w="225"/>
        <w:gridCol w:w="426"/>
        <w:gridCol w:w="109"/>
        <w:gridCol w:w="109"/>
        <w:gridCol w:w="109"/>
        <w:gridCol w:w="196"/>
        <w:gridCol w:w="736"/>
        <w:gridCol w:w="109"/>
        <w:gridCol w:w="109"/>
        <w:gridCol w:w="109"/>
        <w:gridCol w:w="109"/>
        <w:gridCol w:w="278"/>
        <w:gridCol w:w="278"/>
        <w:gridCol w:w="497"/>
      </w:tblGrid>
      <w:tr>
        <w:trPr/>
        <w:tc>
          <w:tcPr>
            <w:tcW w:w="156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745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601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January 31, </w:t>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Sales</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217,106 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 of Goods Sold</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5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61,933 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Selling, General and Administrative Expenses</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5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Net</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5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27,512 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Taxes Expense</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5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Attributable to Noncontrolling Interest</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Oil-Dri</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Basic Common</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Basic Class B</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Diluted Common</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Diluted Class B</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Avg Shares Outstanding: Basic Common</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Basic Class B</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8"/>
              </w:rPr>
              <w:t xml:space="preserve">Diluted Common </w:t>
            </w:r>
            <w:r>
              <w:rPr>
                <w:rFonts w:ascii="Times New Roman;sans-serif" w:hAnsi="Times New Roman;sans-serif"/>
                <w:b/>
                <w:color w:val="000000"/>
                <w:sz w:val="12"/>
              </w:rPr>
              <w:t>(1)</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 xml:space="preserve">Diluted Class B </w:t>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lineRule="auto" w:line="26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Please see Note 1 of the unaudited Notes to the Condensed Consolidated Financial Statements in our Quarterly Report on Form 10-Q for the six-months ended January 31,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48" w:type="dxa"/>
        <w:jc w:val="left"/>
        <w:tblInd w:w="0" w:type="dxa"/>
        <w:tblLayout w:type="fixed"/>
        <w:tblCellMar>
          <w:top w:w="28" w:type="dxa"/>
          <w:left w:w="28" w:type="dxa"/>
          <w:bottom w:w="28" w:type="dxa"/>
          <w:right w:w="28" w:type="dxa"/>
        </w:tblCellMar>
      </w:tblPr>
      <w:tblGrid>
        <w:gridCol w:w="1332"/>
        <w:gridCol w:w="1169"/>
        <w:gridCol w:w="1174"/>
        <w:gridCol w:w="109"/>
        <w:gridCol w:w="109"/>
        <w:gridCol w:w="109"/>
        <w:gridCol w:w="211"/>
        <w:gridCol w:w="826"/>
        <w:gridCol w:w="109"/>
        <w:gridCol w:w="109"/>
        <w:gridCol w:w="109"/>
        <w:gridCol w:w="109"/>
        <w:gridCol w:w="211"/>
        <w:gridCol w:w="826"/>
        <w:gridCol w:w="536"/>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January 31, </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57,179 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37,938 </w:t>
            </w:r>
          </w:p>
        </w:tc>
        <w:tc>
          <w:tcPr>
            <w:tcW w:w="536" w:type="dxa"/>
            <w:tcBorders/>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116,670 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114,597 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24,777 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256,044 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Current Maturities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Dividends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35,635 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49,541 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31,809 </w:t>
            </w:r>
          </w:p>
        </w:tc>
        <w:tc>
          <w:tcPr>
            <w:tcW w:w="536" w:type="dxa"/>
            <w:tcBorders/>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49,529 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156,974 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256,044 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Book Value Per Share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6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Certain amounts in the prior period financial statements have been reclassified to conform to the presentation of the current period financial statements.</w:t>
      </w:r>
    </w:p>
    <w:p>
      <w:pPr>
        <w:pStyle w:val="TextBody"/>
        <w:bidi w:val="0"/>
        <w:spacing w:before="40" w:after="40"/>
        <w:jc w:val="left"/>
        <w:rPr/>
      </w:pPr>
      <w:r>
        <w:rPr/>
      </w:r>
    </w:p>
    <w:p>
      <w:pPr>
        <w:pStyle w:val="TextBody"/>
        <w:bidi w:val="0"/>
        <w:spacing w:before="4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823" w:type="dxa"/>
        <w:jc w:val="left"/>
        <w:tblInd w:w="0" w:type="dxa"/>
        <w:tblLayout w:type="fixed"/>
        <w:tblCellMar>
          <w:top w:w="28" w:type="dxa"/>
          <w:left w:w="28" w:type="dxa"/>
          <w:bottom w:w="28" w:type="dxa"/>
          <w:right w:w="28" w:type="dxa"/>
        </w:tblCellMar>
      </w:tblPr>
      <w:tblGrid>
        <w:gridCol w:w="1945"/>
        <w:gridCol w:w="1709"/>
        <w:gridCol w:w="1715"/>
        <w:gridCol w:w="211"/>
        <w:gridCol w:w="721"/>
        <w:gridCol w:w="109"/>
        <w:gridCol w:w="109"/>
        <w:gridCol w:w="109"/>
        <w:gridCol w:w="109"/>
        <w:gridCol w:w="211"/>
        <w:gridCol w:w="721"/>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Six Months Ended </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31, </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reconcile net income to net cash</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provided by operating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in Accounts Receivable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in Inventories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Decrease in Prepaid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Increase in Accounts Payable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Increase in Accrued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Adjustments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Cash Provided by Operating Activities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Cash Used in Investing Activities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Paid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Purchases of Treasury Stock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Cash Used In Financing Activities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and Cash Equivalents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Decrease in Cash and Cash Equivalents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Beginning of Period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Certain amounts in the prior period financial statements have been reclassified to conform to the presentation of the current period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1"/>
        <w:gridCol w:w="1374"/>
        <w:gridCol w:w="1388"/>
        <w:gridCol w:w="250"/>
        <w:gridCol w:w="856"/>
        <w:gridCol w:w="129"/>
        <w:gridCol w:w="129"/>
        <w:gridCol w:w="129"/>
        <w:gridCol w:w="129"/>
        <w:gridCol w:w="250"/>
        <w:gridCol w:w="732"/>
        <w:gridCol w:w="129"/>
        <w:gridCol w:w="129"/>
        <w:gridCol w:w="129"/>
        <w:gridCol w:w="129"/>
        <w:gridCol w:w="250"/>
        <w:gridCol w:w="856"/>
        <w:gridCol w:w="129"/>
        <w:gridCol w:w="109"/>
        <w:gridCol w:w="109"/>
        <w:gridCol w:w="109"/>
        <w:gridCol w:w="211"/>
        <w:gridCol w:w="721"/>
        <w:gridCol w:w="109"/>
        <w:gridCol w:w="159"/>
      </w:tblGrid>
      <w:tr>
        <w:trPr/>
        <w:tc>
          <w:tcPr>
            <w:tcW w:w="156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67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Second Quarter</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to Date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Ended January 31, </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Ended January 31,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RESULTS</w:t>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Net Income Attributable to Oil-Dri</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Landfill Modification Loss, Net of Tax</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Net Income Attributable to Oil-Dri excluding Nonrecurring Events</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Diluted EPS - Common</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Landfill Modification Loss, Net of Tax</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Diluted EPS - Common, excluding Nonrecurring Events</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485900" cy="4953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485900" cy="49530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2D69"/>
          <w:sz w:val="17"/>
        </w:rPr>
      </w:pPr>
      <w:r>
        <w:rPr>
          <w:rFonts w:ascii="Times New Roman;sans-serif" w:hAnsi="Times New Roman;sans-serif"/>
          <w:b w:val="false"/>
          <w:color w:val="002D69"/>
          <w:sz w:val="17"/>
        </w:rPr>
        <w:t>410 N. Michigan Ave. Chicago, Illinois 60611, U.S.A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2D69"/>
          <w:sz w:val="24"/>
        </w:rPr>
      </w:pPr>
      <w:r>
        <w:rPr>
          <w:rFonts w:ascii="Times New Roman;sans-serif" w:hAnsi="Times New Roman;sans-serif"/>
          <w:b/>
          <w:color w:val="002D69"/>
          <w:sz w:val="24"/>
        </w:rPr>
        <w:t>News Announcement</w:t>
      </w:r>
    </w:p>
    <w:p>
      <w:pPr>
        <w:pStyle w:val="TextBody"/>
        <w:bidi w:val="0"/>
        <w:spacing w:lineRule="auto" w:line="288" w:before="0" w:after="0"/>
        <w:jc w:val="center"/>
        <w:rPr>
          <w:rFonts w:ascii="Times New Roman;sans-serif" w:hAnsi="Times New Roman;sans-serif"/>
          <w:b w:val="false"/>
          <w:i/>
          <w:color w:val="002D69"/>
          <w:sz w:val="24"/>
        </w:rPr>
      </w:pPr>
      <w:r>
        <w:rPr>
          <w:rFonts w:ascii="Times New Roman;sans-serif" w:hAnsi="Times New Roman;sans-serif"/>
          <w:b w:val="false"/>
          <w:i/>
          <w:color w:val="002D69"/>
          <w:sz w:val="24"/>
        </w:rPr>
        <w:t>For Immediate Release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99.2</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Oil-Dri Board of Directors Declares Quarterly Dividends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CHICAGO—(March 6, 2024)— The Board of Directors of Oil-Dri Corporation of America (NYSE: ODC) today declared quarterly cash dividends of $0.29 per share of the Company’s Common Stock and $0.218 per share of the Company’s Class B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dividends will be payable on May 24, 2024 to stockholders of record at the close of business on May 10, 2024. Oil-Dri has paid cash dividends continuously each year since 1974 and has increased dividends annually for twenty consecutive years.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press release outlining its performance for the second quarter of fiscal year 2024 will be issued after the close of the U.S. stock market on Thursday, March 7, 2024. Oil-Dri will host an earnings discussion via a live webcast on Friday, March 8, 2024 at 10:00 a.m. Central Time. Participation details are available on the Company’s website's Events page.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About Oil-Dri Corporation of America</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oildri.com.</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Certain statements in this press release may contain forward-looking statements, within the meaning of the safe harbor provisions of the U.S. Private Securities Litigation Reform Act of 1995,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Such statements are subject to certain risks, uncertainties and assumptions that could cause actual results to differ materially, including, but not limited to, those described in </w:t>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93725"/>
                <wp:effectExtent l="0" t="0" r="0" b="0"/>
                <wp:wrapNone/>
                <wp:docPr id="19" name="Frame11"/>
                <a:graphic xmlns:a="http://schemas.openxmlformats.org/drawingml/2006/main">
                  <a:graphicData uri="http://schemas.microsoft.com/office/word/2010/wordprocessingShape">
                    <wps:wsp>
                      <wps:cNvSpPr txBox="1"/>
                      <wps:spPr>
                        <a:xfrm>
                          <a:off x="0" y="0"/>
                          <a:ext cx="6480175" cy="593725"/>
                        </a:xfrm>
                        <a:prstGeom prst="rect"/>
                        <a:solidFill>
                          <a:srgbClr val="FFFFFF"/>
                        </a:solidFill>
                      </wps:spPr>
                      <wps:txbx>
                        <w:txbxContent>
                          <w:p>
                            <w:pPr>
                              <w:pStyle w:val="TextBody"/>
                              <w:bidi w:val="0"/>
                              <w:spacing w:before="100" w:after="283"/>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7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100" w:after="283"/>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1485900" cy="4953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1485900" cy="495300"/>
                    </a:xfrm>
                    <a:prstGeom prst="rect">
                      <a:avLst/>
                    </a:prstGeom>
                  </pic:spPr>
                </pic:pic>
              </a:graphicData>
            </a:graphic>
          </wp:inline>
        </w:drawing>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our most recent Annual Report on Form 10-K and from time to time in our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Leslie A. Garber</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Manager of Investor Relations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Oil-Dri Corporation of America</w:t>
      </w:r>
    </w:p>
    <w:p>
      <w:pPr>
        <w:pStyle w:val="TextBody"/>
        <w:bidi w:val="0"/>
        <w:spacing w:lineRule="auto" w:line="268" w:before="0" w:after="0"/>
        <w:jc w:val="both"/>
        <w:rPr>
          <w:rFonts w:ascii="Times New Roman;sans-serif" w:hAnsi="Times New Roman;sans-serif"/>
          <w:b w:val="false"/>
          <w:color w:val="0000FF"/>
          <w:sz w:val="24"/>
        </w:rPr>
      </w:pPr>
      <w:r>
        <w:rPr>
          <w:rFonts w:ascii="Times New Roman;sans-serif" w:hAnsi="Times New Roman;sans-serif"/>
          <w:b w:val="false"/>
          <w:color w:val="0000FF"/>
          <w:sz w:val="24"/>
        </w:rPr>
        <w:t>InvestorRelations@oildri.com</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(312) 321-1515</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78460"/>
                <wp:effectExtent l="0" t="0" r="0" b="0"/>
                <wp:wrapNone/>
                <wp:docPr id="21" name="Frame12"/>
                <a:graphic xmlns:a="http://schemas.openxmlformats.org/drawingml/2006/main">
                  <a:graphicData uri="http://schemas.microsoft.com/office/word/2010/wordprocessingShape">
                    <wps:wsp>
                      <wps:cNvSpPr txBox="1"/>
                      <wps:spPr>
                        <a:xfrm>
                          <a:off x="0" y="0"/>
                          <a:ext cx="6480175" cy="3784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p>
                            <w:pPr>
                              <w:pStyle w:val="TextBody"/>
                              <w:bidi w:val="0"/>
                              <w:spacing w:before="1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p>
                      <w:pPr>
                        <w:pStyle w:val="TextBody"/>
                        <w:bidi w:val="0"/>
                        <w:spacing w:before="10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4350</Words>
  <Characters>23442</Characters>
  <CharactersWithSpaces>27856</CharactersWithSpaces>
  <Paragraphs>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