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comments.xml" ContentType="application/vnd.openxmlformats-officedocument.wordprocessingml.commen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v205943_sc13da.htm"/>
      <w:bookmarkStart w:id="1" w:name="ksv205943_sc13da"/>
      <w:bookmarkEnd w:id="0"/>
      <w:bookmarkEnd w:id="1"/>
      <w:r>
        <w:rPr/>
        <w:t> </w:t>
      </w:r>
    </w:p>
    <w:p>
      <w:pPr>
        <w:pStyle w:val="TextBody"/>
        <w:spacing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SCHEDULE 13D/A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Under the Securities Exchange Act of 1934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Amendment No. 7</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COMMON STOCK (including shares underlying</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CLASS B STOCK immediately convertible into Common Stock)</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77864 10 0</w:t>
      </w:r>
    </w:p>
    <w:p>
      <w:pPr>
        <w:pStyle w:val="TextBody"/>
        <w:spacing w:before="0" w:after="0"/>
        <w:ind w:left="0" w:right="0" w:hanging="0"/>
        <w:jc w:val="center"/>
        <w:rPr>
          <w:rFonts w:ascii="Times New Roman" w:hAnsi="Times New Roman"/>
          <w:sz w:val="20"/>
        </w:rPr>
      </w:pPr>
      <w:r>
        <w:rPr>
          <w:rFonts w:ascii="Times New Roman" w:hAnsi="Times New Roman"/>
          <w:sz w:val="20"/>
        </w:rPr>
        <w:t>(CUSIP Number)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Angela M. Hatseras, 410 North Michigan Avenue, Suite 400, Chicago, IL  60611-4213</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(312) 706-3249</w:t>
      </w:r>
    </w:p>
    <w:p>
      <w:pPr>
        <w:pStyle w:val="TextBody"/>
        <w:spacing w:before="0" w:after="0"/>
        <w:ind w:left="0" w:right="0" w:hanging="0"/>
        <w:jc w:val="center"/>
        <w:rPr>
          <w:rFonts w:ascii="Times New Roman" w:hAnsi="Times New Roman"/>
          <w:sz w:val="20"/>
        </w:rPr>
      </w:pPr>
      <w:r>
        <w:rPr>
          <w:rFonts w:ascii="Times New Roman" w:hAnsi="Times New Roman"/>
          <w:sz w:val="20"/>
        </w:rPr>
        <w:t>(Name, Address and Telephone Number of Persons</w:t>
      </w:r>
    </w:p>
    <w:p>
      <w:pPr>
        <w:pStyle w:val="TextBody"/>
        <w:spacing w:before="0" w:after="0"/>
        <w:ind w:left="0" w:right="0" w:hanging="0"/>
        <w:jc w:val="center"/>
        <w:rPr>
          <w:rFonts w:ascii="Times New Roman" w:hAnsi="Times New Roman"/>
          <w:sz w:val="20"/>
        </w:rPr>
      </w:pPr>
      <w:r>
        <w:rPr>
          <w:rFonts w:ascii="Times New Roman" w:hAnsi="Times New Roman"/>
          <w:sz w:val="20"/>
        </w:rPr>
        <w:t>Authorized to Receive Notices and Communications)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October 6, 2010</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w:t>
      </w:r>
    </w:p>
    <w:p>
      <w:pPr>
        <w:pStyle w:val="TextBody"/>
        <w:spacing w:before="0" w:after="0"/>
        <w:ind w:left="0" w:right="0" w:hanging="0"/>
        <w:jc w:val="center"/>
        <w:rPr>
          <w:rFonts w:ascii="Times New Roman" w:hAnsi="Times New Roman"/>
          <w:sz w:val="20"/>
        </w:rPr>
      </w:pPr>
      <w:r>
        <w:rPr>
          <w:rFonts w:ascii="Times New Roman" w:hAnsi="Times New Roman"/>
          <w:sz w:val="20"/>
        </w:rPr>
        <w:t>Filing of this Statement)</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Wingdings" w:hAnsi="Wingdings"/>
          <w:sz w:val="20"/>
        </w:rPr>
        <w:t>o</w:t>
      </w:r>
      <w:r>
        <w:rPr>
          <w:rFonts w:ascii="Times New Roman" w:hAnsi="Times New Roman"/>
          <w:sz w:val="20"/>
        </w:rPr>
        <w:t>. Previous filing on Schedule 13G pursuant to Rule 13d-1(c).</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Note:  Schedules filed in paper format shall include a signed original and five copies of the schedule, including all exhibits. See Rule 13d-7 for other parties to whom copies are to be sent.</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 The remainder of the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(Continued on following page(s))</w:t>
      </w:r>
    </w:p>
    <w:p>
      <w:pPr>
        <w:pStyle w:val="TextBody"/>
        <w:spacing w:before="0" w:after="0"/>
        <w:ind w:left="0" w:right="0" w:hanging="0"/>
        <w:jc w:val="center"/>
        <w:rPr/>
      </w:pPr>
      <w:r>
        <w:rPr/>
        <w:t> </w:t>
      </w:r>
    </w:p>
    <w:tbl>
      <w:tblPr>
        <w:tblW w:w="5000" w:type="pct"/>
        <w:jc w:val="center"/>
        <w:tblInd w:w="0" w:type="dxa"/>
        <w:tblCellMar>
          <w:top w:w="28" w:type="dxa"/>
          <w:left w:w="28" w:type="dxa"/>
          <w:bottom w:w="28" w:type="dxa"/>
          <w:right w:w="0" w:type="dxa"/>
        </w:tblCellMar>
      </w:tblPr>
      <w:tblGrid>
        <w:gridCol w:w="1193"/>
        <w:gridCol w:w="2664"/>
        <w:gridCol w:w="657"/>
        <w:gridCol w:w="5691"/>
      </w:tblGrid>
      <w:tr>
        <w:trPr/>
        <w:tc>
          <w:tcPr>
            <w:tcW w:w="1193" w:type="dxa"/>
            <w:tcBorders>
              <w:top w:val="single" w:sz="6" w:space="0" w:color="000000"/>
              <w:left w:val="single" w:sz="2" w:space="0" w:color="000000"/>
              <w:bottom w:val="single" w:sz="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c>
          <w:tcPr>
            <w:tcW w:w="9012" w:type="dxa"/>
            <w:gridSpan w:val="3"/>
            <w:tcBorders>
              <w:top w:val="single" w:sz="6" w:space="0" w:color="000000"/>
              <w:left w:val="single" w:sz="2" w:space="0" w:color="000000"/>
              <w:bottom w:val="single" w:sz="2" w:space="0" w:color="000000"/>
              <w:right w:val="single" w:sz="2"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NAMES OF REPORTING PERSONS</w:t>
            </w:r>
          </w:p>
          <w:p>
            <w:pPr>
              <w:pStyle w:val="TableContents"/>
              <w:spacing w:before="0" w:after="0"/>
              <w:ind w:left="930" w:right="0" w:hanging="0"/>
              <w:jc w:val="left"/>
              <w:rPr>
                <w:rFonts w:ascii="times new roman" w:hAnsi="times new roman"/>
                <w:sz w:val="20"/>
              </w:rPr>
            </w:pPr>
            <w:bookmarkStart w:id="2" w:name="TAB1"/>
            <w:bookmarkEnd w:id="2"/>
            <w:r>
              <w:rPr>
                <w:rFonts w:ascii="times new roman" w:hAnsi="times new roman"/>
                <w:sz w:val="20"/>
              </w:rPr>
              <w:t>Jaffee Investment Partnership, L.P.</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(a)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IF A MEMBER OF A GROUP                                                                                       (b) </w:t>
            </w:r>
            <w:r>
              <w:rPr>
                <w:rFonts w:ascii="wingdings" w:hAnsi="wingdings"/>
                <w:sz w:val="20"/>
              </w:rPr>
              <w:t>x</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SOURCE OF FUNDS (see Instructions)                                                                         OO</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DISCLOSURE OF LEGAL PROCEEDINGS</w:t>
              <w:br/>
              <w:t>IS REQUIRED PURSUANT TO ITEM 2(d) OR 2(e)                                                              ☐</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180" w:right="0" w:hanging="0"/>
              <w:jc w:val="left"/>
              <w:rPr>
                <w:rFonts w:ascii="times new roman" w:hAnsi="times new roman"/>
                <w:sz w:val="20"/>
              </w:rPr>
            </w:pPr>
            <w:r>
              <w:rPr>
                <w:rFonts w:ascii="times new roman" w:hAnsi="times new roman"/>
                <w:sz w:val="20"/>
              </w:rPr>
              <w:t>Delaware</w:t>
            </w:r>
          </w:p>
        </w:tc>
      </w:tr>
      <w:tr>
        <w:trPr/>
        <w:tc>
          <w:tcPr>
            <w:tcW w:w="3857" w:type="dxa"/>
            <w:gridSpan w:val="2"/>
            <w:vMerge w:val="restart"/>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br/>
              <w:t>SHARES</w:t>
              <w:br/>
              <w:t>BENEFICIALLY</w:t>
              <w:br/>
              <w:t>OWNED BY</w:t>
              <w:br/>
              <w:t>EACH</w:t>
              <w:br/>
              <w:t>REPORTING</w:t>
              <w:br/>
              <w:t>PERSON WITH</w:t>
            </w:r>
          </w:p>
        </w:tc>
        <w:tc>
          <w:tcPr>
            <w:tcW w:w="657"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w:t>
            </w:r>
          </w:p>
        </w:tc>
        <w:tc>
          <w:tcPr>
            <w:tcW w:w="5691"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180" w:right="0" w:hanging="0"/>
              <w:jc w:val="left"/>
              <w:rPr>
                <w:rFonts w:ascii="times new roman" w:hAnsi="times new roman"/>
                <w:sz w:val="20"/>
              </w:rPr>
            </w:pPr>
            <w:r>
              <w:rPr>
                <w:rFonts w:ascii="times new roman" w:hAnsi="times new roman"/>
                <w:sz w:val="20"/>
              </w:rPr>
              <w:t>1,250,000            shares of Class B Stock</w:t>
            </w:r>
          </w:p>
        </w:tc>
      </w:tr>
      <w:tr>
        <w:trPr/>
        <w:tc>
          <w:tcPr>
            <w:tcW w:w="3857" w:type="dxa"/>
            <w:gridSpan w:val="2"/>
            <w:vMerge w:val="continue"/>
            <w:tcBorders>
              <w:left w:val="single" w:sz="2" w:space="0" w:color="000000"/>
              <w:bottom w:val="single" w:sz="2" w:space="0" w:color="000000"/>
            </w:tcBorders>
            <w:shd w:fill="auto" w:val="clear"/>
            <w:tcMar>
              <w:top w:w="0" w:type="dxa"/>
            </w:tcMar>
          </w:tcPr>
          <w:p>
            <w:pPr>
              <w:pStyle w:val="Normal"/>
              <w:rPr/>
            </w:pPr>
            <w:r>
              <w:rPr/>
            </w:r>
          </w:p>
        </w:tc>
        <w:tc>
          <w:tcPr>
            <w:tcW w:w="657"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w:t>
            </w:r>
          </w:p>
        </w:tc>
        <w:tc>
          <w:tcPr>
            <w:tcW w:w="5691"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tc>
      </w:tr>
      <w:tr>
        <w:trPr/>
        <w:tc>
          <w:tcPr>
            <w:tcW w:w="3857" w:type="dxa"/>
            <w:gridSpan w:val="2"/>
            <w:vMerge w:val="continue"/>
            <w:tcBorders>
              <w:left w:val="single" w:sz="2" w:space="0" w:color="000000"/>
              <w:bottom w:val="single" w:sz="2" w:space="0" w:color="000000"/>
            </w:tcBorders>
            <w:shd w:fill="auto" w:val="clear"/>
            <w:tcMar>
              <w:top w:w="0" w:type="dxa"/>
            </w:tcMar>
          </w:tcPr>
          <w:p>
            <w:pPr>
              <w:pStyle w:val="Normal"/>
              <w:rPr/>
            </w:pPr>
            <w:r>
              <w:rPr/>
            </w:r>
          </w:p>
        </w:tc>
        <w:tc>
          <w:tcPr>
            <w:tcW w:w="657"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w:t>
            </w:r>
          </w:p>
        </w:tc>
        <w:tc>
          <w:tcPr>
            <w:tcW w:w="5691"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180" w:right="0" w:hanging="0"/>
              <w:jc w:val="left"/>
              <w:rPr>
                <w:rFonts w:ascii="times new roman" w:hAnsi="times new roman"/>
                <w:sz w:val="20"/>
              </w:rPr>
            </w:pPr>
            <w:r>
              <w:rPr>
                <w:rFonts w:ascii="times new roman" w:hAnsi="times new roman"/>
                <w:sz w:val="20"/>
              </w:rPr>
              <w:t>1,250,000            shares of Class B Stock</w:t>
            </w:r>
          </w:p>
        </w:tc>
      </w:tr>
      <w:tr>
        <w:trPr/>
        <w:tc>
          <w:tcPr>
            <w:tcW w:w="3857" w:type="dxa"/>
            <w:gridSpan w:val="2"/>
            <w:vMerge w:val="continue"/>
            <w:tcBorders>
              <w:left w:val="single" w:sz="2" w:space="0" w:color="000000"/>
              <w:bottom w:val="single" w:sz="2" w:space="0" w:color="000000"/>
            </w:tcBorders>
            <w:shd w:fill="auto" w:val="clear"/>
            <w:tcMar>
              <w:top w:w="0" w:type="dxa"/>
            </w:tcMar>
          </w:tcPr>
          <w:p>
            <w:pPr>
              <w:pStyle w:val="Normal"/>
              <w:rPr/>
            </w:pPr>
            <w:r>
              <w:rPr/>
            </w:r>
          </w:p>
        </w:tc>
        <w:tc>
          <w:tcPr>
            <w:tcW w:w="657"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5691"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405" w:right="0" w:hanging="0"/>
              <w:jc w:val="left"/>
              <w:rPr/>
            </w:pPr>
            <w:r>
              <w:rPr/>
              <w:t>            </w:t>
            </w:r>
            <w:r>
              <w:rPr>
                <w:rFonts w:ascii="times new roman" w:hAnsi="times new roman"/>
                <w:sz w:val="20"/>
              </w:rPr>
              <w:t>1,250,000</w:t>
            </w:r>
            <w:bookmarkStart w:id="3" w:name="TAB11"/>
            <w:bookmarkEnd w:id="3"/>
            <w:r>
              <w:rPr>
                <w:rFonts w:ascii="times new roman" w:hAnsi="times new roman"/>
                <w:sz w:val="20"/>
              </w:rPr>
              <w:t>shares of Class B Stock</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THE AGGREGATE AMOUNT IN ROW (11) EXCLUDES CERTAIN SHARES☐</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(11).</w:t>
            </w:r>
          </w:p>
          <w:p>
            <w:pPr>
              <w:pStyle w:val="TableContents"/>
              <w:spacing w:before="0" w:after="0"/>
              <w:ind w:left="540" w:right="0" w:hanging="0"/>
              <w:jc w:val="left"/>
              <w:rPr>
                <w:rFonts w:ascii="times new roman" w:hAnsi="times new roman"/>
                <w:sz w:val="20"/>
              </w:rPr>
            </w:pPr>
            <w:r>
              <w:rPr>
                <w:rFonts w:ascii="times new roman" w:hAnsi="times new roman"/>
                <w:sz w:val="20"/>
              </w:rPr>
              <w:t>61.0% of the outstanding Class B Stock and 0% of the outstanding Common Stock, together representing 48.8% of the voting power of Issuer’s outstanding stock at October 31, 2010. If beneficially owned Class B Stock were converted to Common Stock, total ownership would represent 19.7% of the Common Stock outstanding at October 31, 2010.</w:t>
            </w:r>
          </w:p>
        </w:tc>
      </w:tr>
      <w:tr>
        <w:trPr/>
        <w:tc>
          <w:tcPr>
            <w:tcW w:w="1193"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c>
          <w:tcPr>
            <w:tcW w:w="9012"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w:t>
            </w:r>
          </w:p>
          <w:p>
            <w:pPr>
              <w:pStyle w:val="TableContents"/>
              <w:spacing w:before="0" w:after="0"/>
              <w:ind w:left="180" w:right="0" w:hanging="0"/>
              <w:jc w:val="left"/>
              <w:rPr/>
            </w:pPr>
            <w:r>
              <w:rPr/>
              <w:t xml:space="preserve">                </w:t>
            </w:r>
            <w:r>
              <w:rPr>
                <w:rFonts w:ascii="times new roman" w:hAnsi="times new roman"/>
                <w:sz w:val="20"/>
              </w:rPr>
              <w:t>PN</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GLFTR"/>
      <w:bookmarkStart w:id="9" w:name="GL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 w:name="PN"/>
      <w:bookmarkEnd w:id="10"/>
      <w:r>
        <w:rPr>
          <w:rFonts w:ascii="Times New Roman" w:hAnsi="Times New Roman"/>
          <w:sz w:val="20"/>
        </w:rPr>
        <w:t>Page 2of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GLHDR"/>
      <w:bookmarkStart w:id="14" w:name="GLHD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center"/>
        <w:tblInd w:w="0" w:type="dxa"/>
        <w:tblCellMar>
          <w:top w:w="28" w:type="dxa"/>
          <w:left w:w="28" w:type="dxa"/>
          <w:bottom w:w="28" w:type="dxa"/>
          <w:right w:w="0" w:type="dxa"/>
        </w:tblCellMar>
      </w:tblPr>
      <w:tblGrid>
        <w:gridCol w:w="1000"/>
        <w:gridCol w:w="2216"/>
        <w:gridCol w:w="1082"/>
        <w:gridCol w:w="5907"/>
      </w:tblGrid>
      <w:tr>
        <w:trPr/>
        <w:tc>
          <w:tcPr>
            <w:tcW w:w="1000" w:type="dxa"/>
            <w:tcBorders>
              <w:top w:val="single" w:sz="6" w:space="0" w:color="000000"/>
              <w:left w:val="single" w:sz="2" w:space="0" w:color="000000"/>
              <w:bottom w:val="single" w:sz="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c>
          <w:tcPr>
            <w:tcW w:w="9205" w:type="dxa"/>
            <w:gridSpan w:val="3"/>
            <w:tcBorders>
              <w:top w:val="single" w:sz="6" w:space="0" w:color="000000"/>
              <w:left w:val="single" w:sz="2" w:space="0" w:color="000000"/>
              <w:bottom w:val="single" w:sz="2" w:space="0" w:color="000000"/>
              <w:right w:val="single" w:sz="2"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NAMES OF REPORTING PERSONS</w:t>
            </w:r>
          </w:p>
          <w:p>
            <w:pPr>
              <w:pStyle w:val="TableContents"/>
              <w:spacing w:before="0" w:after="0"/>
              <w:ind w:left="930" w:right="0" w:hanging="0"/>
              <w:jc w:val="left"/>
              <w:rPr>
                <w:rFonts w:ascii="times new roman" w:hAnsi="times new roman"/>
                <w:sz w:val="20"/>
              </w:rPr>
            </w:pPr>
            <w:bookmarkStart w:id="15" w:name="TAB12"/>
            <w:bookmarkEnd w:id="15"/>
            <w:r>
              <w:rPr>
                <w:rFonts w:ascii="times new roman" w:hAnsi="times new roman"/>
                <w:sz w:val="20"/>
              </w:rPr>
              <w:t>Richard M. Jaffee</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(a)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IF A MEMBER OF A GROUP                                                                                       (b) </w:t>
            </w:r>
            <w:r>
              <w:rPr>
                <w:rFonts w:ascii="wingdings" w:hAnsi="wingdings"/>
                <w:sz w:val="20"/>
              </w:rPr>
              <w:t>x</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SOURCE OF FUNDS (see Instructions)                                                                          OO</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DISCLOSURE OF LEGAL PROCEEDINGS</w:t>
            </w:r>
          </w:p>
          <w:p>
            <w:pPr>
              <w:pStyle w:val="TableContents"/>
              <w:spacing w:before="0" w:after="0"/>
              <w:ind w:left="180" w:right="0" w:hanging="0"/>
              <w:jc w:val="left"/>
              <w:rPr>
                <w:rFonts w:ascii="times new roman" w:hAnsi="times new roman"/>
                <w:sz w:val="20"/>
              </w:rPr>
            </w:pPr>
            <w:r>
              <w:rPr>
                <w:rFonts w:ascii="times new roman" w:hAnsi="times new roman"/>
                <w:sz w:val="20"/>
              </w:rPr>
              <w:t>IS REQUIRED PURSUANT TO ITEM 2(d) OR 2(e)                                                                                                                                 ☐</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180" w:right="0" w:hanging="0"/>
              <w:jc w:val="left"/>
              <w:rPr>
                <w:rFonts w:ascii="times new roman" w:hAnsi="times new roman"/>
                <w:sz w:val="20"/>
              </w:rPr>
            </w:pPr>
            <w:r>
              <w:rPr>
                <w:rFonts w:ascii="times new roman" w:hAnsi="times new roman"/>
                <w:sz w:val="20"/>
              </w:rPr>
              <w:t>United States</w:t>
            </w:r>
          </w:p>
        </w:tc>
      </w:tr>
      <w:tr>
        <w:trPr/>
        <w:tc>
          <w:tcPr>
            <w:tcW w:w="3216" w:type="dxa"/>
            <w:gridSpan w:val="2"/>
            <w:vMerge w:val="restart"/>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br/>
              <w:t>SHARES</w:t>
              <w:br/>
              <w:t>BENEFICIALLY</w:t>
              <w:br/>
              <w:t>OWNED BY</w:t>
              <w:br/>
              <w:t>EACH</w:t>
              <w:br/>
              <w:t>REPORTING</w:t>
              <w:br/>
              <w:t>PERSON WITH</w:t>
            </w:r>
          </w:p>
        </w:tc>
        <w:tc>
          <w:tcPr>
            <w:tcW w:w="1082"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w:t>
            </w:r>
          </w:p>
        </w:tc>
        <w:tc>
          <w:tcPr>
            <w:tcW w:w="5907"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900" w:right="0" w:hanging="0"/>
              <w:jc w:val="left"/>
              <w:rPr>
                <w:rFonts w:ascii="times new roman" w:hAnsi="times new roman"/>
                <w:sz w:val="20"/>
              </w:rPr>
            </w:pPr>
            <w:r>
              <w:rPr>
                <w:rFonts w:ascii="times new roman" w:hAnsi="times new roman"/>
                <w:sz w:val="20"/>
              </w:rPr>
              <w:t>290,895</w:t>
            </w:r>
            <w:bookmarkStart w:id="16" w:name="TAB13"/>
            <w:bookmarkEnd w:id="16"/>
            <w:r>
              <w:rPr>
                <w:rFonts w:ascii="times new roman" w:hAnsi="times new roman"/>
                <w:sz w:val="20"/>
              </w:rPr>
              <w:t>shares of Class B Stock</w:t>
            </w:r>
          </w:p>
        </w:tc>
      </w:tr>
      <w:tr>
        <w:trPr/>
        <w:tc>
          <w:tcPr>
            <w:tcW w:w="3216" w:type="dxa"/>
            <w:gridSpan w:val="2"/>
            <w:vMerge w:val="continue"/>
            <w:tcBorders>
              <w:left w:val="single" w:sz="2" w:space="0" w:color="000000"/>
              <w:bottom w:val="single" w:sz="2" w:space="0" w:color="000000"/>
            </w:tcBorders>
            <w:shd w:fill="auto" w:val="clear"/>
            <w:tcMar>
              <w:top w:w="0" w:type="dxa"/>
            </w:tcMar>
            <w:vAlign w:val="center"/>
          </w:tcPr>
          <w:p>
            <w:pPr>
              <w:pStyle w:val="Normal"/>
              <w:rPr/>
            </w:pPr>
            <w:r>
              <w:rPr/>
            </w:r>
          </w:p>
        </w:tc>
        <w:tc>
          <w:tcPr>
            <w:tcW w:w="1082"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w:t>
            </w:r>
          </w:p>
        </w:tc>
        <w:tc>
          <w:tcPr>
            <w:tcW w:w="5907"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720" w:right="0" w:hanging="0"/>
              <w:jc w:val="left"/>
              <w:rPr>
                <w:rFonts w:ascii="times new roman" w:hAnsi="times new roman"/>
                <w:sz w:val="20"/>
              </w:rPr>
            </w:pPr>
            <w:r>
              <w:rPr>
                <w:rFonts w:ascii="times new roman" w:hAnsi="times new roman"/>
                <w:sz w:val="20"/>
              </w:rPr>
              <w:t>118,663    shares of Class B Stock</w:t>
            </w:r>
          </w:p>
        </w:tc>
      </w:tr>
      <w:tr>
        <w:trPr/>
        <w:tc>
          <w:tcPr>
            <w:tcW w:w="3216" w:type="dxa"/>
            <w:gridSpan w:val="2"/>
            <w:vMerge w:val="continue"/>
            <w:tcBorders>
              <w:left w:val="single" w:sz="2" w:space="0" w:color="000000"/>
              <w:bottom w:val="single" w:sz="2" w:space="0" w:color="000000"/>
            </w:tcBorders>
            <w:shd w:fill="auto" w:val="clear"/>
            <w:tcMar>
              <w:top w:w="0" w:type="dxa"/>
            </w:tcMar>
            <w:vAlign w:val="center"/>
          </w:tcPr>
          <w:p>
            <w:pPr>
              <w:pStyle w:val="Normal"/>
              <w:rPr/>
            </w:pPr>
            <w:r>
              <w:rPr/>
            </w:r>
          </w:p>
        </w:tc>
        <w:tc>
          <w:tcPr>
            <w:tcW w:w="1082"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w:t>
            </w:r>
          </w:p>
        </w:tc>
        <w:tc>
          <w:tcPr>
            <w:tcW w:w="5907"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720" w:right="0" w:hanging="0"/>
              <w:jc w:val="left"/>
              <w:rPr>
                <w:rFonts w:ascii="times new roman" w:hAnsi="times new roman"/>
                <w:sz w:val="20"/>
              </w:rPr>
            </w:pPr>
            <w:r>
              <w:rPr>
                <w:rFonts w:ascii="times new roman" w:hAnsi="times new roman"/>
                <w:sz w:val="20"/>
              </w:rPr>
              <w:t>290,895    shares of Class B Stock</w:t>
            </w:r>
          </w:p>
        </w:tc>
      </w:tr>
      <w:tr>
        <w:trPr/>
        <w:tc>
          <w:tcPr>
            <w:tcW w:w="3216" w:type="dxa"/>
            <w:gridSpan w:val="2"/>
            <w:vMerge w:val="continue"/>
            <w:tcBorders>
              <w:left w:val="single" w:sz="2" w:space="0" w:color="000000"/>
              <w:bottom w:val="single" w:sz="2" w:space="0" w:color="000000"/>
            </w:tcBorders>
            <w:shd w:fill="auto" w:val="clear"/>
            <w:tcMar>
              <w:top w:w="0" w:type="dxa"/>
            </w:tcMar>
            <w:vAlign w:val="center"/>
          </w:tcPr>
          <w:p>
            <w:pPr>
              <w:pStyle w:val="Normal"/>
              <w:rPr/>
            </w:pPr>
            <w:r>
              <w:rPr/>
            </w:r>
          </w:p>
        </w:tc>
        <w:tc>
          <w:tcPr>
            <w:tcW w:w="1082"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5907" w:type="dxa"/>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900" w:right="0" w:hanging="0"/>
              <w:jc w:val="left"/>
              <w:rPr>
                <w:rFonts w:ascii="times new roman" w:hAnsi="times new roman"/>
                <w:sz w:val="20"/>
              </w:rPr>
            </w:pPr>
            <w:r>
              <w:rPr>
                <w:rFonts w:ascii="times new roman" w:hAnsi="times new roman"/>
                <w:sz w:val="20"/>
              </w:rPr>
              <w:t>125       shares of Class B Stock</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900" w:right="0" w:hanging="0"/>
              <w:jc w:val="left"/>
              <w:rPr>
                <w:rFonts w:ascii="times new roman" w:hAnsi="times new roman"/>
                <w:sz w:val="20"/>
              </w:rPr>
            </w:pPr>
            <w:r>
              <w:rPr>
                <w:rFonts w:ascii="times new roman" w:hAnsi="times new roman"/>
                <w:sz w:val="20"/>
              </w:rPr>
              <w:t>409,558shares of Class B Stock</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THE AGGREGATE AMOUNT IN ROW (11) EXCLUDES CERTAIN SHARES</w:t>
            </w:r>
            <w:r>
              <w:rPr>
                <w:rFonts w:ascii="wingdings" w:hAnsi="wingdings"/>
                <w:sz w:val="20"/>
              </w:rPr>
              <w:t>x</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(11).</w:t>
            </w:r>
          </w:p>
          <w:p>
            <w:pPr>
              <w:pStyle w:val="TableContents"/>
              <w:spacing w:before="0" w:after="0"/>
              <w:ind w:left="720" w:right="0" w:hanging="0"/>
              <w:jc w:val="left"/>
              <w:rPr>
                <w:rFonts w:ascii="times new roman" w:hAnsi="times new roman"/>
                <w:sz w:val="20"/>
              </w:rPr>
            </w:pPr>
            <w:r>
              <w:rPr>
                <w:rFonts w:ascii="times new roman" w:hAnsi="times new roman"/>
                <w:sz w:val="20"/>
              </w:rPr>
              <w:t>20.0% of the outstanding Class B Stock and 0% of the outstanding Common Stock, together representing 16.0% of the voting power of Issuer’s outstanding stock at October 31, 2010. If beneficially owned Class B Stock were converted to Common Stock, total ownership would represent 7.4% of the Common Stock outstanding at October 31, 2010.</w:t>
            </w:r>
          </w:p>
        </w:tc>
      </w:tr>
      <w:tr>
        <w:trPr/>
        <w:tc>
          <w:tcPr>
            <w:tcW w:w="1000" w:type="dxa"/>
            <w:tcBorders>
              <w:left w:val="single" w:sz="2" w:space="0" w:color="000000"/>
              <w:bottom w:val="single" w:sz="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c>
          <w:tcPr>
            <w:tcW w:w="9205" w:type="dxa"/>
            <w:gridSpan w:val="3"/>
            <w:tcBorders>
              <w:left w:val="single" w:sz="2" w:space="0" w:color="000000"/>
              <w:bottom w:val="single" w:sz="2" w:space="0" w:color="000000"/>
              <w:right w:val="single" w:sz="2"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w:t>
            </w:r>
          </w:p>
          <w:p>
            <w:pPr>
              <w:pStyle w:val="TableContents"/>
              <w:spacing w:before="0" w:after="0"/>
              <w:ind w:left="900" w:right="0" w:hanging="0"/>
              <w:jc w:val="left"/>
              <w:rPr>
                <w:rFonts w:ascii="times new roman" w:hAnsi="times new roman"/>
                <w:sz w:val="20"/>
              </w:rPr>
            </w:pPr>
            <w:r>
              <w:rPr>
                <w:rFonts w:ascii="times new roman" w:hAnsi="times new roman"/>
                <w:sz w:val="20"/>
              </w:rPr>
              <w:t>IN</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 w:name="PGBRK1"/>
      <w:bookmarkStart w:id="18" w:name="PGBRK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FTR1"/>
      <w:bookmarkStart w:id="20" w:name="FT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GLFTR1"/>
      <w:bookmarkStart w:id="22" w:name="GLFT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 w:name="PN1"/>
      <w:bookmarkEnd w:id="23"/>
      <w:r>
        <w:rPr>
          <w:rFonts w:ascii="Times New Roman" w:hAnsi="Times New Roman"/>
          <w:sz w:val="20"/>
        </w:rPr>
        <w:t>Page 3of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HDR1"/>
      <w:bookmarkStart w:id="25" w:name="HD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GLHDR1"/>
      <w:bookmarkStart w:id="27" w:name="GLHD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28" w:type="dxa"/>
          <w:left w:w="28" w:type="dxa"/>
          <w:bottom w:w="28" w:type="dxa"/>
          <w:right w:w="0" w:type="dxa"/>
        </w:tblCellMar>
      </w:tblPr>
      <w:tblGrid>
        <w:gridCol w:w="984"/>
        <w:gridCol w:w="2859"/>
        <w:gridCol w:w="927"/>
        <w:gridCol w:w="5435"/>
      </w:tblGrid>
      <w:tr>
        <w:trPr/>
        <w:tc>
          <w:tcPr>
            <w:tcW w:w="984" w:type="dxa"/>
            <w:tcBorders>
              <w:top w:val="single" w:sz="6" w:space="0" w:color="000000"/>
              <w:left w:val="single" w:sz="6" w:space="0" w:color="000000"/>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c>
          <w:tcPr>
            <w:tcW w:w="9221" w:type="dxa"/>
            <w:gridSpan w:val="3"/>
            <w:tcBorders>
              <w:top w:val="single" w:sz="6" w:space="0" w:color="000000"/>
              <w:left w:val="single" w:sz="6" w:space="0" w:color="000000"/>
              <w:bottom w:val="single" w:sz="12" w:space="0" w:color="000000"/>
              <w:right w:val="single" w:sz="6"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NAMES OF REPORTING PERSONS</w:t>
            </w:r>
          </w:p>
          <w:p>
            <w:pPr>
              <w:pStyle w:val="TableContents"/>
              <w:spacing w:before="0" w:after="0"/>
              <w:ind w:left="930" w:right="0" w:hanging="0"/>
              <w:jc w:val="left"/>
              <w:rPr>
                <w:rFonts w:ascii="times new roman" w:hAnsi="times new roman"/>
                <w:sz w:val="20"/>
              </w:rPr>
            </w:pPr>
            <w:bookmarkStart w:id="28" w:name="TAB14"/>
            <w:bookmarkEnd w:id="28"/>
            <w:r>
              <w:rPr>
                <w:rFonts w:ascii="times new roman" w:hAnsi="times new roman"/>
                <w:sz w:val="20"/>
              </w:rPr>
              <w:t>Shirley H. Jaffee</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(a)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IF A MEMBER OF A GROUP                                                                                       (b) </w:t>
            </w:r>
            <w:r>
              <w:rPr>
                <w:rFonts w:ascii="wingdings" w:hAnsi="wingdings"/>
                <w:sz w:val="20"/>
              </w:rPr>
              <w:t>x</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SOURCE OF FUNDS (see Instructions)                                                                         OO</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DISCLOSURE OF LEGAL PROCEEDINGS</w:t>
            </w:r>
          </w:p>
          <w:p>
            <w:pPr>
              <w:pStyle w:val="TableContents"/>
              <w:spacing w:before="0" w:after="0"/>
              <w:ind w:left="180" w:right="0" w:hanging="0"/>
              <w:jc w:val="left"/>
              <w:rPr>
                <w:rFonts w:ascii="times new roman" w:hAnsi="times new roman"/>
                <w:sz w:val="20"/>
              </w:rPr>
            </w:pPr>
            <w:r>
              <w:rPr>
                <w:rFonts w:ascii="times new roman" w:hAnsi="times new roman"/>
                <w:sz w:val="20"/>
              </w:rPr>
              <w:t>IS REQUIRED PURSUANT TO ITEM 2(d) OR 2(e)                                                          ☐</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180" w:right="0" w:hanging="0"/>
              <w:jc w:val="left"/>
              <w:rPr>
                <w:rFonts w:ascii="times new roman" w:hAnsi="times new roman"/>
                <w:sz w:val="20"/>
              </w:rPr>
            </w:pPr>
            <w:r>
              <w:rPr>
                <w:rFonts w:ascii="times new roman" w:hAnsi="times new roman"/>
                <w:sz w:val="20"/>
              </w:rPr>
              <w:t>United States</w:t>
            </w:r>
          </w:p>
        </w:tc>
      </w:tr>
      <w:tr>
        <w:trPr/>
        <w:tc>
          <w:tcPr>
            <w:tcW w:w="3843" w:type="dxa"/>
            <w:gridSpan w:val="2"/>
            <w:vMerge w:val="restart"/>
            <w:tcBorders>
              <w:left w:val="single" w:sz="6" w:space="0" w:color="000000"/>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br/>
              <w:t>SHARES</w:t>
              <w:br/>
              <w:t>BENEFICIALLY</w:t>
              <w:br/>
              <w:t>OWNED BY</w:t>
              <w:br/>
              <w:t>EACH</w:t>
              <w:br/>
              <w:t>REPORTING</w:t>
              <w:br/>
              <w:t>PERSON WITH</w:t>
            </w:r>
          </w:p>
        </w:tc>
        <w:tc>
          <w:tcPr>
            <w:tcW w:w="927"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w:t>
            </w:r>
          </w:p>
        </w:tc>
        <w:tc>
          <w:tcPr>
            <w:tcW w:w="543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360" w:right="0" w:hanging="0"/>
              <w:jc w:val="left"/>
              <w:rPr>
                <w:rFonts w:ascii="times new roman" w:hAnsi="times new roman"/>
                <w:sz w:val="20"/>
              </w:rPr>
            </w:pPr>
            <w:r>
              <w:rPr>
                <w:rFonts w:ascii="times new roman" w:hAnsi="times new roman"/>
                <w:sz w:val="20"/>
              </w:rPr>
              <w:t>118,538shares of Class B Stock</w:t>
            </w:r>
          </w:p>
        </w:tc>
      </w:tr>
      <w:tr>
        <w:trPr/>
        <w:tc>
          <w:tcPr>
            <w:tcW w:w="3843"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927"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w:t>
            </w:r>
          </w:p>
        </w:tc>
        <w:tc>
          <w:tcPr>
            <w:tcW w:w="543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720" w:right="0" w:hanging="0"/>
              <w:jc w:val="left"/>
              <w:rPr>
                <w:rFonts w:ascii="times new roman" w:hAnsi="times new roman"/>
                <w:sz w:val="20"/>
              </w:rPr>
            </w:pPr>
            <w:r>
              <w:rPr>
                <w:rFonts w:ascii="times new roman" w:hAnsi="times new roman"/>
                <w:sz w:val="20"/>
              </w:rPr>
              <w:t>125shares of Class B Stock</w:t>
            </w:r>
          </w:p>
        </w:tc>
      </w:tr>
      <w:tr>
        <w:trPr/>
        <w:tc>
          <w:tcPr>
            <w:tcW w:w="3843"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927"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w:t>
            </w:r>
          </w:p>
        </w:tc>
        <w:tc>
          <w:tcPr>
            <w:tcW w:w="543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360" w:right="0" w:hanging="0"/>
              <w:jc w:val="left"/>
              <w:rPr>
                <w:rFonts w:ascii="times new roman" w:hAnsi="times new roman"/>
                <w:sz w:val="20"/>
              </w:rPr>
            </w:pPr>
            <w:r>
              <w:rPr>
                <w:rFonts w:ascii="times new roman" w:hAnsi="times new roman"/>
                <w:sz w:val="20"/>
              </w:rPr>
              <w:t>118,538shares of Class B Stock</w:t>
            </w:r>
          </w:p>
        </w:tc>
      </w:tr>
      <w:tr>
        <w:trPr/>
        <w:tc>
          <w:tcPr>
            <w:tcW w:w="3843"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927"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543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720" w:right="0" w:hanging="0"/>
              <w:jc w:val="left"/>
              <w:rPr>
                <w:rFonts w:ascii="times new roman" w:hAnsi="times new roman"/>
                <w:sz w:val="20"/>
              </w:rPr>
            </w:pPr>
            <w:r>
              <w:rPr>
                <w:rFonts w:ascii="times new roman" w:hAnsi="times new roman"/>
                <w:sz w:val="20"/>
              </w:rPr>
              <w:t>125shares of Class B Stock</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1080" w:right="0" w:hanging="0"/>
              <w:jc w:val="left"/>
              <w:rPr>
                <w:rFonts w:ascii="times new roman" w:hAnsi="times new roman"/>
                <w:sz w:val="20"/>
              </w:rPr>
            </w:pPr>
            <w:r>
              <w:rPr>
                <w:rFonts w:ascii="times new roman" w:hAnsi="times new roman"/>
                <w:sz w:val="20"/>
              </w:rPr>
              <w:t>118,663shares of Class B Stock</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 xml:space="preserve">CHECK BOX IF THE AGGREGATE AMOUNT IN ROW (11) EXCLUDES CERTAIN SHARES                                                                                                                           </w:t>
            </w:r>
            <w:r>
              <w:rPr>
                <w:rFonts w:ascii="wingdings" w:hAnsi="wingdings"/>
                <w:sz w:val="20"/>
              </w:rPr>
              <w:t>x</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(11).</w:t>
            </w:r>
          </w:p>
          <w:p>
            <w:pPr>
              <w:pStyle w:val="TableContents"/>
              <w:spacing w:before="0" w:after="0"/>
              <w:ind w:left="720" w:right="0" w:hanging="0"/>
              <w:jc w:val="left"/>
              <w:rPr>
                <w:rFonts w:ascii="times new roman" w:hAnsi="times new roman"/>
                <w:sz w:val="20"/>
              </w:rPr>
            </w:pPr>
            <w:r>
              <w:rPr>
                <w:rFonts w:ascii="times new roman" w:hAnsi="times new roman"/>
                <w:sz w:val="20"/>
              </w:rPr>
              <w:t>5.8% of the outstanding Class B Stock and 0% of the outstanding Common Stock, together representing 4.6% of the voting power of Issuer’s outstanding stock at October 31, 2010. If beneficially owned Class B Stock were converted to Common Stock, total ownership would represent 2.3% of the Common Stock outstanding at October 31, 2010.</w:t>
            </w:r>
          </w:p>
        </w:tc>
      </w:tr>
      <w:tr>
        <w:trPr/>
        <w:tc>
          <w:tcPr>
            <w:tcW w:w="984"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c>
          <w:tcPr>
            <w:tcW w:w="9221"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w:t>
            </w:r>
          </w:p>
          <w:p>
            <w:pPr>
              <w:pStyle w:val="TableContents"/>
              <w:spacing w:before="0" w:after="0"/>
              <w:ind w:left="1080" w:right="0" w:hanging="0"/>
              <w:jc w:val="left"/>
              <w:rPr>
                <w:rFonts w:ascii="times new roman" w:hAnsi="times new roman"/>
                <w:sz w:val="20"/>
              </w:rPr>
            </w:pPr>
            <w:r>
              <w:rPr>
                <w:rFonts w:ascii="times new roman" w:hAnsi="times new roman"/>
                <w:sz w:val="20"/>
              </w:rPr>
              <w:t>IN</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 w:name="PGBRK2"/>
      <w:bookmarkStart w:id="30" w:name="PGBRK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FTR2"/>
      <w:bookmarkStart w:id="32" w:name="FT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GLFTR2"/>
      <w:bookmarkStart w:id="34" w:name="GLFT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 w:name="PN2"/>
      <w:bookmarkEnd w:id="35"/>
      <w:r>
        <w:rPr>
          <w:rFonts w:ascii="Times New Roman" w:hAnsi="Times New Roman"/>
          <w:sz w:val="20"/>
        </w:rPr>
        <w:t>Page 4of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HDR2"/>
      <w:bookmarkStart w:id="37" w:name="HD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GLHDR2"/>
      <w:bookmarkStart w:id="39" w:name="GLHDR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03"/>
        <w:gridCol w:w="2798"/>
        <w:gridCol w:w="1105"/>
        <w:gridCol w:w="5299"/>
      </w:tblGrid>
      <w:tr>
        <w:trPr/>
        <w:tc>
          <w:tcPr>
            <w:tcW w:w="1003" w:type="dxa"/>
            <w:tcBorders>
              <w:top w:val="single" w:sz="6" w:space="0" w:color="000000"/>
              <w:left w:val="single" w:sz="6" w:space="0" w:color="000000"/>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c>
          <w:tcPr>
            <w:tcW w:w="9202" w:type="dxa"/>
            <w:gridSpan w:val="3"/>
            <w:tcBorders>
              <w:top w:val="single" w:sz="6" w:space="0" w:color="000000"/>
              <w:left w:val="single" w:sz="6" w:space="0" w:color="000000"/>
              <w:bottom w:val="single" w:sz="12" w:space="0" w:color="000000"/>
              <w:right w:val="single" w:sz="6"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NAMES OF REPORTING PERSONS</w:t>
            </w:r>
          </w:p>
          <w:p>
            <w:pPr>
              <w:pStyle w:val="TableContents"/>
              <w:spacing w:before="0" w:after="0"/>
              <w:ind w:left="930" w:right="0" w:hanging="0"/>
              <w:jc w:val="left"/>
              <w:rPr>
                <w:rFonts w:ascii="times new roman" w:hAnsi="times new roman"/>
                <w:sz w:val="20"/>
              </w:rPr>
            </w:pPr>
            <w:bookmarkStart w:id="40" w:name="TAB15"/>
            <w:bookmarkEnd w:id="40"/>
            <w:r>
              <w:rPr>
                <w:rFonts w:ascii="times new roman" w:hAnsi="times new roman"/>
                <w:sz w:val="20"/>
              </w:rPr>
              <w:t>Susan Jaffee</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(a)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IF A MEMBER OF A GROUP                                                                                       (b) </w:t>
            </w:r>
            <w:r>
              <w:rPr>
                <w:rFonts w:ascii="wingdings" w:hAnsi="wingdings"/>
                <w:sz w:val="20"/>
              </w:rPr>
              <w:t>x</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SOURCE OF FUNDS (see Instructions)                                                                         OO</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DISCLOSURE OF LEGAL PROCEEDINGS</w:t>
            </w:r>
          </w:p>
          <w:p>
            <w:pPr>
              <w:pStyle w:val="TableContents"/>
              <w:spacing w:before="0" w:after="0"/>
              <w:ind w:left="180" w:right="0" w:hanging="0"/>
              <w:jc w:val="left"/>
              <w:rPr>
                <w:rFonts w:ascii="times new roman" w:hAnsi="times new roman"/>
                <w:sz w:val="20"/>
              </w:rPr>
            </w:pPr>
            <w:r>
              <w:rPr>
                <w:rFonts w:ascii="times new roman" w:hAnsi="times new roman"/>
                <w:sz w:val="20"/>
              </w:rPr>
              <w:t>IS REQUIRED PURSUANT TO ITEM 2(d) OR 2(e)                                                        ☐</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180" w:right="0" w:hanging="0"/>
              <w:jc w:val="left"/>
              <w:rPr>
                <w:rFonts w:ascii="times new roman" w:hAnsi="times new roman"/>
                <w:sz w:val="20"/>
              </w:rPr>
            </w:pPr>
            <w:r>
              <w:rPr>
                <w:rFonts w:ascii="times new roman" w:hAnsi="times new roman"/>
                <w:sz w:val="20"/>
              </w:rPr>
              <w:t>United States</w:t>
            </w:r>
          </w:p>
        </w:tc>
      </w:tr>
      <w:tr>
        <w:trPr/>
        <w:tc>
          <w:tcPr>
            <w:tcW w:w="3801" w:type="dxa"/>
            <w:gridSpan w:val="2"/>
            <w:vMerge w:val="restart"/>
            <w:tcBorders>
              <w:left w:val="single" w:sz="6" w:space="0" w:color="000000"/>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br/>
              <w:t>SHARES</w:t>
              <w:br/>
              <w:t>BENEFICIALLY</w:t>
              <w:br/>
              <w:t>OWNED BY</w:t>
              <w:br/>
              <w:t>EACH</w:t>
              <w:br/>
              <w:t>REPORTING</w:t>
              <w:br/>
              <w:t>PERSON WITH</w:t>
            </w:r>
          </w:p>
        </w:tc>
        <w:tc>
          <w:tcPr>
            <w:tcW w:w="1105"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w:t>
            </w:r>
          </w:p>
        </w:tc>
        <w:tc>
          <w:tcPr>
            <w:tcW w:w="5299"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540" w:right="0" w:hanging="0"/>
              <w:jc w:val="left"/>
              <w:rPr>
                <w:rFonts w:ascii="times new roman" w:hAnsi="times new roman"/>
                <w:sz w:val="20"/>
              </w:rPr>
            </w:pPr>
            <w:r>
              <w:rPr>
                <w:rFonts w:ascii="times new roman" w:hAnsi="times new roman"/>
                <w:sz w:val="20"/>
              </w:rPr>
              <w:t>37,909shares of Class B Stock</w:t>
            </w:r>
          </w:p>
        </w:tc>
      </w:tr>
      <w:tr>
        <w:trPr/>
        <w:tc>
          <w:tcPr>
            <w:tcW w:w="3801"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105"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w:t>
            </w:r>
          </w:p>
        </w:tc>
        <w:tc>
          <w:tcPr>
            <w:tcW w:w="5299"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720" w:right="0" w:hanging="0"/>
              <w:jc w:val="left"/>
              <w:rPr>
                <w:rFonts w:ascii="times new roman" w:hAnsi="times new roman"/>
                <w:sz w:val="20"/>
              </w:rPr>
            </w:pPr>
            <w:r>
              <w:rPr>
                <w:rFonts w:ascii="times new roman" w:hAnsi="times new roman"/>
                <w:sz w:val="20"/>
              </w:rPr>
              <w:t>125shares of Common Stock</w:t>
            </w:r>
          </w:p>
        </w:tc>
      </w:tr>
      <w:tr>
        <w:trPr/>
        <w:tc>
          <w:tcPr>
            <w:tcW w:w="3801"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105"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w:t>
            </w:r>
          </w:p>
        </w:tc>
        <w:tc>
          <w:tcPr>
            <w:tcW w:w="5299"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720" w:right="0" w:hanging="0"/>
              <w:jc w:val="left"/>
              <w:rPr>
                <w:rFonts w:ascii="times new roman" w:hAnsi="times new roman"/>
                <w:sz w:val="20"/>
              </w:rPr>
            </w:pPr>
            <w:r>
              <w:rPr>
                <w:rFonts w:ascii="times new roman" w:hAnsi="times new roman"/>
                <w:sz w:val="20"/>
              </w:rPr>
              <w:t>37,909shares of Class B Stock</w:t>
            </w:r>
          </w:p>
        </w:tc>
      </w:tr>
      <w:tr>
        <w:trPr/>
        <w:tc>
          <w:tcPr>
            <w:tcW w:w="3801"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105"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5299"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720" w:right="0" w:hanging="0"/>
              <w:jc w:val="left"/>
              <w:rPr>
                <w:rFonts w:ascii="times new roman" w:hAnsi="times new roman"/>
                <w:sz w:val="20"/>
              </w:rPr>
            </w:pPr>
            <w:r>
              <w:rPr>
                <w:rFonts w:ascii="times new roman" w:hAnsi="times new roman"/>
                <w:sz w:val="20"/>
              </w:rPr>
              <w:t>125shares of Common Stock</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0" w:right="0" w:hanging="0"/>
              <w:jc w:val="left"/>
              <w:rPr/>
            </w:pPr>
            <w:r>
              <w:rPr/>
              <w:t>                        </w:t>
            </w:r>
            <w:r>
              <w:rPr>
                <w:rFonts w:ascii="times new roman" w:hAnsi="times new roman"/>
                <w:sz w:val="20"/>
              </w:rPr>
              <w:t>37,909     shares of Class B Stock</w:t>
            </w:r>
          </w:p>
          <w:p>
            <w:pPr>
              <w:pStyle w:val="TableContents"/>
              <w:spacing w:before="0" w:after="0"/>
              <w:ind w:left="0" w:right="0" w:hanging="0"/>
              <w:jc w:val="left"/>
              <w:rPr/>
            </w:pPr>
            <w:r>
              <w:rPr/>
              <w:t xml:space="preserve">                             </w:t>
            </w:r>
            <w:r>
              <w:rPr>
                <w:rFonts w:ascii="times new roman" w:hAnsi="times new roman"/>
                <w:sz w:val="20"/>
              </w:rPr>
              <w:t>125     shares of Common Stock</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 xml:space="preserve">CHECK BOX IF THE AGGREGATE AMOUNT IN ROW (11) EXCLUDES CERTAIN SHARES </w:t>
            </w:r>
            <w:r>
              <w:rPr>
                <w:rFonts w:ascii="wingdings" w:hAnsi="wingdings"/>
                <w:sz w:val="20"/>
              </w:rPr>
              <w:t>x</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(11).</w:t>
            </w:r>
          </w:p>
          <w:p>
            <w:pPr>
              <w:pStyle w:val="TableContents"/>
              <w:spacing w:before="0" w:after="0"/>
              <w:ind w:left="720" w:right="0" w:hanging="0"/>
              <w:jc w:val="left"/>
              <w:rPr>
                <w:rFonts w:ascii="times new roman" w:hAnsi="times new roman"/>
                <w:sz w:val="20"/>
              </w:rPr>
            </w:pPr>
            <w:r>
              <w:rPr>
                <w:rFonts w:ascii="times new roman" w:hAnsi="times new roman"/>
                <w:sz w:val="20"/>
              </w:rPr>
              <w:t>1.8% of the outstanding Class B Stock and 0% of the outstanding Common Stock, together representing 1.5% of the voting power of Issuer’s outstanding stock at October 31, 2010. If beneficially owned Class B Stock were converted to Common Stock, total ownership would represent 0.7% of the Common Stock outstanding at October 31, 2010.</w:t>
            </w:r>
          </w:p>
        </w:tc>
      </w:tr>
      <w:tr>
        <w:trPr/>
        <w:tc>
          <w:tcPr>
            <w:tcW w:w="1003"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c>
          <w:tcPr>
            <w:tcW w:w="9202"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w:t>
            </w:r>
          </w:p>
          <w:p>
            <w:pPr>
              <w:pStyle w:val="TableContents"/>
              <w:spacing w:before="0" w:after="0"/>
              <w:ind w:left="1260" w:right="0" w:hanging="0"/>
              <w:jc w:val="left"/>
              <w:rPr>
                <w:rFonts w:ascii="times new roman" w:hAnsi="times new roman"/>
                <w:sz w:val="20"/>
              </w:rPr>
            </w:pPr>
            <w:bookmarkStart w:id="41" w:name="TAB16"/>
            <w:bookmarkEnd w:id="41"/>
            <w:r>
              <w:rPr>
                <w:rFonts w:ascii="times new roman" w:hAnsi="times new roman"/>
                <w:sz w:val="20"/>
              </w:rPr>
              <w:t>IN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3"/>
      <w:bookmarkStart w:id="43" w:name="PGBRK3"/>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3"/>
      <w:bookmarkStart w:id="45" w:name="FTR3"/>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GLFTR3"/>
      <w:bookmarkStart w:id="47" w:name="GLFTR3"/>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 w:name="PN3"/>
      <w:bookmarkEnd w:id="48"/>
      <w:r>
        <w:rPr>
          <w:rFonts w:ascii="Times New Roman" w:hAnsi="Times New Roman"/>
          <w:sz w:val="20"/>
        </w:rPr>
        <w:t>Page 5of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3"/>
      <w:bookmarkStart w:id="50" w:name="HDR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GLHDR3"/>
      <w:bookmarkStart w:id="52" w:name="GLHD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28" w:type="dxa"/>
          <w:left w:w="28" w:type="dxa"/>
          <w:bottom w:w="28" w:type="dxa"/>
          <w:right w:w="0" w:type="dxa"/>
        </w:tblCellMar>
      </w:tblPr>
      <w:tblGrid>
        <w:gridCol w:w="988"/>
        <w:gridCol w:w="2848"/>
        <w:gridCol w:w="1018"/>
        <w:gridCol w:w="5351"/>
      </w:tblGrid>
      <w:tr>
        <w:trPr/>
        <w:tc>
          <w:tcPr>
            <w:tcW w:w="988" w:type="dxa"/>
            <w:tcBorders>
              <w:top w:val="single" w:sz="6" w:space="0" w:color="000000"/>
              <w:left w:val="single" w:sz="6" w:space="0" w:color="000000"/>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c>
          <w:tcPr>
            <w:tcW w:w="9217" w:type="dxa"/>
            <w:gridSpan w:val="3"/>
            <w:tcBorders>
              <w:top w:val="single" w:sz="6" w:space="0" w:color="000000"/>
              <w:left w:val="single" w:sz="6" w:space="0" w:color="000000"/>
              <w:bottom w:val="single" w:sz="12" w:space="0" w:color="000000"/>
              <w:right w:val="single" w:sz="6"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NAMES OF REPORTING PERSONS</w:t>
            </w:r>
          </w:p>
          <w:p>
            <w:pPr>
              <w:pStyle w:val="TableContents"/>
              <w:spacing w:before="0" w:after="0"/>
              <w:ind w:left="930" w:right="0" w:hanging="0"/>
              <w:jc w:val="left"/>
              <w:rPr>
                <w:rFonts w:ascii="times new roman" w:hAnsi="times new roman"/>
                <w:sz w:val="20"/>
              </w:rPr>
            </w:pPr>
            <w:bookmarkStart w:id="53" w:name="TAB17"/>
            <w:bookmarkEnd w:id="53"/>
            <w:r>
              <w:rPr>
                <w:rFonts w:ascii="times new roman" w:hAnsi="times new roman"/>
                <w:sz w:val="20"/>
              </w:rPr>
              <w:t>Karen Jaffee Cofsky</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(a)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IF A MEMBER OF A GROUP                                                                                       (b) </w:t>
            </w:r>
            <w:r>
              <w:rPr>
                <w:rFonts w:ascii="wingdings" w:hAnsi="wingdings"/>
                <w:sz w:val="20"/>
              </w:rPr>
              <w:t>x</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SOURCE OF FUNDS (see Instructions)                                                                         OO</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DISCLOSURE OF LEGAL PROCEEDINGS</w:t>
            </w:r>
          </w:p>
          <w:p>
            <w:pPr>
              <w:pStyle w:val="TableContents"/>
              <w:spacing w:before="0" w:after="0"/>
              <w:ind w:left="180" w:right="0" w:hanging="0"/>
              <w:jc w:val="left"/>
              <w:rPr>
                <w:rFonts w:ascii="times new roman" w:hAnsi="times new roman"/>
                <w:sz w:val="20"/>
              </w:rPr>
            </w:pPr>
            <w:r>
              <w:rPr>
                <w:rFonts w:ascii="times new roman" w:hAnsi="times new roman"/>
                <w:sz w:val="20"/>
              </w:rPr>
              <w:t>IS REQUIRED PURSUANT TO ITEM 2(d) OR 2(e)                                                         ☐</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180" w:right="0" w:hanging="0"/>
              <w:jc w:val="left"/>
              <w:rPr>
                <w:rFonts w:ascii="times new roman" w:hAnsi="times new roman"/>
                <w:sz w:val="20"/>
              </w:rPr>
            </w:pPr>
            <w:r>
              <w:rPr>
                <w:rFonts w:ascii="times new roman" w:hAnsi="times new roman"/>
                <w:sz w:val="20"/>
              </w:rPr>
              <w:t>United States</w:t>
            </w:r>
          </w:p>
        </w:tc>
      </w:tr>
      <w:tr>
        <w:trPr/>
        <w:tc>
          <w:tcPr>
            <w:tcW w:w="3836" w:type="dxa"/>
            <w:gridSpan w:val="2"/>
            <w:vMerge w:val="restart"/>
            <w:tcBorders>
              <w:left w:val="single" w:sz="6" w:space="0" w:color="000000"/>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br/>
              <w:t>SHARES</w:t>
              <w:br/>
              <w:t>BENEFICIALLY</w:t>
              <w:br/>
              <w:t>OWNED BY</w:t>
              <w:br/>
              <w:t>EACH</w:t>
              <w:br/>
              <w:t>REPORTING</w:t>
              <w:br/>
              <w:t>PERSON WITH</w:t>
            </w:r>
          </w:p>
        </w:tc>
        <w:tc>
          <w:tcPr>
            <w:tcW w:w="101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w:t>
            </w:r>
          </w:p>
        </w:tc>
        <w:tc>
          <w:tcPr>
            <w:tcW w:w="5351"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540" w:right="0" w:hanging="0"/>
              <w:jc w:val="left"/>
              <w:rPr>
                <w:rFonts w:ascii="times new roman" w:hAnsi="times new roman"/>
                <w:sz w:val="20"/>
              </w:rPr>
            </w:pPr>
            <w:r>
              <w:rPr>
                <w:rFonts w:ascii="times new roman" w:hAnsi="times new roman"/>
                <w:sz w:val="20"/>
              </w:rPr>
              <w:t>58,895      shares of Class B Stock</w:t>
            </w:r>
          </w:p>
          <w:p>
            <w:pPr>
              <w:pStyle w:val="TableContents"/>
              <w:spacing w:before="0" w:after="0"/>
              <w:ind w:left="540" w:right="0" w:hanging="0"/>
              <w:jc w:val="left"/>
              <w:rPr/>
            </w:pPr>
            <w:r>
              <w:rPr/>
              <w:t xml:space="preserve">       </w:t>
            </w:r>
            <w:r>
              <w:rPr>
                <w:rFonts w:ascii="times new roman" w:hAnsi="times new roman"/>
                <w:sz w:val="20"/>
              </w:rPr>
              <w:t>74      shares of Common Stock</w:t>
            </w:r>
          </w:p>
        </w:tc>
      </w:tr>
      <w:tr>
        <w:trPr/>
        <w:tc>
          <w:tcPr>
            <w:tcW w:w="3836"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01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w:t>
            </w:r>
          </w:p>
        </w:tc>
        <w:tc>
          <w:tcPr>
            <w:tcW w:w="5351"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540" w:right="0" w:hanging="0"/>
              <w:jc w:val="left"/>
              <w:rPr>
                <w:rFonts w:ascii="times new roman" w:hAnsi="times new roman"/>
                <w:sz w:val="20"/>
              </w:rPr>
            </w:pPr>
            <w:r>
              <w:rPr>
                <w:rFonts w:ascii="times new roman" w:hAnsi="times new roman"/>
                <w:sz w:val="20"/>
              </w:rPr>
              <w:t>25,376       shares of Class B Stock</w:t>
            </w:r>
          </w:p>
          <w:p>
            <w:pPr>
              <w:pStyle w:val="TableContents"/>
              <w:spacing w:before="0" w:after="0"/>
              <w:ind w:left="540" w:right="0" w:hanging="0"/>
              <w:jc w:val="left"/>
              <w:rPr/>
            </w:pPr>
            <w:r>
              <w:rPr/>
              <w:t xml:space="preserve">     </w:t>
            </w:r>
            <w:r>
              <w:rPr>
                <w:rFonts w:ascii="times new roman" w:hAnsi="times new roman"/>
                <w:sz w:val="20"/>
              </w:rPr>
              <w:t>512       shares of Common Stock</w:t>
            </w:r>
          </w:p>
        </w:tc>
      </w:tr>
      <w:tr>
        <w:trPr/>
        <w:tc>
          <w:tcPr>
            <w:tcW w:w="3836"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01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w:t>
            </w:r>
          </w:p>
        </w:tc>
        <w:tc>
          <w:tcPr>
            <w:tcW w:w="5351"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540" w:right="0" w:hanging="0"/>
              <w:jc w:val="left"/>
              <w:rPr>
                <w:rFonts w:ascii="times new roman" w:hAnsi="times new roman"/>
                <w:sz w:val="20"/>
              </w:rPr>
            </w:pPr>
            <w:r>
              <w:rPr>
                <w:rFonts w:ascii="times new roman" w:hAnsi="times new roman"/>
                <w:sz w:val="20"/>
              </w:rPr>
              <w:t>58,895      shares of Class B Stock</w:t>
            </w:r>
          </w:p>
          <w:p>
            <w:pPr>
              <w:pStyle w:val="TableContents"/>
              <w:spacing w:before="0" w:after="0"/>
              <w:ind w:left="540" w:right="0" w:hanging="0"/>
              <w:jc w:val="left"/>
              <w:rPr/>
            </w:pPr>
            <w:r>
              <w:rPr/>
              <w:t>       </w:t>
            </w:r>
            <w:r>
              <w:rPr>
                <w:rFonts w:ascii="times new roman" w:hAnsi="times new roman"/>
                <w:sz w:val="20"/>
              </w:rPr>
              <w:t>74      shares of Common Stock</w:t>
            </w:r>
          </w:p>
        </w:tc>
      </w:tr>
      <w:tr>
        <w:trPr/>
        <w:tc>
          <w:tcPr>
            <w:tcW w:w="3836"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01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5351"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540" w:right="0" w:hanging="0"/>
              <w:jc w:val="left"/>
              <w:rPr/>
            </w:pPr>
            <w:r>
              <w:rPr/>
              <w:t xml:space="preserve">     </w:t>
            </w:r>
            <w:r>
              <w:rPr>
                <w:rFonts w:ascii="times new roman" w:hAnsi="times new roman"/>
                <w:sz w:val="20"/>
              </w:rPr>
              <w:t>376      shares of Class B Stock</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720" w:right="0" w:hanging="0"/>
              <w:jc w:val="left"/>
              <w:rPr/>
            </w:pPr>
            <w:r>
              <w:rPr/>
              <w:t xml:space="preserve">   </w:t>
            </w:r>
            <w:r>
              <w:rPr>
                <w:rFonts w:ascii="times new roman" w:hAnsi="times new roman"/>
                <w:sz w:val="20"/>
              </w:rPr>
              <w:t>84,271      shares of Class B Stock</w:t>
            </w:r>
          </w:p>
          <w:p>
            <w:pPr>
              <w:pStyle w:val="TableContents"/>
              <w:spacing w:before="0" w:after="0"/>
              <w:ind w:left="900" w:right="0" w:hanging="0"/>
              <w:jc w:val="left"/>
              <w:rPr/>
            </w:pPr>
            <w:r>
              <w:rPr/>
              <w:t xml:space="preserve">    </w:t>
            </w:r>
            <w:r>
              <w:rPr>
                <w:rFonts w:ascii="times new roman" w:hAnsi="times new roman"/>
                <w:sz w:val="20"/>
              </w:rPr>
              <w:t>586      shares of Common Stock</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THE AGGREGATE AMOUNT IN ROW (11) EXCLUDES CERTAIN SHARES</w:t>
            </w:r>
            <w:r>
              <w:rPr>
                <w:rFonts w:ascii="wingdings" w:hAnsi="wingdings"/>
                <w:sz w:val="20"/>
              </w:rPr>
              <w:t>x</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(11).</w:t>
            </w:r>
          </w:p>
          <w:p>
            <w:pPr>
              <w:pStyle w:val="TableContents"/>
              <w:spacing w:before="0" w:after="0"/>
              <w:ind w:left="540" w:right="0" w:hanging="0"/>
              <w:jc w:val="left"/>
              <w:rPr>
                <w:rFonts w:ascii="times new roman" w:hAnsi="times new roman"/>
                <w:sz w:val="20"/>
              </w:rPr>
            </w:pPr>
            <w:r>
              <w:rPr>
                <w:rFonts w:ascii="times new roman" w:hAnsi="times new roman"/>
                <w:sz w:val="20"/>
              </w:rPr>
              <w:t>4.0% of the outstanding Class B Stock and 0% of the outstanding Common Stock, together representing 3.2% of the voting power of Issuer’s outstanding stock at October 31, 2010. If beneficially owned Class B Stock were converted to Common Stock, total ownership would represent 1.6% of the Common Stock outstanding at October 31, 2010.</w:t>
            </w:r>
          </w:p>
        </w:tc>
      </w:tr>
      <w:tr>
        <w:trPr/>
        <w:tc>
          <w:tcPr>
            <w:tcW w:w="988"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c>
          <w:tcPr>
            <w:tcW w:w="9217"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w:t>
            </w:r>
          </w:p>
          <w:p>
            <w:pPr>
              <w:pStyle w:val="TableContents"/>
              <w:spacing w:before="0" w:after="0"/>
              <w:ind w:left="1080" w:right="0" w:hanging="0"/>
              <w:jc w:val="left"/>
              <w:rPr>
                <w:rFonts w:ascii="times new roman" w:hAnsi="times new roman"/>
                <w:sz w:val="20"/>
              </w:rPr>
            </w:pPr>
            <w:r>
              <w:rPr>
                <w:rFonts w:ascii="times new roman" w:hAnsi="times new roman"/>
                <w:sz w:val="20"/>
              </w:rPr>
              <w:t>IN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 w:name="PGBRK4"/>
      <w:bookmarkStart w:id="55" w:name="PGBRK4"/>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FTR4"/>
      <w:bookmarkStart w:id="57" w:name="FTR4"/>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GLFTR4"/>
      <w:bookmarkStart w:id="59" w:name="GLFTR4"/>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 w:name="PN4"/>
      <w:bookmarkEnd w:id="60"/>
      <w:r>
        <w:rPr>
          <w:rFonts w:ascii="Times New Roman" w:hAnsi="Times New Roman"/>
          <w:sz w:val="20"/>
        </w:rPr>
        <w:t>Page 6of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HDR4"/>
      <w:bookmarkStart w:id="62" w:name="HDR4"/>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 w:name="GLHDR4"/>
      <w:bookmarkStart w:id="64" w:name="GLHDR4"/>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28" w:type="dxa"/>
          <w:left w:w="28" w:type="dxa"/>
          <w:bottom w:w="28" w:type="dxa"/>
          <w:right w:w="0" w:type="dxa"/>
        </w:tblCellMar>
      </w:tblPr>
      <w:tblGrid>
        <w:gridCol w:w="980"/>
        <w:gridCol w:w="2334"/>
        <w:gridCol w:w="1216"/>
        <w:gridCol w:w="5675"/>
      </w:tblGrid>
      <w:tr>
        <w:trPr/>
        <w:tc>
          <w:tcPr>
            <w:tcW w:w="980" w:type="dxa"/>
            <w:tcBorders>
              <w:top w:val="single" w:sz="6" w:space="0" w:color="000000"/>
              <w:left w:val="single" w:sz="6" w:space="0" w:color="000000"/>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c>
          <w:tcPr>
            <w:tcW w:w="9225" w:type="dxa"/>
            <w:gridSpan w:val="3"/>
            <w:tcBorders>
              <w:top w:val="single" w:sz="6" w:space="0" w:color="000000"/>
              <w:left w:val="single" w:sz="6" w:space="0" w:color="000000"/>
              <w:bottom w:val="single" w:sz="12" w:space="0" w:color="000000"/>
              <w:right w:val="single" w:sz="6"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NAMES OF REPORTING PERSONS</w:t>
            </w:r>
          </w:p>
          <w:p>
            <w:pPr>
              <w:pStyle w:val="TableContents"/>
              <w:spacing w:before="0" w:after="0"/>
              <w:ind w:left="930" w:right="0" w:hanging="0"/>
              <w:jc w:val="left"/>
              <w:rPr>
                <w:rFonts w:ascii="times new roman" w:hAnsi="times new roman"/>
                <w:sz w:val="20"/>
              </w:rPr>
            </w:pPr>
            <w:bookmarkStart w:id="65" w:name="TAB18"/>
            <w:bookmarkEnd w:id="65"/>
            <w:r>
              <w:rPr>
                <w:rFonts w:ascii="times new roman" w:hAnsi="times new roman"/>
                <w:sz w:val="20"/>
              </w:rPr>
              <w:t>Nancy E. Jaffee</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(a)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IF A MEMBER OF A GROUP                                                                                       (b) </w:t>
            </w:r>
            <w:r>
              <w:rPr>
                <w:rFonts w:ascii="wingdings" w:hAnsi="wingdings"/>
                <w:sz w:val="20"/>
              </w:rPr>
              <w:t>x</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SOURCE OF FUNDS (see Instructions)                                                                         OO</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DISCLOSURE OF LEGAL PROCEEDINGS</w:t>
            </w:r>
          </w:p>
          <w:p>
            <w:pPr>
              <w:pStyle w:val="TableContents"/>
              <w:spacing w:before="0" w:after="0"/>
              <w:ind w:left="180" w:right="0" w:hanging="0"/>
              <w:jc w:val="left"/>
              <w:rPr>
                <w:rFonts w:ascii="times new roman" w:hAnsi="times new roman"/>
                <w:sz w:val="20"/>
              </w:rPr>
            </w:pPr>
            <w:r>
              <w:rPr>
                <w:rFonts w:ascii="times new roman" w:hAnsi="times new roman"/>
                <w:sz w:val="20"/>
              </w:rPr>
              <w:t>IS REQUIRED PURSUANT TO ITEM 2(d) OR 2(e)                                                       ☐</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180" w:right="0" w:hanging="0"/>
              <w:jc w:val="left"/>
              <w:rPr>
                <w:rFonts w:ascii="times new roman" w:hAnsi="times new roman"/>
                <w:sz w:val="20"/>
              </w:rPr>
            </w:pPr>
            <w:r>
              <w:rPr>
                <w:rFonts w:ascii="times new roman" w:hAnsi="times new roman"/>
                <w:sz w:val="20"/>
              </w:rPr>
              <w:t>United States</w:t>
            </w:r>
          </w:p>
        </w:tc>
      </w:tr>
      <w:tr>
        <w:trPr/>
        <w:tc>
          <w:tcPr>
            <w:tcW w:w="3314" w:type="dxa"/>
            <w:gridSpan w:val="2"/>
            <w:vMerge w:val="restart"/>
            <w:tcBorders>
              <w:left w:val="single" w:sz="6" w:space="0" w:color="000000"/>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br/>
              <w:t>SHARES</w:t>
              <w:br/>
              <w:t>BENEFICIALLY</w:t>
              <w:br/>
              <w:t>OWNED BY</w:t>
              <w:br/>
              <w:t>EACH</w:t>
              <w:br/>
              <w:t>REPORTING</w:t>
              <w:br/>
              <w:t>PERSON WITH</w:t>
            </w:r>
          </w:p>
        </w:tc>
        <w:tc>
          <w:tcPr>
            <w:tcW w:w="121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w:t>
            </w:r>
          </w:p>
        </w:tc>
        <w:tc>
          <w:tcPr>
            <w:tcW w:w="567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540" w:right="0" w:hanging="0"/>
              <w:jc w:val="left"/>
              <w:rPr>
                <w:rFonts w:ascii="times new roman" w:hAnsi="times new roman"/>
                <w:sz w:val="20"/>
              </w:rPr>
            </w:pPr>
            <w:r>
              <w:rPr>
                <w:rFonts w:ascii="times new roman" w:hAnsi="times new roman"/>
                <w:sz w:val="20"/>
              </w:rPr>
              <w:t>36,163   shares of Class B Stock</w:t>
            </w:r>
          </w:p>
          <w:p>
            <w:pPr>
              <w:pStyle w:val="TableContents"/>
              <w:spacing w:before="0" w:after="0"/>
              <w:ind w:left="540" w:right="0" w:hanging="0"/>
              <w:jc w:val="left"/>
              <w:rPr/>
            </w:pPr>
            <w:r>
              <w:rPr/>
              <w:t xml:space="preserve">         </w:t>
            </w:r>
            <w:r>
              <w:rPr>
                <w:rFonts w:ascii="times new roman" w:hAnsi="times new roman"/>
                <w:sz w:val="20"/>
              </w:rPr>
              <w:t>5   shares of Common Stock</w:t>
            </w:r>
          </w:p>
        </w:tc>
      </w:tr>
      <w:tr>
        <w:trPr/>
        <w:tc>
          <w:tcPr>
            <w:tcW w:w="3314"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21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w:t>
            </w:r>
          </w:p>
        </w:tc>
        <w:tc>
          <w:tcPr>
            <w:tcW w:w="567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540" w:right="0" w:hanging="0"/>
              <w:jc w:val="left"/>
              <w:rPr/>
            </w:pPr>
            <w:r>
              <w:rPr/>
              <w:t xml:space="preserve">     </w:t>
            </w:r>
            <w:r>
              <w:rPr>
                <w:rFonts w:ascii="times new roman" w:hAnsi="times new roman"/>
                <w:sz w:val="20"/>
              </w:rPr>
              <w:t>125   shares of Class B Stock</w:t>
            </w:r>
          </w:p>
        </w:tc>
      </w:tr>
      <w:tr>
        <w:trPr/>
        <w:tc>
          <w:tcPr>
            <w:tcW w:w="3314"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21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w:t>
            </w:r>
          </w:p>
        </w:tc>
        <w:tc>
          <w:tcPr>
            <w:tcW w:w="567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540" w:right="0" w:hanging="0"/>
              <w:jc w:val="left"/>
              <w:rPr>
                <w:rFonts w:ascii="times new roman" w:hAnsi="times new roman"/>
                <w:sz w:val="20"/>
              </w:rPr>
            </w:pPr>
            <w:r>
              <w:rPr>
                <w:rFonts w:ascii="times new roman" w:hAnsi="times new roman"/>
                <w:sz w:val="20"/>
              </w:rPr>
              <w:t>36,163   shares of Class B Stock</w:t>
            </w:r>
          </w:p>
          <w:p>
            <w:pPr>
              <w:pStyle w:val="TableContents"/>
              <w:spacing w:before="0" w:after="0"/>
              <w:ind w:left="540" w:right="0" w:hanging="0"/>
              <w:jc w:val="left"/>
              <w:rPr/>
            </w:pPr>
            <w:r>
              <w:rPr/>
              <w:t xml:space="preserve">         </w:t>
            </w:r>
            <w:r>
              <w:rPr>
                <w:rFonts w:ascii="times new roman" w:hAnsi="times new roman"/>
                <w:sz w:val="20"/>
              </w:rPr>
              <w:t>5   shares of Common Stock</w:t>
            </w:r>
          </w:p>
        </w:tc>
      </w:tr>
      <w:tr>
        <w:trPr/>
        <w:tc>
          <w:tcPr>
            <w:tcW w:w="3314"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121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5675"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540" w:right="0" w:hanging="0"/>
              <w:jc w:val="left"/>
              <w:rPr/>
            </w:pPr>
            <w:r>
              <w:rPr/>
              <w:t>     </w:t>
            </w:r>
            <w:r>
              <w:rPr>
                <w:rFonts w:ascii="times new roman" w:hAnsi="times new roman"/>
                <w:sz w:val="20"/>
              </w:rPr>
              <w:t>125   shares of Class B Stock</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900" w:right="0" w:hanging="0"/>
              <w:jc w:val="left"/>
              <w:rPr>
                <w:rFonts w:ascii="times new roman" w:hAnsi="times new roman"/>
                <w:sz w:val="20"/>
              </w:rPr>
            </w:pPr>
            <w:r>
              <w:rPr>
                <w:rFonts w:ascii="times new roman" w:hAnsi="times new roman"/>
                <w:sz w:val="20"/>
              </w:rPr>
              <w:t>36,288      shares of Class B Stock</w:t>
            </w:r>
          </w:p>
          <w:p>
            <w:pPr>
              <w:pStyle w:val="TableContents"/>
              <w:spacing w:before="0" w:after="0"/>
              <w:ind w:left="900" w:right="0" w:hanging="0"/>
              <w:jc w:val="left"/>
              <w:rPr/>
            </w:pPr>
            <w:r>
              <w:rPr/>
              <w:t xml:space="preserve">         </w:t>
            </w:r>
            <w:r>
              <w:rPr>
                <w:rFonts w:ascii="times new roman" w:hAnsi="times new roman"/>
                <w:sz w:val="20"/>
              </w:rPr>
              <w:t>5      shares of Common Stock</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 xml:space="preserve">CHECK BOX IF THE AGGREGATE AMOUNT IN ROW (11) EXCLUDES CERTAIN SHARES                                                                                                                            </w:t>
            </w:r>
            <w:r>
              <w:rPr>
                <w:rFonts w:ascii="wingdings" w:hAnsi="wingdings"/>
                <w:sz w:val="20"/>
              </w:rPr>
              <w:t>x</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(11).</w:t>
            </w:r>
          </w:p>
          <w:p>
            <w:pPr>
              <w:pStyle w:val="TableContents"/>
              <w:spacing w:before="0" w:after="0"/>
              <w:ind w:left="720" w:right="0" w:hanging="0"/>
              <w:jc w:val="left"/>
              <w:rPr>
                <w:rFonts w:ascii="times new roman" w:hAnsi="times new roman"/>
                <w:sz w:val="20"/>
              </w:rPr>
            </w:pPr>
            <w:r>
              <w:rPr>
                <w:rFonts w:ascii="times new roman" w:hAnsi="times new roman"/>
                <w:sz w:val="20"/>
              </w:rPr>
              <w:t>1.8% of the outstanding Class B Stock and 0% of the outstanding Common Stock, together representing 1.4% of the voting power of Issuer’s outstanding stock at October 31, 2010. If beneficially owned Class B Stock were converted to Common Stock, total ownership would represent 0.7% of the Common Stock outstanding at October 31, 2010.</w:t>
            </w:r>
          </w:p>
        </w:tc>
      </w:tr>
      <w:tr>
        <w:trPr/>
        <w:tc>
          <w:tcPr>
            <w:tcW w:w="98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c>
          <w:tcPr>
            <w:tcW w:w="9225"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w:t>
            </w:r>
          </w:p>
          <w:p>
            <w:pPr>
              <w:pStyle w:val="TableContents"/>
              <w:spacing w:before="0" w:after="0"/>
              <w:ind w:left="900" w:right="0" w:hanging="0"/>
              <w:jc w:val="left"/>
              <w:rPr/>
            </w:pPr>
            <w:r>
              <w:rPr/>
              <w:t xml:space="preserve">      </w:t>
            </w:r>
            <w:r>
              <w:rPr>
                <w:rFonts w:ascii="times new roman" w:hAnsi="times new roman"/>
                <w:sz w:val="20"/>
              </w:rPr>
              <w:t>IN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 w:name="PGBRK5"/>
      <w:bookmarkStart w:id="67" w:name="PGBRK5"/>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FTR5"/>
      <w:bookmarkStart w:id="69" w:name="FTR5"/>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GLFTR5"/>
      <w:bookmarkStart w:id="71" w:name="GLFTR5"/>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 w:name="PN5"/>
      <w:bookmarkEnd w:id="72"/>
      <w:r>
        <w:rPr>
          <w:rFonts w:ascii="Times New Roman" w:hAnsi="Times New Roman"/>
          <w:sz w:val="20"/>
        </w:rPr>
        <w:t>Page 7of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5"/>
      <w:bookmarkStart w:id="74" w:name="HDR5"/>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GLHDR5"/>
      <w:bookmarkStart w:id="76" w:name="GLHDR5"/>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06"/>
        <w:gridCol w:w="2826"/>
        <w:gridCol w:w="920"/>
        <w:gridCol w:w="5453"/>
      </w:tblGrid>
      <w:tr>
        <w:trPr/>
        <w:tc>
          <w:tcPr>
            <w:tcW w:w="1006" w:type="dxa"/>
            <w:tcBorders>
              <w:top w:val="single" w:sz="6" w:space="0" w:color="000000"/>
              <w:left w:val="single" w:sz="6" w:space="0" w:color="000000"/>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c>
          <w:tcPr>
            <w:tcW w:w="9199" w:type="dxa"/>
            <w:gridSpan w:val="3"/>
            <w:tcBorders>
              <w:top w:val="single" w:sz="6" w:space="0" w:color="000000"/>
              <w:left w:val="single" w:sz="6" w:space="0" w:color="000000"/>
              <w:bottom w:val="single" w:sz="12" w:space="0" w:color="000000"/>
              <w:right w:val="single" w:sz="6" w:space="0" w:color="000000"/>
            </w:tcBorders>
            <w:shd w:fill="auto" w:val="clear"/>
            <w:tcMar>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NAMES OF REPORTING PERSONS</w:t>
            </w:r>
          </w:p>
          <w:p>
            <w:pPr>
              <w:pStyle w:val="TableContents"/>
              <w:spacing w:before="0" w:after="0"/>
              <w:ind w:left="930" w:right="0" w:hanging="0"/>
              <w:jc w:val="left"/>
              <w:rPr>
                <w:rFonts w:ascii="times new roman" w:hAnsi="times new roman"/>
                <w:sz w:val="20"/>
              </w:rPr>
            </w:pPr>
            <w:bookmarkStart w:id="77" w:name="TAB19"/>
            <w:bookmarkEnd w:id="77"/>
            <w:r>
              <w:rPr>
                <w:rFonts w:ascii="times new roman" w:hAnsi="times new roman"/>
                <w:sz w:val="20"/>
              </w:rPr>
              <w:t>Daniel S. Jaffee</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(a) ☐</w:t>
            </w:r>
          </w:p>
          <w:p>
            <w:pPr>
              <w:pStyle w:val="TableContents"/>
              <w:spacing w:before="0" w:after="0"/>
              <w:ind w:left="180" w:right="0" w:hanging="0"/>
              <w:jc w:val="left"/>
              <w:rPr>
                <w:rFonts w:ascii="times new roman" w:hAnsi="times new roman"/>
                <w:sz w:val="20"/>
              </w:rPr>
            </w:pPr>
            <w:r>
              <w:rPr>
                <w:rFonts w:ascii="times new roman" w:hAnsi="times new roman"/>
                <w:sz w:val="20"/>
              </w:rPr>
              <w:t xml:space="preserve">IF A MEMBER OF A GROUP                                                                                       (b) </w:t>
            </w:r>
            <w:r>
              <w:rPr>
                <w:rFonts w:ascii="wingdings" w:hAnsi="wingdings"/>
                <w:sz w:val="20"/>
              </w:rPr>
              <w:t>x</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SOURCE OF FUNDS (see Instructions)                                                                         OO</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DISCLOSURE OF LEGAL PROCEEDINGS</w:t>
            </w:r>
          </w:p>
          <w:p>
            <w:pPr>
              <w:pStyle w:val="TableContents"/>
              <w:spacing w:before="0" w:after="0"/>
              <w:ind w:left="180" w:right="0" w:hanging="0"/>
              <w:jc w:val="left"/>
              <w:rPr>
                <w:rFonts w:ascii="times new roman" w:hAnsi="times new roman"/>
                <w:sz w:val="20"/>
              </w:rPr>
            </w:pPr>
            <w:r>
              <w:rPr>
                <w:rFonts w:ascii="times new roman" w:hAnsi="times new roman"/>
                <w:sz w:val="20"/>
              </w:rPr>
              <w:t>IS REQUIRED PURSUANT TO ITEM 2(d) OR 2(e)                                                        ☐</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180" w:right="0" w:hanging="0"/>
              <w:jc w:val="left"/>
              <w:rPr>
                <w:rFonts w:ascii="times new roman" w:hAnsi="times new roman"/>
                <w:sz w:val="20"/>
              </w:rPr>
            </w:pPr>
            <w:r>
              <w:rPr>
                <w:rFonts w:ascii="times new roman" w:hAnsi="times new roman"/>
                <w:sz w:val="20"/>
              </w:rPr>
              <w:t>United States</w:t>
            </w:r>
          </w:p>
        </w:tc>
      </w:tr>
      <w:tr>
        <w:trPr/>
        <w:tc>
          <w:tcPr>
            <w:tcW w:w="3832" w:type="dxa"/>
            <w:gridSpan w:val="2"/>
            <w:vMerge w:val="restart"/>
            <w:tcBorders>
              <w:left w:val="single" w:sz="6" w:space="0" w:color="000000"/>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br/>
              <w:t>SHARES</w:t>
              <w:br/>
              <w:t>BENEFICIALLY</w:t>
              <w:br/>
              <w:t>OWNED BY</w:t>
              <w:br/>
              <w:t>EACH</w:t>
              <w:br/>
              <w:t>REPORTING</w:t>
              <w:br/>
              <w:t>PERSON WITH</w:t>
            </w:r>
          </w:p>
        </w:tc>
        <w:tc>
          <w:tcPr>
            <w:tcW w:w="92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w:t>
            </w:r>
          </w:p>
        </w:tc>
        <w:tc>
          <w:tcPr>
            <w:tcW w:w="5453"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540" w:right="0" w:hanging="0"/>
              <w:jc w:val="left"/>
              <w:rPr>
                <w:rFonts w:ascii="times new roman" w:hAnsi="times new roman"/>
                <w:sz w:val="20"/>
              </w:rPr>
            </w:pPr>
            <w:r>
              <w:rPr>
                <w:rFonts w:ascii="times new roman" w:hAnsi="times new roman"/>
                <w:sz w:val="20"/>
              </w:rPr>
              <w:t>287,153  shares of Class B Stock</w:t>
            </w:r>
          </w:p>
        </w:tc>
      </w:tr>
      <w:tr>
        <w:trPr/>
        <w:tc>
          <w:tcPr>
            <w:tcW w:w="3832"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92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w:t>
            </w:r>
          </w:p>
        </w:tc>
        <w:tc>
          <w:tcPr>
            <w:tcW w:w="5453"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540" w:right="0" w:hanging="0"/>
              <w:jc w:val="left"/>
              <w:rPr/>
            </w:pPr>
            <w:r>
              <w:rPr/>
              <w:t xml:space="preserve">       </w:t>
            </w:r>
            <w:r>
              <w:rPr>
                <w:rFonts w:ascii="times new roman" w:hAnsi="times new roman"/>
                <w:sz w:val="20"/>
              </w:rPr>
              <w:t>127  shares of Class B Stock</w:t>
            </w:r>
          </w:p>
        </w:tc>
      </w:tr>
      <w:tr>
        <w:trPr/>
        <w:tc>
          <w:tcPr>
            <w:tcW w:w="3832"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92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w:t>
            </w:r>
          </w:p>
        </w:tc>
        <w:tc>
          <w:tcPr>
            <w:tcW w:w="5453"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540" w:right="0" w:hanging="0"/>
              <w:jc w:val="left"/>
              <w:rPr>
                <w:rFonts w:ascii="times new roman" w:hAnsi="times new roman"/>
                <w:sz w:val="20"/>
              </w:rPr>
            </w:pPr>
            <w:r>
              <w:rPr>
                <w:rFonts w:ascii="times new roman" w:hAnsi="times new roman"/>
                <w:sz w:val="20"/>
              </w:rPr>
              <w:t>152,038  shares of Class B Stock</w:t>
            </w:r>
          </w:p>
        </w:tc>
      </w:tr>
      <w:tr>
        <w:trPr/>
        <w:tc>
          <w:tcPr>
            <w:tcW w:w="3832" w:type="dxa"/>
            <w:gridSpan w:val="2"/>
            <w:vMerge w:val="continue"/>
            <w:tcBorders>
              <w:left w:val="single" w:sz="6" w:space="0" w:color="000000"/>
              <w:bottom w:val="single" w:sz="12" w:space="0" w:color="000000"/>
            </w:tcBorders>
            <w:shd w:fill="auto" w:val="clear"/>
            <w:tcMar>
              <w:top w:w="0" w:type="dxa"/>
            </w:tcMar>
            <w:vAlign w:val="center"/>
          </w:tcPr>
          <w:p>
            <w:pPr>
              <w:pStyle w:val="Normal"/>
              <w:rPr/>
            </w:pPr>
            <w:r>
              <w:rPr/>
            </w:r>
          </w:p>
        </w:tc>
        <w:tc>
          <w:tcPr>
            <w:tcW w:w="920"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5453" w:type="dxa"/>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540" w:right="0" w:hanging="0"/>
              <w:jc w:val="left"/>
              <w:rPr/>
            </w:pPr>
            <w:r>
              <w:rPr/>
              <w:t xml:space="preserve">       </w:t>
            </w:r>
            <w:r>
              <w:rPr>
                <w:rFonts w:ascii="times new roman" w:hAnsi="times new roman"/>
                <w:sz w:val="20"/>
              </w:rPr>
              <w:t>125  shares of Class B Stock</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720" w:right="0" w:hanging="0"/>
              <w:jc w:val="left"/>
              <w:rPr>
                <w:rFonts w:ascii="times new roman" w:hAnsi="times new roman"/>
                <w:sz w:val="20"/>
              </w:rPr>
            </w:pPr>
            <w:r>
              <w:rPr>
                <w:rFonts w:ascii="times new roman" w:hAnsi="times new roman"/>
                <w:sz w:val="20"/>
              </w:rPr>
              <w:t>287,280shares of Class B Stock</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 xml:space="preserve">CHECK BOX IF THE AGGREGATE AMOUNT IN ROW (11) EXCLUDES CERTAIN SHARES       </w:t>
            </w:r>
            <w:r>
              <w:rPr>
                <w:rFonts w:ascii="wingdings" w:hAnsi="wingdings"/>
                <w:sz w:val="20"/>
              </w:rPr>
              <w:t>x</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(11).</w:t>
            </w:r>
          </w:p>
          <w:p>
            <w:pPr>
              <w:pStyle w:val="TableContents"/>
              <w:spacing w:before="0" w:after="0"/>
              <w:ind w:left="720" w:right="0" w:hanging="0"/>
              <w:jc w:val="left"/>
              <w:rPr>
                <w:rFonts w:ascii="times new roman" w:hAnsi="times new roman"/>
                <w:sz w:val="20"/>
              </w:rPr>
            </w:pPr>
            <w:r>
              <w:rPr>
                <w:rFonts w:ascii="times new roman" w:hAnsi="times new roman"/>
                <w:sz w:val="20"/>
              </w:rPr>
              <w:t>13.9% of the outstanding Class B Stock and 0% of the outstanding Common Stock, together representing 11.2% of the voting power of Issuer’s outstanding stock at October 31, 2010. If beneficially owned Class B Stock were converted to Common Stock, total ownership would represent 5.3% of the Common Stock outstanding at October 31, 2010.</w:t>
            </w:r>
          </w:p>
        </w:tc>
      </w:tr>
      <w:tr>
        <w:trPr/>
        <w:tc>
          <w:tcPr>
            <w:tcW w:w="1006" w:type="dxa"/>
            <w:tcBorders>
              <w:left w:val="single" w:sz="6" w:space="0" w:color="000000"/>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c>
          <w:tcPr>
            <w:tcW w:w="9199" w:type="dxa"/>
            <w:gridSpan w:val="3"/>
            <w:tcBorders>
              <w:left w:val="single" w:sz="6" w:space="0" w:color="000000"/>
              <w:bottom w:val="single" w:sz="12" w:space="0" w:color="000000"/>
              <w:right w:val="single" w:sz="6" w:space="0" w:color="000000"/>
            </w:tcBorders>
            <w:shd w:fill="auto" w:val="clear"/>
            <w:tcMar>
              <w:top w:w="0" w:type="dxa"/>
              <w:right w:w="28"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w:t>
            </w:r>
          </w:p>
          <w:p>
            <w:pPr>
              <w:pStyle w:val="TableContents"/>
              <w:spacing w:before="0" w:after="0"/>
              <w:ind w:left="1260" w:right="0" w:hanging="0"/>
              <w:jc w:val="left"/>
              <w:rPr>
                <w:rFonts w:ascii="times new roman" w:hAnsi="times new roman"/>
                <w:sz w:val="20"/>
              </w:rPr>
            </w:pPr>
            <w:r>
              <w:rPr>
                <w:rFonts w:ascii="times new roman" w:hAnsi="times new roman"/>
                <w:sz w:val="20"/>
              </w:rPr>
              <w:t>IN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6"/>
      <w:bookmarkStart w:id="79" w:name="PGBRK6"/>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6"/>
      <w:bookmarkStart w:id="81" w:name="FTR6"/>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GLFTR6"/>
      <w:bookmarkStart w:id="83" w:name="GLFTR6"/>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 w:name="PN6"/>
      <w:bookmarkEnd w:id="84"/>
      <w:r>
        <w:rPr>
          <w:rFonts w:ascii="Times New Roman" w:hAnsi="Times New Roman"/>
          <w:sz w:val="20"/>
        </w:rPr>
        <w:t>Page 8of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 w:name="HDR6"/>
      <w:bookmarkStart w:id="86" w:name="HDR6"/>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GLHDR6"/>
      <w:bookmarkStart w:id="88" w:name="GLHDR6"/>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89" w:name="hangingindent"/>
      <w:bookmarkStart w:id="90" w:name="hangingindent"/>
      <w:bookmarkEnd w:id="90"/>
    </w:p>
    <w:tbl>
      <w:tblPr>
        <w:tblW w:w="5000" w:type="pct"/>
        <w:jc w:val="left"/>
        <w:tblInd w:w="0" w:type="dxa"/>
        <w:tblCellMar>
          <w:top w:w="0" w:type="dxa"/>
          <w:left w:w="0" w:type="dxa"/>
          <w:bottom w:w="0" w:type="dxa"/>
          <w:right w:w="0" w:type="dxa"/>
        </w:tblCellMar>
      </w:tblPr>
      <w:tblGrid>
        <w:gridCol w:w="2750"/>
        <w:gridCol w:w="7455"/>
      </w:tblGrid>
      <w:tr>
        <w:trPr/>
        <w:tc>
          <w:tcPr>
            <w:tcW w:w="2750"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1.</w:t>
            </w:r>
          </w:p>
        </w:tc>
        <w:tc>
          <w:tcPr>
            <w:tcW w:w="7455"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Security and Issuer</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91" w:name="TAB110"/>
      <w:bookmarkEnd w:id="91"/>
      <w:r>
        <w:rPr>
          <w:rFonts w:ascii="Times New Roman" w:hAnsi="Times New Roman"/>
          <w:sz w:val="20"/>
        </w:rPr>
        <w:t>This Amendment No. 7 to this Schedule 13D relates to the Common Stock, par value $.10 per share, of Oil-Dri Corporation of America, a Delaware corporation (the “Issuer”). Oil-Dri’s principal executive offices are located at 410 North Michigan Avenue, Suite 400, Chicago, Illinois 60611-4213. In accordance with the rules of the Securities and Exchange Commission, this Amendment No. 7 to this Schedule 13D does not relate to the Class B Stock, par value $.10 per share (“Class B Stock”), of the Issuer because the Class B Stock is not registered under Section 12 of the Securities Exchange Act of 1934, as amended; however, because the Class B Stock is convertible on a share for share basis into Common Stock at any time, at the option of the holder, and therefore represents a right to acquire Common Stock within 60 days, beneficial ownership of Class B Stock is shown in this Amendment No. 7 to this Schedule 13D in disclosing beneficial ownership of Common Stock. Each share of Class B Stock is entitled to 10 votes per share. Accordingly, this Amendment No. 7 to this Schedule 13D also presents for each Reporting Person the total voting power of the shares of Common Stock and Class B Stock held by such Reporting Person.</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92" w:name="TAB111"/>
      <w:bookmarkEnd w:id="92"/>
      <w:r>
        <w:rPr>
          <w:rFonts w:ascii="Times New Roman" w:hAnsi="Times New Roman"/>
          <w:sz w:val="20"/>
        </w:rPr>
        <w:t>This Schedule 13D was last amended by Amendment No. 6, filed on June 30, 2008.</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93" w:name="hangingindent1"/>
      <w:bookmarkStart w:id="94" w:name="hangingindent1"/>
      <w:bookmarkEnd w:id="94"/>
    </w:p>
    <w:tbl>
      <w:tblPr>
        <w:tblW w:w="5000" w:type="pct"/>
        <w:jc w:val="left"/>
        <w:tblInd w:w="0" w:type="dxa"/>
        <w:tblCellMar>
          <w:top w:w="0" w:type="dxa"/>
          <w:left w:w="0" w:type="dxa"/>
          <w:bottom w:w="0" w:type="dxa"/>
          <w:right w:w="0" w:type="dxa"/>
        </w:tblCellMar>
      </w:tblPr>
      <w:tblGrid>
        <w:gridCol w:w="2253"/>
        <w:gridCol w:w="7952"/>
      </w:tblGrid>
      <w:tr>
        <w:trPr/>
        <w:tc>
          <w:tcPr>
            <w:tcW w:w="225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2.</w:t>
            </w:r>
          </w:p>
        </w:tc>
        <w:tc>
          <w:tcPr>
            <w:tcW w:w="795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Identity and Background</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95" w:name="TAB112"/>
      <w:bookmarkEnd w:id="95"/>
      <w:r>
        <w:rPr>
          <w:rFonts w:ascii="Times New Roman" w:hAnsi="Times New Roman"/>
          <w:sz w:val="20"/>
        </w:rPr>
        <w:t>(a) – (c) This Amendment No. 7 to this Schedule 13D is being filed on behalf of (i) Jaffee Investment Partnership, L.P., a Delaware limited partnership (the “Jaffee Investment Partnership”), (ii) Richard M. Jaffee, (iii) Shirley H. Jaffee, (iv) Susan Jaffee, pka Susan Jaffee Hardin, (v) Karen Jaffee Cofsky, (vi) Nancy E. Jaffee and (vii) Daniel S. Jaffee (the foregoing are sometimes referred to herein collectively as the “Reporting Persons”). The Managing General Partner of the Jaffee Investment Partnership is Richard M. Jaffee. Shirley H. Jaffee, Susan Jaffee, Karen Jaffee Cofsky, Nancy E. Jaffee and Daniel S. Jaffee are General Partners of the Jaffee Investment Partnership. The Reporting Persons who are natural persons are sometimes referred to herein collectively as the “Individual Reporting Persons.”  The filing of this Amendment No. 7 to this Schedule 13D shall not be deemed an admission that the Reporting Persons comprise a group for purposes of Section 13(d)(3) of the Securities Exchange Act of 1934, as amended, or for any other purpose.</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96" w:name="TAB113"/>
      <w:bookmarkEnd w:id="96"/>
      <w:r>
        <w:rPr>
          <w:rFonts w:ascii="Times New Roman" w:hAnsi="Times New Roman"/>
          <w:sz w:val="20"/>
        </w:rPr>
        <w:t>The principal business of the Jaffee Investment Partnership is investments, and its principal business address is c/o Oil-Dri Corporation of America, 410 North Michigan Avenue, Suite 400, Chicago, Illinois 60611-4213. See Item 6 below.</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97" w:name="TAB114"/>
      <w:bookmarkEnd w:id="97"/>
      <w:r>
        <w:rPr>
          <w:rFonts w:ascii="Times New Roman" w:hAnsi="Times New Roman"/>
          <w:sz w:val="20"/>
        </w:rPr>
        <w:t>Richard M. Jaffee serves as Chairman of the Issuer’s Board of Directors, Daniel S. Jaffee serves as President and Chief Executive Officer and as a director of the Issuer, and Karen Jaffee Cofsky services as Vice President, Compensation and Benefits, of the Issuer. The Issuer is engaged in the business of developing, manufacturing and marketing sorbent mineral products, and its principal executive offices are located at 410 North Michigan Avenue, Suite 400, Chicago, Illinois 60611-4213. No other Individual Reporting Person is presently engaged in any principal occupation or employment. The principal business address of each of the Individual Reporting Persons for purposes of this Amendment No. 7 to this Schedule 13D is c/o Oil-Dri Corporation of America, 410 North Michigan Avenue, Suite 400, Chicago, Illinois 60611-4213.</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7"/>
      <w:bookmarkStart w:id="99" w:name="PGBRK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7"/>
      <w:bookmarkStart w:id="101" w:name="FTR7"/>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GLFTR7"/>
      <w:bookmarkStart w:id="103" w:name="GLFTR7"/>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 w:name="PN7"/>
      <w:bookmarkEnd w:id="104"/>
      <w:r>
        <w:rPr>
          <w:rFonts w:ascii="Times New Roman" w:hAnsi="Times New Roman"/>
          <w:sz w:val="20"/>
        </w:rPr>
        <w:t>Page 9of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 w:name="HDR7"/>
      <w:bookmarkStart w:id="106" w:name="HDR7"/>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GLHDR7"/>
      <w:bookmarkStart w:id="108" w:name="GLHDR7"/>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109" w:name="TAB115"/>
      <w:bookmarkEnd w:id="109"/>
      <w:r>
        <w:rPr>
          <w:rFonts w:ascii="Times New Roman" w:hAnsi="Times New Roman"/>
          <w:sz w:val="20"/>
        </w:rPr>
        <w:t>(d) and (e) 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funding any violation with respect to such laws.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10" w:name="TAB116"/>
      <w:bookmarkEnd w:id="110"/>
      <w:r>
        <w:rPr>
          <w:rFonts w:ascii="Times New Roman" w:hAnsi="Times New Roman"/>
          <w:sz w:val="20"/>
        </w:rPr>
        <w:t>(f) Each of the Individual Reporting Persons is a citizen of the United States of America.</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111" w:name="hangingindent2"/>
      <w:bookmarkStart w:id="112" w:name="hangingindent2"/>
      <w:bookmarkEnd w:id="112"/>
    </w:p>
    <w:tbl>
      <w:tblPr>
        <w:tblW w:w="5000" w:type="pct"/>
        <w:jc w:val="left"/>
        <w:tblInd w:w="0" w:type="dxa"/>
        <w:tblCellMar>
          <w:top w:w="0" w:type="dxa"/>
          <w:left w:w="0" w:type="dxa"/>
          <w:bottom w:w="0" w:type="dxa"/>
          <w:right w:w="0" w:type="dxa"/>
        </w:tblCellMar>
      </w:tblPr>
      <w:tblGrid>
        <w:gridCol w:w="1215"/>
        <w:gridCol w:w="8990"/>
      </w:tblGrid>
      <w:tr>
        <w:trPr/>
        <w:tc>
          <w:tcPr>
            <w:tcW w:w="1215"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3.</w:t>
            </w:r>
          </w:p>
        </w:tc>
        <w:tc>
          <w:tcPr>
            <w:tcW w:w="8990"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and Amount of Funds or Other Consideration</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13" w:name="TAB117"/>
      <w:bookmarkEnd w:id="113"/>
      <w:r>
        <w:rPr>
          <w:rFonts w:ascii="Times New Roman" w:hAnsi="Times New Roman"/>
          <w:sz w:val="20"/>
        </w:rPr>
        <w:t>No purchase of securities of the Issuer was involved in the transaction which necessitated the filing of this Amendment No. 7 to this Schedule 13D, except as described herein. Since the filing of Amendment No. 6 to this Schedule 13D, certain of the Individual Reporting Persons exercised stock options granted by the Issuer using personal funds, or a portion of the cash proceeds resulting from the immediate resale of the underlying Common Stock, to satisfy the aggregate exercise prices of those stock options. No funds were borrowed or otherwise obtained for the purpose of acquiring, holding, trading or voting shares of Common Stock or Class B Stock.</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114" w:name="hangingindent3"/>
      <w:bookmarkStart w:id="115" w:name="hangingindent3"/>
      <w:bookmarkEnd w:id="115"/>
    </w:p>
    <w:tbl>
      <w:tblPr>
        <w:tblW w:w="5000" w:type="pct"/>
        <w:jc w:val="left"/>
        <w:tblInd w:w="0" w:type="dxa"/>
        <w:tblCellMar>
          <w:top w:w="0" w:type="dxa"/>
          <w:left w:w="0" w:type="dxa"/>
          <w:bottom w:w="0" w:type="dxa"/>
          <w:right w:w="0" w:type="dxa"/>
        </w:tblCellMar>
      </w:tblPr>
      <w:tblGrid>
        <w:gridCol w:w="2370"/>
        <w:gridCol w:w="7835"/>
      </w:tblGrid>
      <w:tr>
        <w:trPr/>
        <w:tc>
          <w:tcPr>
            <w:tcW w:w="2370"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4.</w:t>
            </w:r>
          </w:p>
        </w:tc>
        <w:tc>
          <w:tcPr>
            <w:tcW w:w="7835"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Purpose of Transaction</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16" w:name="TAB118"/>
      <w:bookmarkEnd w:id="116"/>
      <w:r>
        <w:rPr>
          <w:rFonts w:ascii="Times New Roman" w:hAnsi="Times New Roman"/>
          <w:sz w:val="20"/>
        </w:rPr>
        <w:t>The purpose of the transaction initially requiring filing of this Schedule 13D (on January 21, 1998) was to form the Jaffee Investment Partnership for estate planning purposes. This Schedule 13D was last amended by Amendment No. 6, filed on June 30, 2008.</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17" w:name="TAB119"/>
      <w:bookmarkEnd w:id="117"/>
      <w:r>
        <w:rPr>
          <w:rFonts w:ascii="Times New Roman" w:hAnsi="Times New Roman"/>
          <w:sz w:val="20"/>
        </w:rPr>
        <w:t>This Schedule 13D, since its initial filing, has also reported on the individual ownership of the partners of the Jaffee Investment Partnership, including Daniel S. Jaffee. On October 6, 2010 the Issuer granted to Daniel S. Jaffee 129,933 shares of restricted Class B Stock. Four thousand nine hundred thirty-three of said shares will vest in full on July 31, 2013, provided Mr. Jaffee is employed by the Issuer on that date. The remaining 125,000 shares will vest in 20% increments beginning October 6, 2011 and on each of the four subsequent anniversaries of that date, provided Mr. Jaffee is employed by the Issuer on those dates. Although Daniel S. Jaffee does not have dispositive power over these restricted shares until they are vested, he does, as of the grant date, have voting power of these shares of restricted Class B Stock.</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8"/>
      <w:bookmarkStart w:id="119" w:name="PGBRK8"/>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FTR8"/>
      <w:bookmarkStart w:id="121" w:name="FTR8"/>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GLFTR8"/>
      <w:bookmarkStart w:id="123" w:name="GLFTR8"/>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4" w:name="PN8"/>
      <w:bookmarkEnd w:id="124"/>
      <w:r>
        <w:rPr>
          <w:rFonts w:ascii="Times New Roman" w:hAnsi="Times New Roman"/>
          <w:sz w:val="20"/>
        </w:rPr>
        <w:t>Page 10of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HDR8"/>
      <w:bookmarkStart w:id="126" w:name="HDR8"/>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GLHDR8"/>
      <w:bookmarkStart w:id="128" w:name="GLHDR8"/>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129" w:name="TAB120"/>
      <w:bookmarkEnd w:id="129"/>
      <w:r>
        <w:rPr>
          <w:rFonts w:ascii="Times New Roman" w:hAnsi="Times New Roman"/>
          <w:sz w:val="20"/>
        </w:rPr>
        <w:t>Common Stock and Class B Stock beneficially owned by the Reporting Persons are held for investment purposes. The Reporting Persons may acquire additional shares of Common Stock, Class B Stock or similar securities from time to time, either in privately-negotiated transactions, upon the exercise of stock options, warrants or similar securities or in the case of the Common Stock, in brokerage transactions on the New York Stock Exchange. Each of Daniel S. Jaffee and Karen Jaffee Cofsky holds stock options and/or other equity awards to acquire additional shares of Common Stock and/or Class B Stock granted to them as compensation for his or her service to the Issuer. Daniel S. Jaffee serves as President and Chief Executive Officer and as a director of the Issuer, and Karen Jaffee Cofsky serves as Vice President, Compensation and Benefits, of the Issuer. Such persons may, from time to time, exercise such options or be granted additional stock options, restricted stock or other equity awards by the Issuer in connection with such service. Any decision of a Reporting Person to increase its, his or her holdings of Common Stock or Class B Stock will depend on various factors, including but not limited to, the price of the shares of Common Stock, the terms and conditions of the transaction, prevailing market conditions and such other considerations as such Reporting Person deems relevant. In addition, the Jaffee Investment Partnership may acquire (or dispose of) beneficial ownership of shares of Class B Stock from time-to-time, subject to the terms and conditions of the Agreement (as defined in Item 6 below).</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30" w:name="TAB121"/>
      <w:bookmarkEnd w:id="130"/>
      <w:r>
        <w:rPr>
          <w:rFonts w:ascii="Times New Roman" w:hAnsi="Times New Roman"/>
          <w:sz w:val="20"/>
        </w:rPr>
        <w:t>Each Reporting Person also may, at any time, subject to compliance with applicable securities laws, dispose of some or all of its, his or her Common Stock or Class B Stock depending on various factors, including but not limited to, the price of the shares, the terms and conditions of the transaction and prevailing market conditions, as well as liquidity and diversification of objectives. Each of the Reporting Persons may make gifts of shares to charities or others from time to time. In addition, each Reporting Person may, from time to time, enter into stock trading plans intended to satisfy the requirements of Securities and Exchange Commission Rule 10b5-1 (a “Rule 10b5-1 Sales Plan”) under the Securities Exchange Act of 1934.</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31" w:name="TAB122"/>
      <w:bookmarkEnd w:id="131"/>
      <w:r>
        <w:rPr>
          <w:rFonts w:ascii="Times New Roman" w:hAnsi="Times New Roman"/>
          <w:sz w:val="20"/>
        </w:rPr>
        <w:t>On October 30, 2007, Thomas F. Cofsky, Vice President, Manufacturing and Logistics, of the Issuer, entered into a Rule 10b5-1 Sales Plan, a copy of which is filed as Exhibit 4 hereto and is incorporated herein by reference. All of the transactions originally contemplated by that plan were consummated. On June 11, 2009, Mr. Cofsky entered into a modification of his October 30, 2007 sales plan. A copy of that modification is attached hereto as Exhibit 6 and is incorporated herein by reference. All of the transactions contemplated by that modification were consummated. On March 15, 2010, Mr. Cofsky entered into a further modification of his sales plan.  A copy of that modification is attached hereto as Exhibit 7 and is incorporated herein by reference. Such modification provides that Mr. Cofsky will, subject to the terms and conditions of the sales plan, exercise employee stock options to purchase up to 31,250 shares of Class B Stock between March 22, 2010, and September 23, 2013, if the price of Common Stock reaches various limits as stated in the plan. The shares of Class B Stock acquired upon option exercise pursuant to the plan will be converted to Common Stock and sold. A portion of the sale proceeds will be used to pay the option exercise price and Mr. Cofsky’s tax obligation. Karen Jaffee Cofsky, an Individual Reporting Person and Mr. Cofsky’s spouse, shares with him beneficial ownership of the shares of Class B Stock covered by this Rule 10b5-1 Sales Plan and its modifications. To date, Mr. Cofsky has exercised options and sold 6,250 shares of Common Stock pursuant to the March 15, 2010, modification of his sales plan.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 w:name="PGBRK9"/>
      <w:bookmarkStart w:id="133" w:name="PGBRK9"/>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FTR9"/>
      <w:bookmarkStart w:id="135" w:name="FTR9"/>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GLFTR9"/>
      <w:bookmarkStart w:id="137" w:name="GLFTR9"/>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 w:name="PN9"/>
      <w:bookmarkEnd w:id="138"/>
      <w:r>
        <w:rPr>
          <w:rFonts w:ascii="Times New Roman" w:hAnsi="Times New Roman"/>
          <w:sz w:val="20"/>
        </w:rPr>
        <w:t>Page 11of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HDR9"/>
      <w:bookmarkStart w:id="140" w:name="HDR9"/>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GLHDR9"/>
      <w:bookmarkStart w:id="142" w:name="GLHDR9"/>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143" w:name="TAB123"/>
      <w:bookmarkEnd w:id="143"/>
      <w:r>
        <w:rPr>
          <w:rFonts w:ascii="Times New Roman" w:hAnsi="Times New Roman"/>
          <w:sz w:val="20"/>
        </w:rPr>
        <w:t>The Reporting Persons intend to participate in and influence the affairs of the Issuer through the exercise of their voting rights with respect to their shares of Common Stock and Class B Stock. In addition, Richard M. Jaffee serves as Chairman of the Issuer’s Board of Directors, Daniel S. Jaffee serves as President and Chief Executive Officer and as a director of the Issuer, and Karen Jaffee Cofsky serves as Vice President, Compensation and Benefits, of the Issuer and, as a result, in the ordinary course or otherwise, may take actions to influence the management, business and affairs of the Issuer.</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44" w:name="TAB124"/>
      <w:bookmarkEnd w:id="144"/>
      <w:r>
        <w:rPr>
          <w:rFonts w:ascii="Times New Roman" w:hAnsi="Times New Roman"/>
          <w:sz w:val="20"/>
        </w:rPr>
        <w:t>Except as indicated herein, no Reporting Person, as a stockholder of the Issuer, has any plan or proposal that relates to or would result in any of the transactions or other matters specified in clauses (a) through (j) of Item 4 of Schedule 13D. Each Reporting Person may, at any time and from time to time, review or reconsider its, his or her position and/or change its, his or her purpose and/or formulate plans or proposals with respect thereto. Notwithstanding the foregoing, each of Messrs. Richard M. Jaffee and Daniel S. Jaffee and Ms. Karen Jaffee Cofsky, in their respective capacities as an officer and/or director of the Issuer, intend to consider such matters and take such actions as he or she deems to be in the best interests of the Issuer, which matters and actions could potentially from time to time involve items referenced in the first sentence of this paragraph.</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45" w:name="TAB125"/>
      <w:bookmarkEnd w:id="145"/>
      <w:r>
        <w:rPr>
          <w:rFonts w:ascii="Times New Roman" w:hAnsi="Times New Roman"/>
          <w:sz w:val="20"/>
        </w:rPr>
        <w:t>The information set forth in Item 6 is hereby incorporated by reference into this Item 4.</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146" w:name="hangingindent4"/>
      <w:bookmarkStart w:id="147" w:name="hangingindent4"/>
      <w:bookmarkEnd w:id="147"/>
    </w:p>
    <w:tbl>
      <w:tblPr>
        <w:tblW w:w="5000" w:type="pct"/>
        <w:jc w:val="left"/>
        <w:tblInd w:w="0" w:type="dxa"/>
        <w:tblCellMar>
          <w:top w:w="0" w:type="dxa"/>
          <w:left w:w="0" w:type="dxa"/>
          <w:bottom w:w="0" w:type="dxa"/>
          <w:right w:w="0" w:type="dxa"/>
        </w:tblCellMar>
      </w:tblPr>
      <w:tblGrid>
        <w:gridCol w:w="1807"/>
        <w:gridCol w:w="8398"/>
      </w:tblGrid>
      <w:tr>
        <w:trPr/>
        <w:tc>
          <w:tcPr>
            <w:tcW w:w="180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5.</w:t>
            </w:r>
          </w:p>
        </w:tc>
        <w:tc>
          <w:tcPr>
            <w:tcW w:w="8398"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in Securities of the Issuer</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48" w:name="TAB126"/>
      <w:bookmarkEnd w:id="148"/>
      <w:r>
        <w:rPr>
          <w:rFonts w:ascii="Times New Roman" w:hAnsi="Times New Roman"/>
          <w:sz w:val="20"/>
        </w:rPr>
        <w:t>(a)           Aggregate Number and Percentage of Class Beneficially Owned</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49" w:name="TAB127"/>
      <w:bookmarkEnd w:id="149"/>
      <w:r>
        <w:rPr>
          <w:rFonts w:ascii="Times New Roman" w:hAnsi="Times New Roman"/>
          <w:sz w:val="20"/>
        </w:rPr>
        <w:t>Based on 5,098,400 shares of Common Stock and 2,049,409 shares of Class B Stock outstanding as of October 31, 2010, the aggregate number of shares and percentage of Class B Stock beneficially owned by each Reporting Person and the aggregate number of shares and percentage of Common Stock beneficially owned by each Reporting Person is shown below. In addition, the percentage of outstanding shares of Common Stock which would be beneficially owned by each Reporting Person, if its, his or her Class B Stock were converted to Common Stock, is also shown. The percentage of total voting power of all shares beneficially owned by each Reporting Person is also shown. Each share of Class B Stock is entitled to 10 votes per share.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10"/>
      <w:bookmarkStart w:id="151" w:name="PGBRK10"/>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10"/>
      <w:bookmarkStart w:id="153" w:name="FTR10"/>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GLFTR10"/>
      <w:bookmarkStart w:id="155" w:name="GLFTR10"/>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6" w:name="PN10"/>
      <w:bookmarkEnd w:id="156"/>
      <w:r>
        <w:rPr>
          <w:rFonts w:ascii="Times New Roman" w:hAnsi="Times New Roman"/>
          <w:sz w:val="20"/>
        </w:rPr>
        <w:t>Page 12of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HDR10"/>
      <w:bookmarkStart w:id="158" w:name="HDR10"/>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GLHDR10"/>
      <w:bookmarkStart w:id="160" w:name="GLHDR10"/>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1549"/>
        <w:gridCol w:w="128"/>
        <w:gridCol w:w="904"/>
        <w:gridCol w:w="128"/>
        <w:gridCol w:w="1550"/>
        <w:gridCol w:w="128"/>
        <w:gridCol w:w="1033"/>
        <w:gridCol w:w="127"/>
        <w:gridCol w:w="1033"/>
        <w:gridCol w:w="128"/>
        <w:gridCol w:w="1292"/>
        <w:gridCol w:w="128"/>
        <w:gridCol w:w="775"/>
        <w:gridCol w:w="128"/>
        <w:gridCol w:w="1174"/>
      </w:tblGrid>
      <w:tr>
        <w:trPr/>
        <w:tc>
          <w:tcPr>
            <w:tcW w:w="154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Name</w:t>
            </w:r>
          </w:p>
          <w:p>
            <w:pPr>
              <w:pStyle w:val="TableContents"/>
              <w:spacing w:before="0" w:after="0"/>
              <w:ind w:left="0" w:right="0" w:hanging="0"/>
              <w:jc w:val="center"/>
              <w:rPr>
                <w:rFonts w:ascii="times new roman" w:hAnsi="times new roman"/>
                <w:sz w:val="16"/>
              </w:rPr>
            </w:pPr>
            <w:r>
              <w:rPr>
                <w:rFonts w:ascii="times new roman" w:hAnsi="times new roman"/>
                <w:sz w:val="16"/>
              </w:rPr>
              <w:t>Percentage of</w:t>
              <w:br/>
              <w:t>Voting Power</w:t>
            </w:r>
          </w:p>
        </w:tc>
        <w:tc>
          <w:tcPr>
            <w:tcW w:w="128" w:type="dxa"/>
            <w:tcBorders/>
            <w:shd w:fill="auto" w:val="clear"/>
            <w:tcMar>
              <w:bottom w:w="0" w:type="dxa"/>
            </w:tcMar>
            <w:vAlign w:val="bottom"/>
          </w:tcPr>
          <w:p>
            <w:pPr>
              <w:pStyle w:val="TableContents"/>
              <w:spacing w:before="0" w:after="283"/>
              <w:jc w:val="right"/>
              <w:rPr/>
            </w:pPr>
            <w:r>
              <w:rPr/>
              <w:t> </w:t>
            </w:r>
          </w:p>
        </w:tc>
        <w:tc>
          <w:tcPr>
            <w:tcW w:w="90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Number</w:t>
              <w:br/>
              <w:t>of Shares</w:t>
              <w:br/>
              <w:t>of Class B</w:t>
              <w:br/>
              <w:t>Stock</w:t>
            </w:r>
          </w:p>
        </w:tc>
        <w:tc>
          <w:tcPr>
            <w:tcW w:w="128" w:type="dxa"/>
            <w:tcBorders/>
            <w:shd w:fill="auto" w:val="clear"/>
            <w:tcMar>
              <w:bottom w:w="0" w:type="dxa"/>
            </w:tcMar>
            <w:vAlign w:val="bottom"/>
          </w:tcPr>
          <w:p>
            <w:pPr>
              <w:pStyle w:val="TableContents"/>
              <w:spacing w:before="0" w:after="283"/>
              <w:rPr/>
            </w:pPr>
            <w:r>
              <w:rPr/>
              <w:t> </w:t>
            </w:r>
          </w:p>
        </w:tc>
        <w:tc>
          <w:tcPr>
            <w:tcW w:w="155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 Class B</w:t>
              <w:br/>
              <w:t>Stock Ownership</w:t>
            </w:r>
          </w:p>
        </w:tc>
        <w:tc>
          <w:tcPr>
            <w:tcW w:w="128" w:type="dxa"/>
            <w:tcBorders/>
            <w:shd w:fill="auto" w:val="clear"/>
            <w:tcMar>
              <w:bottom w:w="0" w:type="dxa"/>
            </w:tcMar>
            <w:vAlign w:val="bottom"/>
          </w:tcPr>
          <w:p>
            <w:pPr>
              <w:pStyle w:val="TableContents"/>
              <w:spacing w:before="0" w:after="283"/>
              <w:jc w:val="right"/>
              <w:rPr/>
            </w:pPr>
            <w:r>
              <w:rPr/>
              <w:t> </w:t>
            </w:r>
          </w:p>
        </w:tc>
        <w:tc>
          <w:tcPr>
            <w:tcW w:w="1033"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w:t>
              <w:br/>
              <w:t>of Class B</w:t>
              <w:br/>
              <w:t>Stock</w:t>
            </w:r>
          </w:p>
        </w:tc>
        <w:tc>
          <w:tcPr>
            <w:tcW w:w="127" w:type="dxa"/>
            <w:tcBorders/>
            <w:shd w:fill="auto" w:val="clear"/>
            <w:tcMar>
              <w:bottom w:w="0" w:type="dxa"/>
            </w:tcMar>
            <w:vAlign w:val="bottom"/>
          </w:tcPr>
          <w:p>
            <w:pPr>
              <w:pStyle w:val="TableContents"/>
              <w:spacing w:before="0" w:after="283"/>
              <w:jc w:val="right"/>
              <w:rPr/>
            </w:pPr>
            <w:r>
              <w:rPr/>
              <w:t> </w:t>
            </w:r>
          </w:p>
        </w:tc>
        <w:tc>
          <w:tcPr>
            <w:tcW w:w="1033"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Number of</w:t>
              <w:br/>
              <w:t>Shares of</w:t>
              <w:br/>
              <w:t>Common</w:t>
              <w:br/>
              <w:t>Stock</w:t>
            </w:r>
          </w:p>
        </w:tc>
        <w:tc>
          <w:tcPr>
            <w:tcW w:w="128" w:type="dxa"/>
            <w:tcBorders/>
            <w:shd w:fill="auto" w:val="clear"/>
            <w:tcMar>
              <w:bottom w:w="0" w:type="dxa"/>
            </w:tcMar>
            <w:vAlign w:val="bottom"/>
          </w:tcPr>
          <w:p>
            <w:pPr>
              <w:pStyle w:val="TableContents"/>
              <w:spacing w:before="0" w:after="283"/>
              <w:rPr/>
            </w:pPr>
            <w:r>
              <w:rPr/>
              <w:t> </w:t>
            </w:r>
          </w:p>
        </w:tc>
        <w:tc>
          <w:tcPr>
            <w:tcW w:w="129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w:t>
              <w:br/>
              <w:t>Common Stock</w:t>
              <w:br/>
              <w:t>Ownership</w:t>
            </w:r>
          </w:p>
        </w:tc>
        <w:tc>
          <w:tcPr>
            <w:tcW w:w="128" w:type="dxa"/>
            <w:tcBorders/>
            <w:shd w:fill="auto" w:val="clear"/>
            <w:tcMar>
              <w:bottom w:w="0" w:type="dxa"/>
            </w:tcMar>
            <w:vAlign w:val="bottom"/>
          </w:tcPr>
          <w:p>
            <w:pPr>
              <w:pStyle w:val="TableContents"/>
              <w:spacing w:before="0" w:after="283"/>
              <w:jc w:val="right"/>
              <w:rPr/>
            </w:pPr>
            <w:r>
              <w:rPr/>
              <w:t> </w:t>
            </w:r>
          </w:p>
        </w:tc>
        <w:tc>
          <w:tcPr>
            <w:tcW w:w="77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w:t>
              <w:br/>
              <w:t>of</w:t>
              <w:br/>
              <w:t>Common</w:t>
              <w:br/>
              <w:t>Stock</w:t>
            </w:r>
          </w:p>
        </w:tc>
        <w:tc>
          <w:tcPr>
            <w:tcW w:w="128" w:type="dxa"/>
            <w:tcBorders/>
            <w:shd w:fill="auto" w:val="clear"/>
            <w:tcMar>
              <w:bottom w:w="0" w:type="dxa"/>
            </w:tcMar>
            <w:vAlign w:val="bottom"/>
          </w:tcPr>
          <w:p>
            <w:pPr>
              <w:pStyle w:val="TableContents"/>
              <w:spacing w:before="0" w:after="283"/>
              <w:jc w:val="right"/>
              <w:rPr/>
            </w:pPr>
            <w:r>
              <w:rPr/>
              <w:t> </w:t>
            </w:r>
          </w:p>
        </w:tc>
        <w:tc>
          <w:tcPr>
            <w:tcW w:w="117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 of</w:t>
              <w:br/>
              <w:t>Common</w:t>
              <w:br/>
              <w:t>Stock if Class</w:t>
              <w:br/>
              <w:t>B Stock</w:t>
              <w:br/>
              <w:t>Owned</w:t>
              <w:br/>
              <w:t>Converted to</w:t>
              <w:br/>
              <w:t>Common</w:t>
            </w:r>
          </w:p>
        </w:tc>
      </w:tr>
      <w:tr>
        <w:trPr/>
        <w:tc>
          <w:tcPr>
            <w:tcW w:w="154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Jaffee Investment Partnership, L.P.</w:t>
            </w:r>
          </w:p>
          <w:p>
            <w:pPr>
              <w:pStyle w:val="TableContents"/>
              <w:spacing w:before="0" w:after="0"/>
              <w:ind w:left="0" w:right="0" w:hanging="0"/>
              <w:jc w:val="left"/>
              <w:rPr>
                <w:rFonts w:ascii="times new roman" w:hAnsi="times new roman"/>
                <w:sz w:val="16"/>
              </w:rPr>
            </w:pPr>
            <w:r>
              <w:rPr>
                <w:rFonts w:ascii="times new roman" w:hAnsi="times new roman"/>
                <w:sz w:val="16"/>
              </w:rPr>
              <w:t>Voting Power:</w:t>
            </w:r>
          </w:p>
          <w:p>
            <w:pPr>
              <w:pStyle w:val="TableContents"/>
              <w:spacing w:before="0" w:after="0"/>
              <w:ind w:left="0" w:right="0" w:hanging="0"/>
              <w:jc w:val="right"/>
              <w:rPr>
                <w:rFonts w:ascii="times new roman" w:hAnsi="times new roman"/>
                <w:sz w:val="16"/>
              </w:rPr>
            </w:pPr>
            <w:r>
              <w:rPr>
                <w:rFonts w:ascii="times new roman" w:hAnsi="times new roman"/>
                <w:sz w:val="16"/>
              </w:rPr>
              <w:t>48.8%</w:t>
            </w:r>
          </w:p>
        </w:tc>
        <w:tc>
          <w:tcPr>
            <w:tcW w:w="128" w:type="dxa"/>
            <w:tcBorders/>
            <w:shd w:fill="auto" w:val="clear"/>
            <w:tcMar>
              <w:bottom w:w="0" w:type="dxa"/>
            </w:tcMar>
          </w:tcPr>
          <w:p>
            <w:pPr>
              <w:pStyle w:val="TableContents"/>
              <w:spacing w:before="0" w:after="283"/>
              <w:jc w:val="right"/>
              <w:rPr/>
            </w:pPr>
            <w:r>
              <w:rPr/>
              <w:t> </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1,250,000</w:t>
            </w:r>
          </w:p>
        </w:tc>
        <w:tc>
          <w:tcPr>
            <w:tcW w:w="128" w:type="dxa"/>
            <w:tcBorders/>
            <w:shd w:fill="auto" w:val="clear"/>
            <w:tcMar>
              <w:bottom w:w="0" w:type="dxa"/>
            </w:tcMar>
          </w:tcPr>
          <w:p>
            <w:pPr>
              <w:pStyle w:val="TableContents"/>
              <w:spacing w:before="0" w:after="283"/>
              <w:rPr/>
            </w:pPr>
            <w:r>
              <w:rPr/>
              <w:t> </w:t>
            </w:r>
          </w:p>
        </w:tc>
        <w:tc>
          <w:tcPr>
            <w:tcW w:w="1550" w:type="dxa"/>
            <w:tcBorders/>
            <w:shd w:fill="auto" w:val="clear"/>
            <w:tcMar>
              <w:bottom w:w="0" w:type="dxa"/>
            </w:tcMar>
          </w:tcPr>
          <w:p>
            <w:pPr>
              <w:pStyle w:val="TableContents"/>
              <w:spacing w:before="0" w:after="283"/>
              <w:rPr/>
            </w:pPr>
            <w:r>
              <w:rPr/>
              <w:t xml:space="preserve">  </w:t>
            </w:r>
          </w:p>
        </w:tc>
        <w:tc>
          <w:tcPr>
            <w:tcW w:w="128" w:type="dxa"/>
            <w:tcBorders/>
            <w:shd w:fill="auto" w:val="clear"/>
            <w:tcMar>
              <w:bottom w:w="0" w:type="dxa"/>
            </w:tcMar>
          </w:tcPr>
          <w:p>
            <w:pPr>
              <w:pStyle w:val="TableContents"/>
              <w:spacing w:before="0" w:after="283"/>
              <w:jc w:val="right"/>
              <w:rPr/>
            </w:pPr>
            <w:r>
              <w:rPr/>
              <w:t> </w:t>
            </w:r>
          </w:p>
        </w:tc>
        <w:tc>
          <w:tcPr>
            <w:tcW w:w="1033"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61.0%</w:t>
            </w:r>
          </w:p>
        </w:tc>
        <w:tc>
          <w:tcPr>
            <w:tcW w:w="127" w:type="dxa"/>
            <w:tcBorders/>
            <w:shd w:fill="auto" w:val="clear"/>
            <w:tcMar>
              <w:bottom w:w="0" w:type="dxa"/>
            </w:tcMar>
          </w:tcPr>
          <w:p>
            <w:pPr>
              <w:pStyle w:val="TableContents"/>
              <w:spacing w:before="0" w:after="283"/>
              <w:jc w:val="right"/>
              <w:rPr/>
            </w:pPr>
            <w:r>
              <w:rPr/>
              <w:t> </w:t>
            </w:r>
          </w:p>
        </w:tc>
        <w:tc>
          <w:tcPr>
            <w:tcW w:w="1033"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28" w:type="dxa"/>
            <w:tcBorders/>
            <w:shd w:fill="auto" w:val="clear"/>
            <w:tcMar>
              <w:bottom w:w="0" w:type="dxa"/>
            </w:tcMar>
          </w:tcPr>
          <w:p>
            <w:pPr>
              <w:pStyle w:val="TableContents"/>
              <w:spacing w:before="0" w:after="283"/>
              <w:rPr/>
            </w:pPr>
            <w:r>
              <w:rPr/>
              <w:t> </w:t>
            </w:r>
          </w:p>
        </w:tc>
        <w:tc>
          <w:tcPr>
            <w:tcW w:w="1292" w:type="dxa"/>
            <w:tcBorders/>
            <w:shd w:fill="auto" w:val="clear"/>
            <w:tcMar>
              <w:bottom w:w="0" w:type="dxa"/>
            </w:tcMar>
          </w:tcPr>
          <w:p>
            <w:pPr>
              <w:pStyle w:val="TableContents"/>
              <w:spacing w:before="0" w:after="283"/>
              <w:rPr/>
            </w:pPr>
            <w:r>
              <w:rPr/>
              <w:t xml:space="preserve">  </w:t>
            </w:r>
          </w:p>
        </w:tc>
        <w:tc>
          <w:tcPr>
            <w:tcW w:w="128" w:type="dxa"/>
            <w:tcBorders/>
            <w:shd w:fill="auto" w:val="clear"/>
            <w:tcMar>
              <w:bottom w:w="0" w:type="dxa"/>
            </w:tcMar>
          </w:tcPr>
          <w:p>
            <w:pPr>
              <w:pStyle w:val="TableContents"/>
              <w:spacing w:before="0" w:after="283"/>
              <w:jc w:val="right"/>
              <w:rPr/>
            </w:pPr>
            <w:r>
              <w:rPr/>
              <w:t> </w:t>
            </w:r>
          </w:p>
        </w:tc>
        <w:tc>
          <w:tcPr>
            <w:tcW w:w="77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28" w:type="dxa"/>
            <w:tcBorders/>
            <w:shd w:fill="auto" w:val="clear"/>
            <w:tcMar>
              <w:bottom w:w="0" w:type="dxa"/>
            </w:tcMar>
          </w:tcPr>
          <w:p>
            <w:pPr>
              <w:pStyle w:val="TableContents"/>
              <w:spacing w:before="0" w:after="283"/>
              <w:jc w:val="right"/>
              <w:rPr/>
            </w:pPr>
            <w:r>
              <w:rPr/>
              <w:t> </w:t>
            </w:r>
          </w:p>
        </w:tc>
        <w:tc>
          <w:tcPr>
            <w:tcW w:w="117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19.7%</w:t>
            </w:r>
          </w:p>
        </w:tc>
      </w:tr>
      <w:tr>
        <w:trPr/>
        <w:tc>
          <w:tcPr>
            <w:tcW w:w="154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Richard M. Jaffee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Voting Power:</w:t>
            </w:r>
          </w:p>
          <w:p>
            <w:pPr>
              <w:pStyle w:val="TableContents"/>
              <w:spacing w:before="0" w:after="0"/>
              <w:ind w:left="0" w:right="0" w:hanging="0"/>
              <w:jc w:val="right"/>
              <w:rPr>
                <w:rFonts w:ascii="times new roman" w:hAnsi="times new roman"/>
                <w:sz w:val="16"/>
              </w:rPr>
            </w:pPr>
            <w:r>
              <w:rPr>
                <w:rFonts w:ascii="times new roman" w:hAnsi="times new roman"/>
                <w:sz w:val="16"/>
              </w:rPr>
              <w:t>16.0%</w:t>
            </w:r>
          </w:p>
        </w:tc>
        <w:tc>
          <w:tcPr>
            <w:tcW w:w="128" w:type="dxa"/>
            <w:tcBorders/>
            <w:shd w:fill="auto" w:val="clear"/>
            <w:tcMar>
              <w:bottom w:w="0" w:type="dxa"/>
            </w:tcMar>
          </w:tcPr>
          <w:p>
            <w:pPr>
              <w:pStyle w:val="TableContents"/>
              <w:spacing w:before="0" w:after="283"/>
              <w:jc w:val="right"/>
              <w:rPr/>
            </w:pPr>
            <w:r>
              <w:rPr/>
              <w:t> </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409,558</w:t>
            </w:r>
          </w:p>
        </w:tc>
        <w:tc>
          <w:tcPr>
            <w:tcW w:w="128" w:type="dxa"/>
            <w:tcBorders/>
            <w:shd w:fill="auto" w:val="clear"/>
            <w:tcMar>
              <w:bottom w:w="0" w:type="dxa"/>
            </w:tcMar>
          </w:tcPr>
          <w:p>
            <w:pPr>
              <w:pStyle w:val="TableContents"/>
              <w:spacing w:before="0" w:after="283"/>
              <w:jc w:val="left"/>
              <w:rPr/>
            </w:pPr>
            <w:r>
              <w:rPr/>
              <w:t> </w:t>
            </w:r>
          </w:p>
        </w:tc>
        <w:tc>
          <w:tcPr>
            <w:tcW w:w="1550"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 xml:space="preserve">290,895 shares held by Richard M. Jaffee as Trustee under the Richard M.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Jaffee Revocable Trust of 6/21/74.</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125 shares held in joint tenancy with spouse.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118,538 shares held by spouse, Shirley H. Jaffee, as trustee under the Shirley H. Jaffee Declaration of Trust of 7/12/93.</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Mrs. Jaffee has historically voted these shares consistently with Mr. Jaffee’s voting.</w:t>
            </w:r>
          </w:p>
        </w:tc>
        <w:tc>
          <w:tcPr>
            <w:tcW w:w="128" w:type="dxa"/>
            <w:tcBorders/>
            <w:shd w:fill="auto" w:val="clear"/>
            <w:tcMar>
              <w:bottom w:w="0" w:type="dxa"/>
            </w:tcMar>
          </w:tcPr>
          <w:p>
            <w:pPr>
              <w:pStyle w:val="TableContents"/>
              <w:spacing w:before="0" w:after="283"/>
              <w:jc w:val="right"/>
              <w:rPr/>
            </w:pPr>
            <w:r>
              <w:rPr/>
              <w:t> </w:t>
            </w:r>
          </w:p>
        </w:tc>
        <w:tc>
          <w:tcPr>
            <w:tcW w:w="1033"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20.0%</w:t>
            </w:r>
          </w:p>
        </w:tc>
        <w:tc>
          <w:tcPr>
            <w:tcW w:w="127" w:type="dxa"/>
            <w:tcBorders/>
            <w:shd w:fill="auto" w:val="clear"/>
            <w:tcMar>
              <w:bottom w:w="0" w:type="dxa"/>
            </w:tcMar>
          </w:tcPr>
          <w:p>
            <w:pPr>
              <w:pStyle w:val="TableContents"/>
              <w:spacing w:before="0" w:after="283"/>
              <w:jc w:val="right"/>
              <w:rPr/>
            </w:pPr>
            <w:r>
              <w:rPr/>
              <w:t> </w:t>
            </w:r>
          </w:p>
        </w:tc>
        <w:tc>
          <w:tcPr>
            <w:tcW w:w="1033"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28" w:type="dxa"/>
            <w:tcBorders/>
            <w:shd w:fill="auto" w:val="clear"/>
            <w:tcMar>
              <w:bottom w:w="0" w:type="dxa"/>
            </w:tcMar>
          </w:tcPr>
          <w:p>
            <w:pPr>
              <w:pStyle w:val="TableContents"/>
              <w:spacing w:before="0" w:after="283"/>
              <w:rPr/>
            </w:pPr>
            <w:r>
              <w:rPr/>
              <w:t> </w:t>
            </w:r>
          </w:p>
        </w:tc>
        <w:tc>
          <w:tcPr>
            <w:tcW w:w="1292" w:type="dxa"/>
            <w:tcBorders/>
            <w:shd w:fill="auto" w:val="clear"/>
            <w:tcMar>
              <w:bottom w:w="0" w:type="dxa"/>
            </w:tcMar>
          </w:tcPr>
          <w:p>
            <w:pPr>
              <w:pStyle w:val="TableContents"/>
              <w:spacing w:before="0" w:after="283"/>
              <w:rPr/>
            </w:pPr>
            <w:r>
              <w:rPr/>
              <w:t xml:space="preserve">  </w:t>
            </w:r>
          </w:p>
        </w:tc>
        <w:tc>
          <w:tcPr>
            <w:tcW w:w="128" w:type="dxa"/>
            <w:tcBorders/>
            <w:shd w:fill="auto" w:val="clear"/>
            <w:tcMar>
              <w:bottom w:w="0" w:type="dxa"/>
            </w:tcMar>
          </w:tcPr>
          <w:p>
            <w:pPr>
              <w:pStyle w:val="TableContents"/>
              <w:spacing w:before="0" w:after="283"/>
              <w:jc w:val="right"/>
              <w:rPr/>
            </w:pPr>
            <w:r>
              <w:rPr/>
              <w:t> </w:t>
            </w:r>
          </w:p>
        </w:tc>
        <w:tc>
          <w:tcPr>
            <w:tcW w:w="77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28" w:type="dxa"/>
            <w:tcBorders/>
            <w:shd w:fill="auto" w:val="clear"/>
            <w:tcMar>
              <w:bottom w:w="0" w:type="dxa"/>
            </w:tcMar>
          </w:tcPr>
          <w:p>
            <w:pPr>
              <w:pStyle w:val="TableContents"/>
              <w:spacing w:before="0" w:after="283"/>
              <w:jc w:val="right"/>
              <w:rPr/>
            </w:pPr>
            <w:r>
              <w:rPr/>
              <w:t> </w:t>
            </w:r>
          </w:p>
        </w:tc>
        <w:tc>
          <w:tcPr>
            <w:tcW w:w="117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7.4%</w:t>
            </w:r>
          </w:p>
        </w:tc>
      </w:tr>
      <w:tr>
        <w:trPr/>
        <w:tc>
          <w:tcPr>
            <w:tcW w:w="154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Shirley H. Jaffee</w:t>
            </w:r>
          </w:p>
          <w:p>
            <w:pPr>
              <w:pStyle w:val="TableContents"/>
              <w:spacing w:before="0" w:after="0"/>
              <w:ind w:left="0" w:right="0" w:hanging="0"/>
              <w:jc w:val="left"/>
              <w:rPr>
                <w:rFonts w:ascii="times new roman" w:hAnsi="times new roman"/>
                <w:sz w:val="16"/>
              </w:rPr>
            </w:pPr>
            <w:r>
              <w:rPr>
                <w:rFonts w:ascii="times new roman" w:hAnsi="times new roman"/>
                <w:sz w:val="16"/>
              </w:rPr>
              <w:t>Voting Power:</w:t>
            </w:r>
          </w:p>
          <w:p>
            <w:pPr>
              <w:pStyle w:val="TableContents"/>
              <w:spacing w:before="0" w:after="0"/>
              <w:ind w:left="0" w:right="0" w:hanging="0"/>
              <w:jc w:val="right"/>
              <w:rPr>
                <w:rFonts w:ascii="times new roman" w:hAnsi="times new roman"/>
                <w:sz w:val="16"/>
              </w:rPr>
            </w:pPr>
            <w:r>
              <w:rPr>
                <w:rFonts w:ascii="times new roman" w:hAnsi="times new roman"/>
                <w:sz w:val="16"/>
              </w:rPr>
              <w:t>4.6%</w:t>
            </w:r>
          </w:p>
          <w:p>
            <w:pPr>
              <w:pStyle w:val="TableContents"/>
              <w:spacing w:before="0" w:after="0"/>
              <w:ind w:left="0" w:right="0" w:hanging="0"/>
              <w:jc w:val="left"/>
              <w:rPr/>
            </w:pPr>
            <w:r>
              <w:rPr/>
              <w:t> </w:t>
            </w:r>
          </w:p>
        </w:tc>
        <w:tc>
          <w:tcPr>
            <w:tcW w:w="128" w:type="dxa"/>
            <w:tcBorders/>
            <w:shd w:fill="auto" w:val="clear"/>
            <w:tcMar>
              <w:bottom w:w="0" w:type="dxa"/>
            </w:tcMar>
          </w:tcPr>
          <w:p>
            <w:pPr>
              <w:pStyle w:val="TableContents"/>
              <w:spacing w:before="0" w:after="283"/>
              <w:jc w:val="right"/>
              <w:rPr/>
            </w:pPr>
            <w:r>
              <w:rPr/>
              <w:t> </w:t>
            </w:r>
          </w:p>
        </w:tc>
        <w:tc>
          <w:tcPr>
            <w:tcW w:w="90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118,663</w:t>
            </w:r>
          </w:p>
        </w:tc>
        <w:tc>
          <w:tcPr>
            <w:tcW w:w="128" w:type="dxa"/>
            <w:tcBorders/>
            <w:shd w:fill="auto" w:val="clear"/>
            <w:tcMar>
              <w:bottom w:w="0" w:type="dxa"/>
            </w:tcMar>
          </w:tcPr>
          <w:p>
            <w:pPr>
              <w:pStyle w:val="TableContents"/>
              <w:spacing w:before="0" w:after="283"/>
              <w:jc w:val="left"/>
              <w:rPr/>
            </w:pPr>
            <w:r>
              <w:rPr/>
              <w:t> </w:t>
            </w:r>
          </w:p>
        </w:tc>
        <w:tc>
          <w:tcPr>
            <w:tcW w:w="1550"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118,538 shares held by Shirley H. Jaffee, as trustee under the Shirley H. Jaffee Declaration of Trust of 7/12/93.</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125 shares held in joint tenancy with spouse.</w:t>
            </w:r>
          </w:p>
        </w:tc>
        <w:tc>
          <w:tcPr>
            <w:tcW w:w="128" w:type="dxa"/>
            <w:tcBorders/>
            <w:shd w:fill="auto" w:val="clear"/>
            <w:tcMar>
              <w:bottom w:w="0" w:type="dxa"/>
            </w:tcMar>
          </w:tcPr>
          <w:p>
            <w:pPr>
              <w:pStyle w:val="TableContents"/>
              <w:spacing w:before="0" w:after="283"/>
              <w:jc w:val="right"/>
              <w:rPr/>
            </w:pPr>
            <w:r>
              <w:rPr/>
              <w:t> </w:t>
            </w:r>
          </w:p>
        </w:tc>
        <w:tc>
          <w:tcPr>
            <w:tcW w:w="1033"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5.8%</w:t>
            </w:r>
          </w:p>
        </w:tc>
        <w:tc>
          <w:tcPr>
            <w:tcW w:w="127" w:type="dxa"/>
            <w:tcBorders/>
            <w:shd w:fill="auto" w:val="clear"/>
            <w:tcMar>
              <w:bottom w:w="0" w:type="dxa"/>
            </w:tcMar>
          </w:tcPr>
          <w:p>
            <w:pPr>
              <w:pStyle w:val="TableContents"/>
              <w:spacing w:before="0" w:after="283"/>
              <w:jc w:val="right"/>
              <w:rPr/>
            </w:pPr>
            <w:r>
              <w:rPr/>
              <w:t> </w:t>
            </w:r>
          </w:p>
        </w:tc>
        <w:tc>
          <w:tcPr>
            <w:tcW w:w="1033"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28" w:type="dxa"/>
            <w:tcBorders/>
            <w:shd w:fill="auto" w:val="clear"/>
            <w:tcMar>
              <w:bottom w:w="0" w:type="dxa"/>
            </w:tcMar>
          </w:tcPr>
          <w:p>
            <w:pPr>
              <w:pStyle w:val="TableContents"/>
              <w:spacing w:before="0" w:after="283"/>
              <w:rPr/>
            </w:pPr>
            <w:r>
              <w:rPr/>
              <w:t> </w:t>
            </w:r>
          </w:p>
        </w:tc>
        <w:tc>
          <w:tcPr>
            <w:tcW w:w="1292" w:type="dxa"/>
            <w:tcBorders/>
            <w:shd w:fill="auto" w:val="clear"/>
            <w:tcMar>
              <w:bottom w:w="0" w:type="dxa"/>
            </w:tcMar>
          </w:tcPr>
          <w:p>
            <w:pPr>
              <w:pStyle w:val="TableContents"/>
              <w:spacing w:before="0" w:after="283"/>
              <w:rPr/>
            </w:pPr>
            <w:r>
              <w:rPr/>
              <w:t xml:space="preserve">  </w:t>
            </w:r>
          </w:p>
        </w:tc>
        <w:tc>
          <w:tcPr>
            <w:tcW w:w="128" w:type="dxa"/>
            <w:tcBorders/>
            <w:shd w:fill="auto" w:val="clear"/>
            <w:tcMar>
              <w:bottom w:w="0" w:type="dxa"/>
            </w:tcMar>
          </w:tcPr>
          <w:p>
            <w:pPr>
              <w:pStyle w:val="TableContents"/>
              <w:spacing w:before="0" w:after="283"/>
              <w:jc w:val="right"/>
              <w:rPr/>
            </w:pPr>
            <w:r>
              <w:rPr/>
              <w:t> </w:t>
            </w:r>
          </w:p>
        </w:tc>
        <w:tc>
          <w:tcPr>
            <w:tcW w:w="77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28" w:type="dxa"/>
            <w:tcBorders/>
            <w:shd w:fill="auto" w:val="clear"/>
            <w:tcMar>
              <w:bottom w:w="0" w:type="dxa"/>
            </w:tcMar>
          </w:tcPr>
          <w:p>
            <w:pPr>
              <w:pStyle w:val="TableContents"/>
              <w:spacing w:before="0" w:after="283"/>
              <w:jc w:val="right"/>
              <w:rPr/>
            </w:pPr>
            <w:r>
              <w:rPr/>
              <w:t> </w:t>
            </w:r>
          </w:p>
        </w:tc>
        <w:tc>
          <w:tcPr>
            <w:tcW w:w="117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2.3%</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 w:name="PGBRK11"/>
      <w:bookmarkStart w:id="162" w:name="PGBRK11"/>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FTR11"/>
      <w:bookmarkStart w:id="164" w:name="FTR11"/>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GLFTR11"/>
      <w:bookmarkStart w:id="166" w:name="GLFTR11"/>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1"/>
      <w:bookmarkEnd w:id="167"/>
      <w:r>
        <w:rPr>
          <w:rFonts w:ascii="Times New Roman" w:hAnsi="Times New Roman"/>
          <w:sz w:val="20"/>
        </w:rPr>
        <w:t>Page 13of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1"/>
      <w:bookmarkStart w:id="169" w:name="HDR11"/>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GLHDR11"/>
      <w:bookmarkStart w:id="171" w:name="GLHDR11"/>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1551"/>
        <w:gridCol w:w="128"/>
        <w:gridCol w:w="905"/>
        <w:gridCol w:w="128"/>
        <w:gridCol w:w="1552"/>
        <w:gridCol w:w="128"/>
        <w:gridCol w:w="1034"/>
        <w:gridCol w:w="128"/>
        <w:gridCol w:w="1034"/>
        <w:gridCol w:w="129"/>
        <w:gridCol w:w="1292"/>
        <w:gridCol w:w="129"/>
        <w:gridCol w:w="775"/>
        <w:gridCol w:w="128"/>
        <w:gridCol w:w="1164"/>
      </w:tblGrid>
      <w:tr>
        <w:trPr/>
        <w:tc>
          <w:tcPr>
            <w:tcW w:w="155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Name</w:t>
            </w:r>
          </w:p>
          <w:p>
            <w:pPr>
              <w:pStyle w:val="TableContents"/>
              <w:spacing w:before="0" w:after="0"/>
              <w:ind w:left="0" w:right="0" w:hanging="0"/>
              <w:jc w:val="center"/>
              <w:rPr>
                <w:rFonts w:ascii="times new roman" w:hAnsi="times new roman"/>
                <w:sz w:val="16"/>
              </w:rPr>
            </w:pPr>
            <w:r>
              <w:rPr>
                <w:rFonts w:ascii="times new roman" w:hAnsi="times new roman"/>
                <w:sz w:val="16"/>
              </w:rPr>
              <w:t>Percentage of</w:t>
              <w:br/>
              <w:t>Voting Power</w:t>
            </w:r>
          </w:p>
        </w:tc>
        <w:tc>
          <w:tcPr>
            <w:tcW w:w="128" w:type="dxa"/>
            <w:tcBorders/>
            <w:shd w:fill="auto" w:val="clear"/>
            <w:tcMar>
              <w:bottom w:w="0" w:type="dxa"/>
            </w:tcMar>
            <w:vAlign w:val="bottom"/>
          </w:tcPr>
          <w:p>
            <w:pPr>
              <w:pStyle w:val="TableContents"/>
              <w:spacing w:before="0" w:after="283"/>
              <w:jc w:val="right"/>
              <w:rPr/>
            </w:pPr>
            <w:r>
              <w:rPr/>
              <w:t> </w:t>
            </w:r>
          </w:p>
        </w:tc>
        <w:tc>
          <w:tcPr>
            <w:tcW w:w="90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Number</w:t>
              <w:br/>
              <w:t>of Shares</w:t>
              <w:br/>
              <w:t>of Class B</w:t>
              <w:br/>
              <w:t>Stock</w:t>
            </w:r>
          </w:p>
        </w:tc>
        <w:tc>
          <w:tcPr>
            <w:tcW w:w="128" w:type="dxa"/>
            <w:tcBorders/>
            <w:shd w:fill="auto" w:val="clear"/>
            <w:tcMar>
              <w:bottom w:w="0" w:type="dxa"/>
            </w:tcMar>
            <w:vAlign w:val="bottom"/>
          </w:tcPr>
          <w:p>
            <w:pPr>
              <w:pStyle w:val="TableContents"/>
              <w:spacing w:before="0" w:after="283"/>
              <w:rPr/>
            </w:pPr>
            <w:r>
              <w:rPr/>
              <w:t> </w:t>
            </w:r>
          </w:p>
        </w:tc>
        <w:tc>
          <w:tcPr>
            <w:tcW w:w="155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 Class B</w:t>
              <w:br/>
              <w:t>Stock Ownership</w:t>
            </w:r>
          </w:p>
        </w:tc>
        <w:tc>
          <w:tcPr>
            <w:tcW w:w="128" w:type="dxa"/>
            <w:tcBorders/>
            <w:shd w:fill="auto" w:val="clear"/>
            <w:tcMar>
              <w:bottom w:w="0" w:type="dxa"/>
            </w:tcMar>
            <w:vAlign w:val="bottom"/>
          </w:tcPr>
          <w:p>
            <w:pPr>
              <w:pStyle w:val="TableContents"/>
              <w:spacing w:before="0" w:after="283"/>
              <w:jc w:val="right"/>
              <w:rPr/>
            </w:pPr>
            <w:r>
              <w:rPr/>
              <w:t> </w:t>
            </w:r>
          </w:p>
        </w:tc>
        <w:tc>
          <w:tcPr>
            <w:tcW w:w="10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w:t>
              <w:br/>
              <w:t>of Class B</w:t>
              <w:br/>
              <w:t>Stock</w:t>
            </w:r>
          </w:p>
        </w:tc>
        <w:tc>
          <w:tcPr>
            <w:tcW w:w="128" w:type="dxa"/>
            <w:tcBorders/>
            <w:shd w:fill="auto" w:val="clear"/>
            <w:tcMar>
              <w:bottom w:w="0" w:type="dxa"/>
            </w:tcMar>
            <w:vAlign w:val="bottom"/>
          </w:tcPr>
          <w:p>
            <w:pPr>
              <w:pStyle w:val="TableContents"/>
              <w:spacing w:before="0" w:after="283"/>
              <w:jc w:val="right"/>
              <w:rPr/>
            </w:pPr>
            <w:r>
              <w:rPr/>
              <w:t> </w:t>
            </w:r>
          </w:p>
        </w:tc>
        <w:tc>
          <w:tcPr>
            <w:tcW w:w="10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Number of</w:t>
              <w:br/>
              <w:t>Shares of</w:t>
              <w:br/>
              <w:t>Common</w:t>
              <w:br/>
              <w:t>Stock</w:t>
            </w:r>
          </w:p>
        </w:tc>
        <w:tc>
          <w:tcPr>
            <w:tcW w:w="129" w:type="dxa"/>
            <w:tcBorders/>
            <w:shd w:fill="auto" w:val="clear"/>
            <w:tcMar>
              <w:bottom w:w="0" w:type="dxa"/>
            </w:tcMar>
            <w:vAlign w:val="bottom"/>
          </w:tcPr>
          <w:p>
            <w:pPr>
              <w:pStyle w:val="TableContents"/>
              <w:spacing w:before="0" w:after="283"/>
              <w:rPr/>
            </w:pPr>
            <w:r>
              <w:rPr/>
              <w:t> </w:t>
            </w:r>
          </w:p>
        </w:tc>
        <w:tc>
          <w:tcPr>
            <w:tcW w:w="129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w:t>
              <w:br/>
              <w:t>Common Stock</w:t>
              <w:br/>
              <w:t>Ownership</w:t>
            </w:r>
          </w:p>
        </w:tc>
        <w:tc>
          <w:tcPr>
            <w:tcW w:w="129" w:type="dxa"/>
            <w:tcBorders/>
            <w:shd w:fill="auto" w:val="clear"/>
            <w:tcMar>
              <w:bottom w:w="0" w:type="dxa"/>
            </w:tcMar>
            <w:vAlign w:val="bottom"/>
          </w:tcPr>
          <w:p>
            <w:pPr>
              <w:pStyle w:val="TableContents"/>
              <w:spacing w:before="0" w:after="283"/>
              <w:jc w:val="right"/>
              <w:rPr/>
            </w:pPr>
            <w:r>
              <w:rPr/>
              <w:t> </w:t>
            </w:r>
          </w:p>
        </w:tc>
        <w:tc>
          <w:tcPr>
            <w:tcW w:w="77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w:t>
              <w:br/>
              <w:t>of</w:t>
              <w:br/>
              <w:t>Common</w:t>
              <w:br/>
              <w:t>Stock</w:t>
            </w:r>
          </w:p>
        </w:tc>
        <w:tc>
          <w:tcPr>
            <w:tcW w:w="128" w:type="dxa"/>
            <w:tcBorders/>
            <w:shd w:fill="auto" w:val="clear"/>
            <w:tcMar>
              <w:bottom w:w="0" w:type="dxa"/>
            </w:tcMar>
            <w:vAlign w:val="bottom"/>
          </w:tcPr>
          <w:p>
            <w:pPr>
              <w:pStyle w:val="TableContents"/>
              <w:spacing w:before="0" w:after="283"/>
              <w:jc w:val="right"/>
              <w:rPr/>
            </w:pPr>
            <w:r>
              <w:rPr/>
              <w:t> </w:t>
            </w:r>
          </w:p>
        </w:tc>
        <w:tc>
          <w:tcPr>
            <w:tcW w:w="116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 of</w:t>
              <w:br/>
              <w:t>Common</w:t>
              <w:br/>
              <w:t>Stock if Class</w:t>
              <w:br/>
              <w:t>B Stock</w:t>
              <w:br/>
              <w:t>Owned</w:t>
              <w:br/>
              <w:t>Converted to</w:t>
              <w:br/>
              <w:t>Common</w:t>
            </w:r>
          </w:p>
        </w:tc>
      </w:tr>
      <w:tr>
        <w:trPr/>
        <w:tc>
          <w:tcPr>
            <w:tcW w:w="155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Susan Jaffee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Voting Power:</w:t>
            </w:r>
          </w:p>
          <w:p>
            <w:pPr>
              <w:pStyle w:val="TableContents"/>
              <w:spacing w:before="0" w:after="0"/>
              <w:ind w:left="0" w:right="0" w:hanging="0"/>
              <w:jc w:val="right"/>
              <w:rPr>
                <w:rFonts w:ascii="times new roman" w:hAnsi="times new roman"/>
                <w:sz w:val="16"/>
              </w:rPr>
            </w:pPr>
            <w:r>
              <w:rPr>
                <w:rFonts w:ascii="times new roman" w:hAnsi="times new roman"/>
                <w:sz w:val="16"/>
              </w:rPr>
              <w:t>1.5%</w:t>
            </w:r>
          </w:p>
          <w:p>
            <w:pPr>
              <w:pStyle w:val="TableContents"/>
              <w:spacing w:before="0" w:after="0"/>
              <w:ind w:left="0" w:right="0" w:hanging="0"/>
              <w:jc w:val="left"/>
              <w:rPr/>
            </w:pPr>
            <w:r>
              <w:rPr/>
              <w:t> </w:t>
            </w:r>
          </w:p>
        </w:tc>
        <w:tc>
          <w:tcPr>
            <w:tcW w:w="128" w:type="dxa"/>
            <w:tcBorders/>
            <w:shd w:fill="auto" w:val="clear"/>
            <w:tcMar>
              <w:bottom w:w="0" w:type="dxa"/>
            </w:tcMar>
          </w:tcPr>
          <w:p>
            <w:pPr>
              <w:pStyle w:val="TableContents"/>
              <w:spacing w:before="0" w:after="283"/>
              <w:jc w:val="right"/>
              <w:rPr/>
            </w:pPr>
            <w:r>
              <w:rPr/>
              <w:t> </w:t>
            </w:r>
          </w:p>
        </w:tc>
        <w:tc>
          <w:tcPr>
            <w:tcW w:w="90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37,909</w:t>
            </w:r>
          </w:p>
        </w:tc>
        <w:tc>
          <w:tcPr>
            <w:tcW w:w="128" w:type="dxa"/>
            <w:tcBorders/>
            <w:shd w:fill="auto" w:val="clear"/>
            <w:tcMar>
              <w:bottom w:w="0" w:type="dxa"/>
            </w:tcMar>
          </w:tcPr>
          <w:p>
            <w:pPr>
              <w:pStyle w:val="TableContents"/>
              <w:spacing w:before="0" w:after="283"/>
              <w:jc w:val="left"/>
              <w:rPr/>
            </w:pPr>
            <w:r>
              <w:rPr/>
              <w:t> </w:t>
            </w:r>
          </w:p>
        </w:tc>
        <w:tc>
          <w:tcPr>
            <w:tcW w:w="1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34,159 shares held directly.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3,750 shares held as trustee for minor children.</w:t>
            </w:r>
          </w:p>
          <w:p>
            <w:pPr>
              <w:pStyle w:val="TableContents"/>
              <w:spacing w:before="0" w:after="0"/>
              <w:ind w:left="0" w:right="0" w:hanging="0"/>
              <w:jc w:val="left"/>
              <w:rPr/>
            </w:pPr>
            <w:r>
              <w:rPr/>
              <w:t> </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1.8%</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125</w:t>
            </w:r>
          </w:p>
        </w:tc>
        <w:tc>
          <w:tcPr>
            <w:tcW w:w="129" w:type="dxa"/>
            <w:tcBorders/>
            <w:shd w:fill="auto" w:val="clear"/>
            <w:tcMar>
              <w:bottom w:w="0" w:type="dxa"/>
            </w:tcMar>
          </w:tcPr>
          <w:p>
            <w:pPr>
              <w:pStyle w:val="TableContents"/>
              <w:spacing w:before="0" w:after="283"/>
              <w:jc w:val="left"/>
              <w:rPr/>
            </w:pPr>
            <w:r>
              <w:rPr/>
              <w:t> </w:t>
            </w:r>
          </w:p>
        </w:tc>
        <w:tc>
          <w:tcPr>
            <w:tcW w:w="129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125 shares held in joint tenancy with former spouse, Richard V. Hardin.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 Hardin has historically voted his shares consistently with Ms. Susan Jaffee’s voting.</w:t>
            </w:r>
          </w:p>
        </w:tc>
        <w:tc>
          <w:tcPr>
            <w:tcW w:w="129" w:type="dxa"/>
            <w:tcBorders/>
            <w:shd w:fill="auto" w:val="clear"/>
            <w:tcMar>
              <w:bottom w:w="0" w:type="dxa"/>
            </w:tcMar>
          </w:tcPr>
          <w:p>
            <w:pPr>
              <w:pStyle w:val="TableContents"/>
              <w:spacing w:before="0" w:after="283"/>
              <w:jc w:val="right"/>
              <w:rPr/>
            </w:pPr>
            <w:r>
              <w:rPr/>
              <w:t> </w:t>
            </w:r>
          </w:p>
        </w:tc>
        <w:tc>
          <w:tcPr>
            <w:tcW w:w="77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0.0%</w:t>
            </w:r>
          </w:p>
        </w:tc>
        <w:tc>
          <w:tcPr>
            <w:tcW w:w="128" w:type="dxa"/>
            <w:tcBorders/>
            <w:shd w:fill="auto" w:val="clear"/>
            <w:tcMar>
              <w:bottom w:w="0" w:type="dxa"/>
            </w:tcMar>
          </w:tcPr>
          <w:p>
            <w:pPr>
              <w:pStyle w:val="TableContents"/>
              <w:spacing w:before="0" w:after="283"/>
              <w:jc w:val="right"/>
              <w:rPr/>
            </w:pPr>
            <w:r>
              <w:rPr/>
              <w:t> </w:t>
            </w:r>
          </w:p>
        </w:tc>
        <w:tc>
          <w:tcPr>
            <w:tcW w:w="116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0.7%</w:t>
            </w:r>
          </w:p>
        </w:tc>
      </w:tr>
      <w:tr>
        <w:trPr/>
        <w:tc>
          <w:tcPr>
            <w:tcW w:w="155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Karen Jaffee Cofsky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Voting Power:</w:t>
            </w:r>
          </w:p>
          <w:p>
            <w:pPr>
              <w:pStyle w:val="TableContents"/>
              <w:spacing w:before="0" w:after="0"/>
              <w:ind w:left="0" w:right="0" w:hanging="0"/>
              <w:jc w:val="right"/>
              <w:rPr>
                <w:rFonts w:ascii="times new roman" w:hAnsi="times new roman"/>
                <w:sz w:val="16"/>
              </w:rPr>
            </w:pPr>
            <w:r>
              <w:rPr>
                <w:rFonts w:ascii="times new roman" w:hAnsi="times new roman"/>
                <w:sz w:val="16"/>
              </w:rPr>
              <w:t>3.2%</w:t>
            </w:r>
          </w:p>
          <w:p>
            <w:pPr>
              <w:pStyle w:val="TableContents"/>
              <w:spacing w:before="0" w:after="0"/>
              <w:ind w:left="0" w:right="0" w:hanging="0"/>
              <w:jc w:val="left"/>
              <w:rPr/>
            </w:pPr>
            <w:r>
              <w:rPr/>
              <w:t> </w:t>
            </w:r>
          </w:p>
        </w:tc>
        <w:tc>
          <w:tcPr>
            <w:tcW w:w="128" w:type="dxa"/>
            <w:tcBorders/>
            <w:shd w:fill="auto" w:val="clear"/>
            <w:tcMar>
              <w:bottom w:w="0" w:type="dxa"/>
            </w:tcMar>
          </w:tcPr>
          <w:p>
            <w:pPr>
              <w:pStyle w:val="TableContents"/>
              <w:spacing w:before="0" w:after="283"/>
              <w:jc w:val="right"/>
              <w:rPr/>
            </w:pPr>
            <w:r>
              <w:rPr/>
              <w:t> </w:t>
            </w:r>
          </w:p>
        </w:tc>
        <w:tc>
          <w:tcPr>
            <w:tcW w:w="90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84,271</w:t>
            </w:r>
          </w:p>
        </w:tc>
        <w:tc>
          <w:tcPr>
            <w:tcW w:w="128" w:type="dxa"/>
            <w:tcBorders/>
            <w:shd w:fill="auto" w:val="clear"/>
            <w:tcMar>
              <w:bottom w:w="0" w:type="dxa"/>
            </w:tcMar>
          </w:tcPr>
          <w:p>
            <w:pPr>
              <w:pStyle w:val="TableContents"/>
              <w:spacing w:before="0" w:after="283"/>
              <w:jc w:val="left"/>
              <w:rPr/>
            </w:pPr>
            <w:r>
              <w:rPr/>
              <w:t> </w:t>
            </w:r>
          </w:p>
        </w:tc>
        <w:tc>
          <w:tcPr>
            <w:tcW w:w="1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32,957 shares held directly.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9,375 shares held as trustee for minor children.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376 shares held in joint tenancy with spouse.</w:t>
            </w:r>
          </w:p>
          <w:p>
            <w:pPr>
              <w:pStyle w:val="TableContents"/>
              <w:spacing w:before="0" w:after="0"/>
              <w:ind w:left="0" w:right="0" w:hanging="0"/>
              <w:jc w:val="left"/>
              <w:rPr>
                <w:rFonts w:ascii="times new roman" w:hAnsi="times new roman"/>
                <w:sz w:val="16"/>
              </w:rPr>
            </w:pPr>
            <w:r>
              <w:rPr>
                <w:rFonts w:ascii="times new roman" w:hAnsi="times new roman"/>
                <w:sz w:val="16"/>
              </w:rPr>
              <w:t>16,563 shares are in the form of employee stock options exercisable within 60 days of the date of this filing.</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25,000 shares are in the form of employee stock options exercisable by spouse, Thomas F. Cofsky, within 60 days of the date of this filing.</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 Cofsky has historically voted his shares consistently with Mrs. Cofsky’s voting.</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4.0%</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586</w:t>
            </w:r>
          </w:p>
        </w:tc>
        <w:tc>
          <w:tcPr>
            <w:tcW w:w="129" w:type="dxa"/>
            <w:tcBorders/>
            <w:shd w:fill="auto" w:val="clear"/>
            <w:tcMar>
              <w:bottom w:w="0" w:type="dxa"/>
            </w:tcMar>
          </w:tcPr>
          <w:p>
            <w:pPr>
              <w:pStyle w:val="TableContents"/>
              <w:spacing w:before="0" w:after="283"/>
              <w:jc w:val="left"/>
              <w:rPr/>
            </w:pPr>
            <w:r>
              <w:rPr/>
              <w:t> </w:t>
            </w:r>
          </w:p>
        </w:tc>
        <w:tc>
          <w:tcPr>
            <w:tcW w:w="129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74 shares held directly.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512 shares held by spouse, Thomas F. Cofsky.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 Cofsky has historically voted his shares consistently with Mrs. Cofsky’s voting.</w:t>
            </w:r>
          </w:p>
          <w:p>
            <w:pPr>
              <w:pStyle w:val="TableContents"/>
              <w:spacing w:before="0" w:after="0"/>
              <w:ind w:left="0" w:right="0" w:hanging="0"/>
              <w:jc w:val="left"/>
              <w:rPr/>
            </w:pPr>
            <w:r>
              <w:rPr/>
              <w:t> </w:t>
            </w:r>
          </w:p>
        </w:tc>
        <w:tc>
          <w:tcPr>
            <w:tcW w:w="129" w:type="dxa"/>
            <w:tcBorders/>
            <w:shd w:fill="auto" w:val="clear"/>
            <w:tcMar>
              <w:bottom w:w="0" w:type="dxa"/>
            </w:tcMar>
          </w:tcPr>
          <w:p>
            <w:pPr>
              <w:pStyle w:val="TableContents"/>
              <w:spacing w:before="0" w:after="283"/>
              <w:jc w:val="right"/>
              <w:rPr/>
            </w:pPr>
            <w:r>
              <w:rPr/>
              <w:t> </w:t>
            </w:r>
          </w:p>
        </w:tc>
        <w:tc>
          <w:tcPr>
            <w:tcW w:w="77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0.0%</w:t>
            </w:r>
          </w:p>
        </w:tc>
        <w:tc>
          <w:tcPr>
            <w:tcW w:w="128" w:type="dxa"/>
            <w:tcBorders/>
            <w:shd w:fill="auto" w:val="clear"/>
            <w:tcMar>
              <w:bottom w:w="0" w:type="dxa"/>
            </w:tcMar>
          </w:tcPr>
          <w:p>
            <w:pPr>
              <w:pStyle w:val="TableContents"/>
              <w:spacing w:before="0" w:after="283"/>
              <w:jc w:val="right"/>
              <w:rPr/>
            </w:pPr>
            <w:r>
              <w:rPr/>
              <w:t> </w:t>
            </w:r>
          </w:p>
        </w:tc>
        <w:tc>
          <w:tcPr>
            <w:tcW w:w="116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1.6%</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12"/>
      <w:bookmarkStart w:id="173" w:name="PGBRK12"/>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FTR12"/>
      <w:bookmarkStart w:id="175" w:name="FTR12"/>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GLFTR12"/>
      <w:bookmarkStart w:id="177" w:name="GLFTR12"/>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8" w:name="PN12"/>
      <w:bookmarkEnd w:id="178"/>
      <w:r>
        <w:rPr>
          <w:rFonts w:ascii="Times New Roman" w:hAnsi="Times New Roman"/>
          <w:sz w:val="20"/>
        </w:rPr>
        <w:t>Page 14of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HDR12"/>
      <w:bookmarkStart w:id="180" w:name="HDR12"/>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 w:name="GLHDR12"/>
      <w:bookmarkStart w:id="182" w:name="GLHDR12"/>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1551"/>
        <w:gridCol w:w="128"/>
        <w:gridCol w:w="905"/>
        <w:gridCol w:w="128"/>
        <w:gridCol w:w="1552"/>
        <w:gridCol w:w="128"/>
        <w:gridCol w:w="1034"/>
        <w:gridCol w:w="128"/>
        <w:gridCol w:w="1034"/>
        <w:gridCol w:w="129"/>
        <w:gridCol w:w="1292"/>
        <w:gridCol w:w="129"/>
        <w:gridCol w:w="775"/>
        <w:gridCol w:w="128"/>
        <w:gridCol w:w="1164"/>
      </w:tblGrid>
      <w:tr>
        <w:trPr/>
        <w:tc>
          <w:tcPr>
            <w:tcW w:w="155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Name</w:t>
            </w:r>
          </w:p>
          <w:p>
            <w:pPr>
              <w:pStyle w:val="TableContents"/>
              <w:spacing w:before="0" w:after="0"/>
              <w:ind w:left="0" w:right="0" w:hanging="0"/>
              <w:jc w:val="center"/>
              <w:rPr>
                <w:rFonts w:ascii="times new roman" w:hAnsi="times new roman"/>
                <w:sz w:val="16"/>
              </w:rPr>
            </w:pPr>
            <w:r>
              <w:rPr>
                <w:rFonts w:ascii="times new roman" w:hAnsi="times new roman"/>
                <w:sz w:val="16"/>
              </w:rPr>
              <w:t>Percentage of</w:t>
              <w:br/>
              <w:t>Voting Power</w:t>
            </w:r>
          </w:p>
        </w:tc>
        <w:tc>
          <w:tcPr>
            <w:tcW w:w="128" w:type="dxa"/>
            <w:tcBorders/>
            <w:shd w:fill="auto" w:val="clear"/>
            <w:tcMar>
              <w:bottom w:w="0" w:type="dxa"/>
            </w:tcMar>
            <w:vAlign w:val="bottom"/>
          </w:tcPr>
          <w:p>
            <w:pPr>
              <w:pStyle w:val="TableContents"/>
              <w:spacing w:before="0" w:after="283"/>
              <w:jc w:val="right"/>
              <w:rPr/>
            </w:pPr>
            <w:r>
              <w:rPr/>
              <w:t> </w:t>
            </w:r>
          </w:p>
        </w:tc>
        <w:tc>
          <w:tcPr>
            <w:tcW w:w="90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Number</w:t>
              <w:br/>
              <w:t>of Shares</w:t>
              <w:br/>
              <w:t>of Class B</w:t>
              <w:br/>
              <w:t>Stock</w:t>
            </w:r>
          </w:p>
        </w:tc>
        <w:tc>
          <w:tcPr>
            <w:tcW w:w="128" w:type="dxa"/>
            <w:tcBorders/>
            <w:shd w:fill="auto" w:val="clear"/>
            <w:tcMar>
              <w:bottom w:w="0" w:type="dxa"/>
            </w:tcMar>
            <w:vAlign w:val="bottom"/>
          </w:tcPr>
          <w:p>
            <w:pPr>
              <w:pStyle w:val="TableContents"/>
              <w:spacing w:before="0" w:after="283"/>
              <w:rPr/>
            </w:pPr>
            <w:r>
              <w:rPr/>
              <w:t> </w:t>
            </w:r>
          </w:p>
        </w:tc>
        <w:tc>
          <w:tcPr>
            <w:tcW w:w="155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 Class B</w:t>
              <w:br/>
              <w:t>Stock Ownership</w:t>
            </w:r>
          </w:p>
        </w:tc>
        <w:tc>
          <w:tcPr>
            <w:tcW w:w="128" w:type="dxa"/>
            <w:tcBorders/>
            <w:shd w:fill="auto" w:val="clear"/>
            <w:tcMar>
              <w:bottom w:w="0" w:type="dxa"/>
            </w:tcMar>
            <w:vAlign w:val="bottom"/>
          </w:tcPr>
          <w:p>
            <w:pPr>
              <w:pStyle w:val="TableContents"/>
              <w:spacing w:before="0" w:after="283"/>
              <w:jc w:val="right"/>
              <w:rPr/>
            </w:pPr>
            <w:r>
              <w:rPr/>
              <w:t> </w:t>
            </w:r>
          </w:p>
        </w:tc>
        <w:tc>
          <w:tcPr>
            <w:tcW w:w="10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w:t>
              <w:br/>
              <w:t>of Class B</w:t>
              <w:br/>
              <w:t>Stock</w:t>
            </w:r>
          </w:p>
        </w:tc>
        <w:tc>
          <w:tcPr>
            <w:tcW w:w="128" w:type="dxa"/>
            <w:tcBorders/>
            <w:shd w:fill="auto" w:val="clear"/>
            <w:tcMar>
              <w:bottom w:w="0" w:type="dxa"/>
            </w:tcMar>
            <w:vAlign w:val="bottom"/>
          </w:tcPr>
          <w:p>
            <w:pPr>
              <w:pStyle w:val="TableContents"/>
              <w:spacing w:before="0" w:after="283"/>
              <w:jc w:val="right"/>
              <w:rPr/>
            </w:pPr>
            <w:r>
              <w:rPr/>
              <w:t> </w:t>
            </w:r>
          </w:p>
        </w:tc>
        <w:tc>
          <w:tcPr>
            <w:tcW w:w="10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Number of</w:t>
              <w:br/>
              <w:t>Shares of</w:t>
              <w:br/>
              <w:t>Common</w:t>
              <w:br/>
              <w:t>Stock</w:t>
            </w:r>
          </w:p>
        </w:tc>
        <w:tc>
          <w:tcPr>
            <w:tcW w:w="129" w:type="dxa"/>
            <w:tcBorders/>
            <w:shd w:fill="auto" w:val="clear"/>
            <w:tcMar>
              <w:bottom w:w="0" w:type="dxa"/>
            </w:tcMar>
            <w:vAlign w:val="bottom"/>
          </w:tcPr>
          <w:p>
            <w:pPr>
              <w:pStyle w:val="TableContents"/>
              <w:spacing w:before="0" w:after="283"/>
              <w:rPr/>
            </w:pPr>
            <w:r>
              <w:rPr/>
              <w:t> </w:t>
            </w:r>
          </w:p>
        </w:tc>
        <w:tc>
          <w:tcPr>
            <w:tcW w:w="129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w:t>
              <w:br/>
              <w:t>Common Stock</w:t>
              <w:br/>
              <w:t>Ownership</w:t>
            </w:r>
          </w:p>
        </w:tc>
        <w:tc>
          <w:tcPr>
            <w:tcW w:w="129" w:type="dxa"/>
            <w:tcBorders/>
            <w:shd w:fill="auto" w:val="clear"/>
            <w:tcMar>
              <w:bottom w:w="0" w:type="dxa"/>
            </w:tcMar>
            <w:vAlign w:val="bottom"/>
          </w:tcPr>
          <w:p>
            <w:pPr>
              <w:pStyle w:val="TableContents"/>
              <w:spacing w:before="0" w:after="283"/>
              <w:jc w:val="right"/>
              <w:rPr/>
            </w:pPr>
            <w:r>
              <w:rPr/>
              <w:t> </w:t>
            </w:r>
          </w:p>
        </w:tc>
        <w:tc>
          <w:tcPr>
            <w:tcW w:w="77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w:t>
              <w:br/>
              <w:t>of</w:t>
              <w:br/>
              <w:t>Common</w:t>
              <w:br/>
              <w:t>Stock</w:t>
            </w:r>
          </w:p>
        </w:tc>
        <w:tc>
          <w:tcPr>
            <w:tcW w:w="128" w:type="dxa"/>
            <w:tcBorders/>
            <w:shd w:fill="auto" w:val="clear"/>
            <w:tcMar>
              <w:bottom w:w="0" w:type="dxa"/>
            </w:tcMar>
            <w:vAlign w:val="bottom"/>
          </w:tcPr>
          <w:p>
            <w:pPr>
              <w:pStyle w:val="TableContents"/>
              <w:spacing w:before="0" w:after="283"/>
              <w:jc w:val="right"/>
              <w:rPr/>
            </w:pPr>
            <w:r>
              <w:rPr/>
              <w:t> </w:t>
            </w:r>
          </w:p>
        </w:tc>
        <w:tc>
          <w:tcPr>
            <w:tcW w:w="116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16"/>
              </w:rPr>
            </w:pPr>
            <w:r>
              <w:rPr>
                <w:rFonts w:ascii="times new roman" w:hAnsi="times new roman"/>
                <w:sz w:val="16"/>
              </w:rPr>
              <w:t>Percentage of</w:t>
              <w:br/>
              <w:t>Common</w:t>
              <w:br/>
              <w:t>Stock if Class</w:t>
              <w:br/>
              <w:t>B Stock</w:t>
              <w:br/>
              <w:t>Owned</w:t>
              <w:br/>
              <w:t>Converted to</w:t>
              <w:br/>
              <w:t>Common</w:t>
            </w:r>
          </w:p>
        </w:tc>
      </w:tr>
      <w:tr>
        <w:trPr/>
        <w:tc>
          <w:tcPr>
            <w:tcW w:w="155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Nancy E. Jaffee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Voting Power:</w:t>
            </w:r>
          </w:p>
          <w:p>
            <w:pPr>
              <w:pStyle w:val="TableContents"/>
              <w:spacing w:before="0" w:after="0"/>
              <w:ind w:left="0" w:right="0" w:hanging="0"/>
              <w:jc w:val="right"/>
              <w:rPr>
                <w:rFonts w:ascii="times new roman" w:hAnsi="times new roman"/>
                <w:sz w:val="16"/>
              </w:rPr>
            </w:pPr>
            <w:r>
              <w:rPr>
                <w:rFonts w:ascii="times new roman" w:hAnsi="times new roman"/>
                <w:sz w:val="16"/>
              </w:rPr>
              <w:t>1.4%</w:t>
            </w:r>
          </w:p>
          <w:p>
            <w:pPr>
              <w:pStyle w:val="TableContents"/>
              <w:spacing w:before="0" w:after="0"/>
              <w:ind w:left="0" w:right="0" w:hanging="0"/>
              <w:jc w:val="left"/>
              <w:rPr/>
            </w:pPr>
            <w:r>
              <w:rPr/>
              <w:t> </w:t>
            </w:r>
          </w:p>
        </w:tc>
        <w:tc>
          <w:tcPr>
            <w:tcW w:w="128" w:type="dxa"/>
            <w:tcBorders/>
            <w:shd w:fill="auto" w:val="clear"/>
            <w:tcMar>
              <w:bottom w:w="0" w:type="dxa"/>
            </w:tcMar>
          </w:tcPr>
          <w:p>
            <w:pPr>
              <w:pStyle w:val="TableContents"/>
              <w:spacing w:before="0" w:after="283"/>
              <w:jc w:val="right"/>
              <w:rPr/>
            </w:pPr>
            <w:r>
              <w:rPr/>
              <w:t> </w:t>
            </w:r>
          </w:p>
        </w:tc>
        <w:tc>
          <w:tcPr>
            <w:tcW w:w="90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36,288</w:t>
            </w:r>
          </w:p>
        </w:tc>
        <w:tc>
          <w:tcPr>
            <w:tcW w:w="128" w:type="dxa"/>
            <w:tcBorders/>
            <w:shd w:fill="auto" w:val="clear"/>
            <w:tcMar>
              <w:bottom w:w="0" w:type="dxa"/>
            </w:tcMar>
          </w:tcPr>
          <w:p>
            <w:pPr>
              <w:pStyle w:val="TableContents"/>
              <w:spacing w:before="0" w:after="283"/>
              <w:jc w:val="left"/>
              <w:rPr/>
            </w:pPr>
            <w:r>
              <w:rPr/>
              <w:t> </w:t>
            </w:r>
          </w:p>
        </w:tc>
        <w:tc>
          <w:tcPr>
            <w:tcW w:w="1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28,663 shares held directly.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7,500 shares held as trustee for minor children.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125 shares held in joint tenancy with spouse.</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1.8%</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5</w:t>
            </w:r>
          </w:p>
        </w:tc>
        <w:tc>
          <w:tcPr>
            <w:tcW w:w="129" w:type="dxa"/>
            <w:tcBorders/>
            <w:shd w:fill="auto" w:val="clear"/>
            <w:tcMar>
              <w:bottom w:w="0" w:type="dxa"/>
            </w:tcMar>
          </w:tcPr>
          <w:p>
            <w:pPr>
              <w:pStyle w:val="TableContents"/>
              <w:spacing w:before="0" w:after="283"/>
              <w:jc w:val="left"/>
              <w:rPr/>
            </w:pPr>
            <w:r>
              <w:rPr/>
              <w:t> </w:t>
            </w:r>
          </w:p>
        </w:tc>
        <w:tc>
          <w:tcPr>
            <w:tcW w:w="129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directly.</w:t>
            </w:r>
          </w:p>
        </w:tc>
        <w:tc>
          <w:tcPr>
            <w:tcW w:w="129" w:type="dxa"/>
            <w:tcBorders/>
            <w:shd w:fill="auto" w:val="clear"/>
            <w:tcMar>
              <w:bottom w:w="0" w:type="dxa"/>
            </w:tcMar>
          </w:tcPr>
          <w:p>
            <w:pPr>
              <w:pStyle w:val="TableContents"/>
              <w:spacing w:before="0" w:after="283"/>
              <w:jc w:val="right"/>
              <w:rPr/>
            </w:pPr>
            <w:r>
              <w:rPr/>
              <w:t> </w:t>
            </w:r>
          </w:p>
        </w:tc>
        <w:tc>
          <w:tcPr>
            <w:tcW w:w="77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0.0%</w:t>
            </w:r>
          </w:p>
        </w:tc>
        <w:tc>
          <w:tcPr>
            <w:tcW w:w="128" w:type="dxa"/>
            <w:tcBorders/>
            <w:shd w:fill="auto" w:val="clear"/>
            <w:tcMar>
              <w:bottom w:w="0" w:type="dxa"/>
            </w:tcMar>
          </w:tcPr>
          <w:p>
            <w:pPr>
              <w:pStyle w:val="TableContents"/>
              <w:spacing w:before="0" w:after="283"/>
              <w:jc w:val="right"/>
              <w:rPr/>
            </w:pPr>
            <w:r>
              <w:rPr/>
              <w:t> </w:t>
            </w:r>
          </w:p>
        </w:tc>
        <w:tc>
          <w:tcPr>
            <w:tcW w:w="116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0.7%</w:t>
            </w:r>
          </w:p>
        </w:tc>
      </w:tr>
      <w:tr>
        <w:trPr/>
        <w:tc>
          <w:tcPr>
            <w:tcW w:w="155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Daniel S. Jaffee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Voting Power:</w:t>
            </w:r>
          </w:p>
          <w:p>
            <w:pPr>
              <w:pStyle w:val="TableContents"/>
              <w:spacing w:before="0" w:after="0"/>
              <w:ind w:left="0" w:right="0" w:hanging="0"/>
              <w:jc w:val="right"/>
              <w:rPr>
                <w:rFonts w:ascii="times new roman" w:hAnsi="times new roman"/>
                <w:sz w:val="16"/>
              </w:rPr>
            </w:pPr>
            <w:r>
              <w:rPr>
                <w:rFonts w:ascii="times new roman" w:hAnsi="times new roman"/>
                <w:sz w:val="16"/>
              </w:rPr>
              <w:t>11.2%</w:t>
            </w:r>
          </w:p>
          <w:p>
            <w:pPr>
              <w:pStyle w:val="TableContents"/>
              <w:spacing w:before="0" w:after="0"/>
              <w:ind w:left="0" w:right="0" w:hanging="0"/>
              <w:jc w:val="left"/>
              <w:rPr/>
            </w:pPr>
            <w:r>
              <w:rPr/>
              <w:t> </w:t>
            </w:r>
          </w:p>
        </w:tc>
        <w:tc>
          <w:tcPr>
            <w:tcW w:w="128" w:type="dxa"/>
            <w:tcBorders/>
            <w:shd w:fill="auto" w:val="clear"/>
            <w:tcMar>
              <w:bottom w:w="0" w:type="dxa"/>
            </w:tcMar>
          </w:tcPr>
          <w:p>
            <w:pPr>
              <w:pStyle w:val="TableContents"/>
              <w:spacing w:before="0" w:after="283"/>
              <w:jc w:val="right"/>
              <w:rPr/>
            </w:pPr>
            <w:r>
              <w:rPr/>
              <w:t> </w:t>
            </w:r>
          </w:p>
        </w:tc>
        <w:tc>
          <w:tcPr>
            <w:tcW w:w="90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287,280</w:t>
            </w:r>
          </w:p>
        </w:tc>
        <w:tc>
          <w:tcPr>
            <w:tcW w:w="128" w:type="dxa"/>
            <w:tcBorders/>
            <w:shd w:fill="auto" w:val="clear"/>
            <w:tcMar>
              <w:bottom w:w="0" w:type="dxa"/>
            </w:tcMar>
          </w:tcPr>
          <w:p>
            <w:pPr>
              <w:pStyle w:val="TableContents"/>
              <w:spacing w:before="0" w:after="283"/>
              <w:jc w:val="left"/>
              <w:rPr/>
            </w:pPr>
            <w:r>
              <w:rPr/>
              <w:t> </w:t>
            </w:r>
          </w:p>
        </w:tc>
        <w:tc>
          <w:tcPr>
            <w:tcW w:w="1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265,903 shares held directly.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5,625 shares held as trustee for minor children.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125 shares held in joint tenancy with spouse.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15,625 shares are in the form of employee stock options exercisable within 60 days of the date of this filing.</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2 shares held by spouse, Heidi M. Jaffee.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Mrs. Jaffee has historically voted her shares consistently with Mr. Jaffee’s voting.</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13.9%</w:t>
            </w:r>
          </w:p>
        </w:tc>
        <w:tc>
          <w:tcPr>
            <w:tcW w:w="128" w:type="dxa"/>
            <w:tcBorders/>
            <w:shd w:fill="auto" w:val="clear"/>
            <w:tcMar>
              <w:bottom w:w="0" w:type="dxa"/>
            </w:tcMar>
          </w:tcPr>
          <w:p>
            <w:pPr>
              <w:pStyle w:val="TableContents"/>
              <w:spacing w:before="0" w:after="283"/>
              <w:jc w:val="right"/>
              <w:rPr/>
            </w:pPr>
            <w:r>
              <w:rPr/>
              <w:t> </w:t>
            </w:r>
          </w:p>
        </w:tc>
        <w:tc>
          <w:tcPr>
            <w:tcW w:w="103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29" w:type="dxa"/>
            <w:tcBorders/>
            <w:shd w:fill="auto" w:val="clear"/>
            <w:tcMar>
              <w:bottom w:w="0" w:type="dxa"/>
            </w:tcMar>
          </w:tcPr>
          <w:p>
            <w:pPr>
              <w:pStyle w:val="TableContents"/>
              <w:spacing w:before="0" w:after="283"/>
              <w:rPr/>
            </w:pPr>
            <w:r>
              <w:rPr/>
              <w:t> </w:t>
            </w:r>
          </w:p>
        </w:tc>
        <w:tc>
          <w:tcPr>
            <w:tcW w:w="1292" w:type="dxa"/>
            <w:tcBorders/>
            <w:shd w:fill="auto" w:val="clear"/>
            <w:tcMar>
              <w:bottom w:w="0" w:type="dxa"/>
            </w:tcMar>
          </w:tcPr>
          <w:p>
            <w:pPr>
              <w:pStyle w:val="TableContents"/>
              <w:spacing w:before="0" w:after="283"/>
              <w:rPr/>
            </w:pPr>
            <w:r>
              <w:rPr/>
              <w:t xml:space="preserve">  </w:t>
            </w:r>
          </w:p>
        </w:tc>
        <w:tc>
          <w:tcPr>
            <w:tcW w:w="129" w:type="dxa"/>
            <w:tcBorders/>
            <w:shd w:fill="auto" w:val="clear"/>
            <w:tcMar>
              <w:bottom w:w="0" w:type="dxa"/>
            </w:tcMar>
          </w:tcPr>
          <w:p>
            <w:pPr>
              <w:pStyle w:val="TableContents"/>
              <w:spacing w:before="0" w:after="283"/>
              <w:jc w:val="right"/>
              <w:rPr/>
            </w:pPr>
            <w:r>
              <w:rPr/>
              <w:t> </w:t>
            </w:r>
          </w:p>
        </w:tc>
        <w:tc>
          <w:tcPr>
            <w:tcW w:w="775"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0.0%</w:t>
            </w:r>
          </w:p>
        </w:tc>
        <w:tc>
          <w:tcPr>
            <w:tcW w:w="128" w:type="dxa"/>
            <w:tcBorders/>
            <w:shd w:fill="auto" w:val="clear"/>
            <w:tcMar>
              <w:bottom w:w="0" w:type="dxa"/>
            </w:tcMar>
          </w:tcPr>
          <w:p>
            <w:pPr>
              <w:pStyle w:val="TableContents"/>
              <w:spacing w:before="0" w:after="283"/>
              <w:jc w:val="right"/>
              <w:rPr/>
            </w:pPr>
            <w:r>
              <w:rPr/>
              <w:t> </w:t>
            </w:r>
          </w:p>
        </w:tc>
        <w:tc>
          <w:tcPr>
            <w:tcW w:w="116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5.3%</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 w:name="PGBRK13"/>
      <w:bookmarkStart w:id="184" w:name="PGBRK13"/>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FTR13"/>
      <w:bookmarkStart w:id="186" w:name="FTR13"/>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GLFTR13"/>
      <w:bookmarkStart w:id="188" w:name="GLFTR13"/>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9" w:name="PN13"/>
      <w:bookmarkEnd w:id="189"/>
      <w:r>
        <w:rPr>
          <w:rFonts w:ascii="Times New Roman" w:hAnsi="Times New Roman"/>
          <w:sz w:val="20"/>
        </w:rPr>
        <w:t>Page 15of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HDR13"/>
      <w:bookmarkStart w:id="191" w:name="HDR13"/>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 w:name="GLHDR13"/>
      <w:bookmarkStart w:id="193" w:name="GLHDR13"/>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194" w:name="TAB128"/>
      <w:bookmarkEnd w:id="194"/>
      <w:r>
        <w:rPr>
          <w:rFonts w:ascii="Times New Roman" w:hAnsi="Times New Roman"/>
          <w:sz w:val="20"/>
        </w:rPr>
        <w:t>(b)           The voting power and power of disposition of each Reporting Person named in Item 2 is shown below.</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591"/>
        <w:gridCol w:w="132"/>
        <w:gridCol w:w="1194"/>
        <w:gridCol w:w="132"/>
        <w:gridCol w:w="1193"/>
        <w:gridCol w:w="132"/>
        <w:gridCol w:w="1989"/>
        <w:gridCol w:w="132"/>
        <w:gridCol w:w="1060"/>
        <w:gridCol w:w="132"/>
        <w:gridCol w:w="1060"/>
        <w:gridCol w:w="132"/>
        <w:gridCol w:w="1326"/>
      </w:tblGrid>
      <w:tr>
        <w:trPr/>
        <w:tc>
          <w:tcPr>
            <w:tcW w:w="1591"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16"/>
              </w:rPr>
            </w:pPr>
            <w:r>
              <w:rPr>
                <w:rFonts w:ascii="times new roman" w:hAnsi="times new roman"/>
                <w:sz w:val="16"/>
              </w:rPr>
              <w:t>Name</w:t>
            </w:r>
          </w:p>
        </w:tc>
        <w:tc>
          <w:tcPr>
            <w:tcW w:w="132" w:type="dxa"/>
            <w:tcBorders/>
            <w:shd w:fill="auto" w:val="clear"/>
            <w:tcMar>
              <w:bottom w:w="0" w:type="dxa"/>
            </w:tcMar>
            <w:vAlign w:val="bottom"/>
          </w:tcPr>
          <w:p>
            <w:pPr>
              <w:pStyle w:val="TableContents"/>
              <w:spacing w:before="0" w:after="283"/>
              <w:rPr/>
            </w:pPr>
            <w:r>
              <w:rPr/>
              <w:t> </w:t>
            </w:r>
          </w:p>
        </w:tc>
        <w:tc>
          <w:tcPr>
            <w:tcW w:w="119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Sole Voting</w:t>
              <w:br/>
              <w:t>Power</w:t>
            </w:r>
          </w:p>
        </w:tc>
        <w:tc>
          <w:tcPr>
            <w:tcW w:w="132" w:type="dxa"/>
            <w:tcBorders/>
            <w:shd w:fill="auto" w:val="clear"/>
            <w:tcMar>
              <w:bottom w:w="0" w:type="dxa"/>
            </w:tcMar>
            <w:vAlign w:val="bottom"/>
          </w:tcPr>
          <w:p>
            <w:pPr>
              <w:pStyle w:val="TableContents"/>
              <w:spacing w:before="0" w:after="283"/>
              <w:rPr/>
            </w:pPr>
            <w:r>
              <w:rPr/>
              <w:t> </w:t>
            </w:r>
          </w:p>
        </w:tc>
        <w:tc>
          <w:tcPr>
            <w:tcW w:w="119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Shared Voting</w:t>
              <w:br/>
              <w:t>Power</w:t>
            </w:r>
          </w:p>
        </w:tc>
        <w:tc>
          <w:tcPr>
            <w:tcW w:w="132" w:type="dxa"/>
            <w:tcBorders/>
            <w:shd w:fill="auto" w:val="clear"/>
            <w:tcMar>
              <w:bottom w:w="0" w:type="dxa"/>
            </w:tcMar>
            <w:vAlign w:val="bottom"/>
          </w:tcPr>
          <w:p>
            <w:pPr>
              <w:pStyle w:val="TableContents"/>
              <w:spacing w:before="0" w:after="283"/>
              <w:rPr/>
            </w:pPr>
            <w:r>
              <w:rPr/>
              <w:t> </w:t>
            </w:r>
          </w:p>
        </w:tc>
        <w:tc>
          <w:tcPr>
            <w:tcW w:w="198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 Shared Voting</w:t>
              <w:br/>
              <w:t>Power</w:t>
            </w:r>
          </w:p>
        </w:tc>
        <w:tc>
          <w:tcPr>
            <w:tcW w:w="132" w:type="dxa"/>
            <w:tcBorders/>
            <w:shd w:fill="auto" w:val="clear"/>
            <w:tcMar>
              <w:bottom w:w="0" w:type="dxa"/>
            </w:tcMar>
            <w:vAlign w:val="bottom"/>
          </w:tcPr>
          <w:p>
            <w:pPr>
              <w:pStyle w:val="TableContents"/>
              <w:spacing w:before="0" w:after="283"/>
              <w:rPr/>
            </w:pPr>
            <w:r>
              <w:rPr/>
              <w:t> </w:t>
            </w:r>
          </w:p>
        </w:tc>
        <w:tc>
          <w:tcPr>
            <w:tcW w:w="106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Sole</w:t>
              <w:br/>
              <w:t>Dispositive</w:t>
              <w:br/>
              <w:t>Power</w:t>
            </w:r>
          </w:p>
        </w:tc>
        <w:tc>
          <w:tcPr>
            <w:tcW w:w="132" w:type="dxa"/>
            <w:tcBorders/>
            <w:shd w:fill="auto" w:val="clear"/>
            <w:tcMar>
              <w:bottom w:w="0" w:type="dxa"/>
            </w:tcMar>
            <w:vAlign w:val="bottom"/>
          </w:tcPr>
          <w:p>
            <w:pPr>
              <w:pStyle w:val="TableContents"/>
              <w:spacing w:before="0" w:after="283"/>
              <w:rPr/>
            </w:pPr>
            <w:r>
              <w:rPr/>
              <w:t> </w:t>
            </w:r>
          </w:p>
        </w:tc>
        <w:tc>
          <w:tcPr>
            <w:tcW w:w="106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Shared</w:t>
              <w:br/>
              <w:t>Dispositive</w:t>
              <w:br/>
              <w:t>Power</w:t>
            </w:r>
          </w:p>
        </w:tc>
        <w:tc>
          <w:tcPr>
            <w:tcW w:w="132" w:type="dxa"/>
            <w:tcBorders/>
            <w:shd w:fill="auto" w:val="clear"/>
            <w:tcMar>
              <w:bottom w:w="0" w:type="dxa"/>
            </w:tcMar>
            <w:vAlign w:val="bottom"/>
          </w:tcPr>
          <w:p>
            <w:pPr>
              <w:pStyle w:val="TableContents"/>
              <w:spacing w:before="0" w:after="283"/>
              <w:rPr/>
            </w:pPr>
            <w:r>
              <w:rPr/>
              <w:t> </w:t>
            </w:r>
          </w:p>
        </w:tc>
        <w:tc>
          <w:tcPr>
            <w:tcW w:w="1326"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 Shared</w:t>
              <w:br/>
              <w:t>Dispositive Power</w:t>
            </w:r>
          </w:p>
        </w:tc>
      </w:tr>
      <w:tr>
        <w:trPr/>
        <w:tc>
          <w:tcPr>
            <w:tcW w:w="159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Jaffee Investment Partnership, L.P.</w:t>
            </w:r>
          </w:p>
        </w:tc>
        <w:tc>
          <w:tcPr>
            <w:tcW w:w="132" w:type="dxa"/>
            <w:tcBorders/>
            <w:shd w:fill="auto" w:val="clear"/>
            <w:tcMar>
              <w:bottom w:w="0" w:type="dxa"/>
            </w:tcMar>
          </w:tcPr>
          <w:p>
            <w:pPr>
              <w:pStyle w:val="TableContents"/>
              <w:spacing w:before="0" w:after="283"/>
              <w:jc w:val="left"/>
              <w:rPr/>
            </w:pPr>
            <w:r>
              <w:rPr/>
              <w:t> </w:t>
            </w:r>
          </w:p>
        </w:tc>
        <w:tc>
          <w:tcPr>
            <w:tcW w:w="1194"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1,250,000</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right"/>
              <w:rPr/>
            </w:pPr>
            <w:r>
              <w:rPr/>
              <w:t> </w:t>
            </w:r>
          </w:p>
        </w:tc>
        <w:tc>
          <w:tcPr>
            <w:tcW w:w="1193"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32" w:type="dxa"/>
            <w:tcBorders/>
            <w:shd w:fill="auto" w:val="clear"/>
            <w:tcMar>
              <w:bottom w:w="0" w:type="dxa"/>
            </w:tcMar>
          </w:tcPr>
          <w:p>
            <w:pPr>
              <w:pStyle w:val="TableContents"/>
              <w:spacing w:before="0" w:after="283"/>
              <w:rPr/>
            </w:pPr>
            <w:r>
              <w:rPr/>
              <w:t> </w:t>
            </w:r>
          </w:p>
        </w:tc>
        <w:tc>
          <w:tcPr>
            <w:tcW w:w="1989" w:type="dxa"/>
            <w:tcBorders/>
            <w:shd w:fill="auto" w:val="clear"/>
            <w:tcMar>
              <w:bottom w:w="0" w:type="dxa"/>
            </w:tcMar>
          </w:tcPr>
          <w:p>
            <w:pPr>
              <w:pStyle w:val="TableContents"/>
              <w:spacing w:before="0" w:after="283"/>
              <w:rPr/>
            </w:pPr>
            <w:r>
              <w:rPr/>
              <w:t xml:space="preserve">  </w:t>
            </w:r>
          </w:p>
        </w:tc>
        <w:tc>
          <w:tcPr>
            <w:tcW w:w="132" w:type="dxa"/>
            <w:tcBorders/>
            <w:shd w:fill="auto" w:val="clear"/>
            <w:tcMar>
              <w:bottom w:w="0" w:type="dxa"/>
            </w:tcMar>
          </w:tcPr>
          <w:p>
            <w:pPr>
              <w:pStyle w:val="TableContents"/>
              <w:spacing w:before="0" w:after="283"/>
              <w:jc w:val="left"/>
              <w:rPr/>
            </w:pPr>
            <w:r>
              <w:rPr/>
              <w:t> </w:t>
            </w:r>
          </w:p>
        </w:tc>
        <w:tc>
          <w:tcPr>
            <w:tcW w:w="1060"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1,250,000</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right"/>
              <w:rPr/>
            </w:pPr>
            <w:r>
              <w:rPr/>
              <w:t> </w:t>
            </w:r>
          </w:p>
        </w:tc>
        <w:tc>
          <w:tcPr>
            <w:tcW w:w="1060"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0</w:t>
            </w:r>
          </w:p>
        </w:tc>
        <w:tc>
          <w:tcPr>
            <w:tcW w:w="132" w:type="dxa"/>
            <w:tcBorders/>
            <w:shd w:fill="auto" w:val="clear"/>
            <w:tcMar>
              <w:bottom w:w="0" w:type="dxa"/>
            </w:tcMar>
          </w:tcPr>
          <w:p>
            <w:pPr>
              <w:pStyle w:val="TableContents"/>
              <w:spacing w:before="0" w:after="283"/>
              <w:rPr/>
            </w:pPr>
            <w:r>
              <w:rPr/>
              <w:t> </w:t>
            </w:r>
          </w:p>
        </w:tc>
        <w:tc>
          <w:tcPr>
            <w:tcW w:w="1326" w:type="dxa"/>
            <w:tcBorders/>
            <w:shd w:fill="auto" w:val="clear"/>
            <w:tcMar>
              <w:bottom w:w="0" w:type="dxa"/>
            </w:tcMar>
          </w:tcPr>
          <w:p>
            <w:pPr>
              <w:pStyle w:val="TableContents"/>
              <w:spacing w:before="0" w:after="283"/>
              <w:rPr/>
            </w:pPr>
            <w:r>
              <w:rPr/>
              <w:t xml:space="preserve">  </w:t>
            </w:r>
          </w:p>
        </w:tc>
      </w:tr>
      <w:tr>
        <w:trPr/>
        <w:tc>
          <w:tcPr>
            <w:tcW w:w="159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Richard M. Jaffee</w:t>
            </w:r>
          </w:p>
        </w:tc>
        <w:tc>
          <w:tcPr>
            <w:tcW w:w="132" w:type="dxa"/>
            <w:tcBorders/>
            <w:shd w:fill="auto" w:val="clear"/>
            <w:tcMar>
              <w:bottom w:w="0" w:type="dxa"/>
            </w:tcMar>
          </w:tcPr>
          <w:p>
            <w:pPr>
              <w:pStyle w:val="TableContents"/>
              <w:spacing w:before="0" w:after="283"/>
              <w:jc w:val="left"/>
              <w:rPr/>
            </w:pPr>
            <w:r>
              <w:rPr/>
              <w:t> </w:t>
            </w:r>
          </w:p>
        </w:tc>
        <w:tc>
          <w:tcPr>
            <w:tcW w:w="1194"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290,895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193"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118,663</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98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125 shares of Class B Stock held in joint tenancy with spouse.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118,538 shares of Class B Stock held by spouse, Shirley H. Jaffee, as trustee under the Shirley H. Jaffee Declaration of Trust of 7/12/93.</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Mrs. Jaffee has historically voted these shares consistently with Mr. Jaffee’s voting.</w:t>
            </w:r>
          </w:p>
        </w:tc>
        <w:tc>
          <w:tcPr>
            <w:tcW w:w="132" w:type="dxa"/>
            <w:tcBorders/>
            <w:shd w:fill="auto" w:val="clear"/>
            <w:tcMar>
              <w:bottom w:w="0" w:type="dxa"/>
            </w:tcMar>
          </w:tcPr>
          <w:p>
            <w:pPr>
              <w:pStyle w:val="TableContents"/>
              <w:spacing w:before="0" w:after="283"/>
              <w:jc w:val="left"/>
              <w:rPr/>
            </w:pPr>
            <w:r>
              <w:rPr/>
              <w:t> </w:t>
            </w:r>
          </w:p>
        </w:tc>
        <w:tc>
          <w:tcPr>
            <w:tcW w:w="1060"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290,895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060"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326"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spouse.</w:t>
            </w:r>
          </w:p>
        </w:tc>
      </w:tr>
      <w:tr>
        <w:trPr/>
        <w:tc>
          <w:tcPr>
            <w:tcW w:w="159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Shirley H. Jaffee</w:t>
            </w:r>
          </w:p>
        </w:tc>
        <w:tc>
          <w:tcPr>
            <w:tcW w:w="132" w:type="dxa"/>
            <w:tcBorders/>
            <w:shd w:fill="auto" w:val="clear"/>
            <w:tcMar>
              <w:bottom w:w="0" w:type="dxa"/>
            </w:tcMar>
          </w:tcPr>
          <w:p>
            <w:pPr>
              <w:pStyle w:val="TableContents"/>
              <w:spacing w:before="0" w:after="283"/>
              <w:jc w:val="left"/>
              <w:rPr/>
            </w:pPr>
            <w:r>
              <w:rPr/>
              <w:t> </w:t>
            </w:r>
          </w:p>
        </w:tc>
        <w:tc>
          <w:tcPr>
            <w:tcW w:w="1194"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118,538</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left"/>
              <w:rPr>
                <w:rFonts w:ascii="times new roman" w:hAnsi="times new roman"/>
                <w:sz w:val="16"/>
              </w:rPr>
            </w:pPr>
            <w:r>
              <w:rPr>
                <w:rFonts w:ascii="times new roman" w:hAnsi="times new roman"/>
                <w:sz w:val="16"/>
              </w:rPr>
              <w:t>Mrs. Jaffee has historically voted these shares consistently with Richard M. Jaffee’s voting of his shares.</w:t>
            </w:r>
          </w:p>
        </w:tc>
        <w:tc>
          <w:tcPr>
            <w:tcW w:w="132" w:type="dxa"/>
            <w:tcBorders/>
            <w:shd w:fill="auto" w:val="clear"/>
            <w:tcMar>
              <w:bottom w:w="0" w:type="dxa"/>
            </w:tcMar>
          </w:tcPr>
          <w:p>
            <w:pPr>
              <w:pStyle w:val="TableContents"/>
              <w:spacing w:before="0" w:after="283"/>
              <w:jc w:val="left"/>
              <w:rPr/>
            </w:pPr>
            <w:r>
              <w:rPr/>
              <w:t> </w:t>
            </w:r>
          </w:p>
        </w:tc>
        <w:tc>
          <w:tcPr>
            <w:tcW w:w="1193"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98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spouse.</w:t>
            </w:r>
          </w:p>
        </w:tc>
        <w:tc>
          <w:tcPr>
            <w:tcW w:w="132" w:type="dxa"/>
            <w:tcBorders/>
            <w:shd w:fill="auto" w:val="clear"/>
            <w:tcMar>
              <w:bottom w:w="0" w:type="dxa"/>
            </w:tcMar>
          </w:tcPr>
          <w:p>
            <w:pPr>
              <w:pStyle w:val="TableContents"/>
              <w:spacing w:before="0" w:after="283"/>
              <w:jc w:val="left"/>
              <w:rPr/>
            </w:pPr>
            <w:r>
              <w:rPr/>
              <w:t> </w:t>
            </w:r>
          </w:p>
        </w:tc>
        <w:tc>
          <w:tcPr>
            <w:tcW w:w="1060"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118,538</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060"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326"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spouse.</w:t>
            </w:r>
          </w:p>
        </w:tc>
      </w:tr>
      <w:tr>
        <w:trPr/>
        <w:tc>
          <w:tcPr>
            <w:tcW w:w="159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Susan Jaffee</w:t>
            </w:r>
          </w:p>
          <w:p>
            <w:pPr>
              <w:pStyle w:val="TableContents"/>
              <w:spacing w:before="0" w:after="0"/>
              <w:ind w:left="0" w:right="0" w:hanging="0"/>
              <w:jc w:val="left"/>
              <w:rPr/>
            </w:pPr>
            <w:r>
              <w:rPr/>
              <w:t> </w:t>
            </w:r>
          </w:p>
        </w:tc>
        <w:tc>
          <w:tcPr>
            <w:tcW w:w="132" w:type="dxa"/>
            <w:tcBorders/>
            <w:shd w:fill="auto" w:val="clear"/>
            <w:tcMar>
              <w:bottom w:w="0" w:type="dxa"/>
            </w:tcMar>
          </w:tcPr>
          <w:p>
            <w:pPr>
              <w:pStyle w:val="TableContents"/>
              <w:spacing w:before="0" w:after="283"/>
              <w:jc w:val="left"/>
              <w:rPr/>
            </w:pPr>
            <w:r>
              <w:rPr/>
              <w:t> </w:t>
            </w:r>
          </w:p>
        </w:tc>
        <w:tc>
          <w:tcPr>
            <w:tcW w:w="1194"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16"/>
              </w:rPr>
              <w:t>37,909</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193"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Common Stock</w:t>
            </w:r>
          </w:p>
        </w:tc>
        <w:tc>
          <w:tcPr>
            <w:tcW w:w="132" w:type="dxa"/>
            <w:tcBorders/>
            <w:shd w:fill="auto" w:val="clear"/>
            <w:tcMar>
              <w:bottom w:w="0" w:type="dxa"/>
            </w:tcMar>
          </w:tcPr>
          <w:p>
            <w:pPr>
              <w:pStyle w:val="TableContents"/>
              <w:spacing w:before="0" w:after="283"/>
              <w:jc w:val="left"/>
              <w:rPr/>
            </w:pPr>
            <w:r>
              <w:rPr/>
              <w:t> </w:t>
            </w:r>
          </w:p>
        </w:tc>
        <w:tc>
          <w:tcPr>
            <w:tcW w:w="198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125 shares of Common Stock held in joint tenancy with former spouse, Richard V. Hardin.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 Hardin has historically voted his shares consistently with Ms. Jaffee’s voting.</w:t>
            </w:r>
          </w:p>
        </w:tc>
        <w:tc>
          <w:tcPr>
            <w:tcW w:w="132" w:type="dxa"/>
            <w:tcBorders/>
            <w:shd w:fill="auto" w:val="clear"/>
            <w:tcMar>
              <w:bottom w:w="0" w:type="dxa"/>
            </w:tcMar>
          </w:tcPr>
          <w:p>
            <w:pPr>
              <w:pStyle w:val="TableContents"/>
              <w:spacing w:before="0" w:after="283"/>
              <w:jc w:val="left"/>
              <w:rPr/>
            </w:pPr>
            <w:r>
              <w:rPr/>
              <w:t> </w:t>
            </w:r>
          </w:p>
        </w:tc>
        <w:tc>
          <w:tcPr>
            <w:tcW w:w="1060"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37,909</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left"/>
              <w:rPr/>
            </w:pPr>
            <w:r>
              <w:rPr/>
              <w:t> </w:t>
            </w:r>
          </w:p>
        </w:tc>
        <w:tc>
          <w:tcPr>
            <w:tcW w:w="132" w:type="dxa"/>
            <w:tcBorders/>
            <w:shd w:fill="auto" w:val="clear"/>
            <w:tcMar>
              <w:bottom w:w="0" w:type="dxa"/>
            </w:tcMar>
          </w:tcPr>
          <w:p>
            <w:pPr>
              <w:pStyle w:val="TableContents"/>
              <w:spacing w:before="0" w:after="283"/>
              <w:jc w:val="left"/>
              <w:rPr/>
            </w:pPr>
            <w:r>
              <w:rPr/>
              <w:t> </w:t>
            </w:r>
          </w:p>
        </w:tc>
        <w:tc>
          <w:tcPr>
            <w:tcW w:w="1060"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Common Stock</w:t>
            </w:r>
          </w:p>
        </w:tc>
        <w:tc>
          <w:tcPr>
            <w:tcW w:w="132" w:type="dxa"/>
            <w:tcBorders/>
            <w:shd w:fill="auto" w:val="clear"/>
            <w:tcMar>
              <w:bottom w:w="0" w:type="dxa"/>
            </w:tcMar>
          </w:tcPr>
          <w:p>
            <w:pPr>
              <w:pStyle w:val="TableContents"/>
              <w:spacing w:before="0" w:after="283"/>
              <w:jc w:val="left"/>
              <w:rPr/>
            </w:pPr>
            <w:r>
              <w:rPr/>
              <w:t> </w:t>
            </w:r>
          </w:p>
        </w:tc>
        <w:tc>
          <w:tcPr>
            <w:tcW w:w="1326"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former spouse, Richard V. Hardin.</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5" w:name="PGBRK14"/>
      <w:bookmarkStart w:id="196" w:name="PGBRK14"/>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FTR14"/>
      <w:bookmarkStart w:id="198" w:name="FTR14"/>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GLFTR14"/>
      <w:bookmarkStart w:id="200" w:name="GLFTR14"/>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1" w:name="PN14"/>
      <w:bookmarkEnd w:id="201"/>
      <w:r>
        <w:rPr>
          <w:rFonts w:ascii="Times New Roman" w:hAnsi="Times New Roman"/>
          <w:sz w:val="20"/>
        </w:rPr>
        <w:t>Page 16of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HDR14"/>
      <w:bookmarkStart w:id="203" w:name="HDR14"/>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 w:name="GLHDR14"/>
      <w:bookmarkStart w:id="205" w:name="GLHDR14"/>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591"/>
        <w:gridCol w:w="132"/>
        <w:gridCol w:w="1192"/>
        <w:gridCol w:w="132"/>
        <w:gridCol w:w="1193"/>
        <w:gridCol w:w="132"/>
        <w:gridCol w:w="1989"/>
        <w:gridCol w:w="132"/>
        <w:gridCol w:w="1061"/>
        <w:gridCol w:w="132"/>
        <w:gridCol w:w="1061"/>
        <w:gridCol w:w="132"/>
        <w:gridCol w:w="1326"/>
      </w:tblGrid>
      <w:tr>
        <w:trPr/>
        <w:tc>
          <w:tcPr>
            <w:tcW w:w="1591"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16"/>
              </w:rPr>
            </w:pPr>
            <w:r>
              <w:rPr>
                <w:rFonts w:ascii="times new roman" w:hAnsi="times new roman"/>
                <w:sz w:val="16"/>
              </w:rPr>
              <w:t>Name</w:t>
            </w:r>
          </w:p>
        </w:tc>
        <w:tc>
          <w:tcPr>
            <w:tcW w:w="132" w:type="dxa"/>
            <w:tcBorders/>
            <w:shd w:fill="auto" w:val="clear"/>
            <w:tcMar>
              <w:bottom w:w="0" w:type="dxa"/>
            </w:tcMar>
            <w:vAlign w:val="bottom"/>
          </w:tcPr>
          <w:p>
            <w:pPr>
              <w:pStyle w:val="TableContents"/>
              <w:spacing w:before="0" w:after="283"/>
              <w:rPr/>
            </w:pPr>
            <w:r>
              <w:rPr/>
              <w:t> </w:t>
            </w:r>
          </w:p>
        </w:tc>
        <w:tc>
          <w:tcPr>
            <w:tcW w:w="119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Sole Voting</w:t>
              <w:br/>
              <w:t>Power</w:t>
            </w:r>
          </w:p>
        </w:tc>
        <w:tc>
          <w:tcPr>
            <w:tcW w:w="132" w:type="dxa"/>
            <w:tcBorders/>
            <w:shd w:fill="auto" w:val="clear"/>
            <w:tcMar>
              <w:bottom w:w="0" w:type="dxa"/>
            </w:tcMar>
            <w:vAlign w:val="bottom"/>
          </w:tcPr>
          <w:p>
            <w:pPr>
              <w:pStyle w:val="TableContents"/>
              <w:spacing w:before="0" w:after="283"/>
              <w:rPr/>
            </w:pPr>
            <w:r>
              <w:rPr/>
              <w:t> </w:t>
            </w:r>
          </w:p>
        </w:tc>
        <w:tc>
          <w:tcPr>
            <w:tcW w:w="119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Shared Voting</w:t>
              <w:br/>
              <w:t>Power</w:t>
            </w:r>
          </w:p>
        </w:tc>
        <w:tc>
          <w:tcPr>
            <w:tcW w:w="132" w:type="dxa"/>
            <w:tcBorders/>
            <w:shd w:fill="auto" w:val="clear"/>
            <w:tcMar>
              <w:bottom w:w="0" w:type="dxa"/>
            </w:tcMar>
            <w:vAlign w:val="bottom"/>
          </w:tcPr>
          <w:p>
            <w:pPr>
              <w:pStyle w:val="TableContents"/>
              <w:spacing w:before="0" w:after="283"/>
              <w:rPr/>
            </w:pPr>
            <w:r>
              <w:rPr/>
              <w:t> </w:t>
            </w:r>
          </w:p>
        </w:tc>
        <w:tc>
          <w:tcPr>
            <w:tcW w:w="198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 Shared Voting</w:t>
              <w:br/>
              <w:t>Power</w:t>
            </w:r>
          </w:p>
        </w:tc>
        <w:tc>
          <w:tcPr>
            <w:tcW w:w="132" w:type="dxa"/>
            <w:tcBorders/>
            <w:shd w:fill="auto" w:val="clear"/>
            <w:tcMar>
              <w:bottom w:w="0" w:type="dxa"/>
            </w:tcMar>
            <w:vAlign w:val="bottom"/>
          </w:tcPr>
          <w:p>
            <w:pPr>
              <w:pStyle w:val="TableContents"/>
              <w:spacing w:before="0" w:after="283"/>
              <w:rPr/>
            </w:pPr>
            <w:r>
              <w:rPr/>
              <w:t> </w:t>
            </w:r>
          </w:p>
        </w:tc>
        <w:tc>
          <w:tcPr>
            <w:tcW w:w="106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Sole</w:t>
              <w:br/>
              <w:t>Dispositive</w:t>
              <w:br/>
              <w:t>Power</w:t>
            </w:r>
          </w:p>
        </w:tc>
        <w:tc>
          <w:tcPr>
            <w:tcW w:w="132" w:type="dxa"/>
            <w:tcBorders/>
            <w:shd w:fill="auto" w:val="clear"/>
            <w:tcMar>
              <w:bottom w:w="0" w:type="dxa"/>
            </w:tcMar>
            <w:vAlign w:val="bottom"/>
          </w:tcPr>
          <w:p>
            <w:pPr>
              <w:pStyle w:val="TableContents"/>
              <w:spacing w:before="0" w:after="283"/>
              <w:rPr/>
            </w:pPr>
            <w:r>
              <w:rPr/>
              <w:t> </w:t>
            </w:r>
          </w:p>
        </w:tc>
        <w:tc>
          <w:tcPr>
            <w:tcW w:w="106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Shared</w:t>
              <w:br/>
              <w:t>Dispositive</w:t>
              <w:br/>
              <w:t>Power</w:t>
            </w:r>
          </w:p>
        </w:tc>
        <w:tc>
          <w:tcPr>
            <w:tcW w:w="132" w:type="dxa"/>
            <w:tcBorders/>
            <w:shd w:fill="auto" w:val="clear"/>
            <w:tcMar>
              <w:bottom w:w="0" w:type="dxa"/>
            </w:tcMar>
            <w:vAlign w:val="bottom"/>
          </w:tcPr>
          <w:p>
            <w:pPr>
              <w:pStyle w:val="TableContents"/>
              <w:spacing w:before="0" w:after="283"/>
              <w:rPr/>
            </w:pPr>
            <w:r>
              <w:rPr/>
              <w:t> </w:t>
            </w:r>
          </w:p>
        </w:tc>
        <w:tc>
          <w:tcPr>
            <w:tcW w:w="1326"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16"/>
              </w:rPr>
            </w:pPr>
            <w:r>
              <w:rPr>
                <w:rFonts w:ascii="times new roman" w:hAnsi="times new roman"/>
                <w:sz w:val="16"/>
              </w:rPr>
              <w:t>Detail of Shared</w:t>
              <w:br/>
              <w:t>Dispositive Power</w:t>
            </w:r>
          </w:p>
        </w:tc>
      </w:tr>
      <w:tr>
        <w:trPr/>
        <w:tc>
          <w:tcPr>
            <w:tcW w:w="159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Karen Jaffee Cofsky</w:t>
            </w:r>
          </w:p>
          <w:p>
            <w:pPr>
              <w:pStyle w:val="TableContents"/>
              <w:spacing w:before="0" w:after="0"/>
              <w:ind w:left="0" w:right="0" w:hanging="0"/>
              <w:jc w:val="left"/>
              <w:rPr/>
            </w:pPr>
            <w:r>
              <w:rPr/>
              <w:t> </w:t>
            </w:r>
          </w:p>
        </w:tc>
        <w:tc>
          <w:tcPr>
            <w:tcW w:w="132" w:type="dxa"/>
            <w:tcBorders/>
            <w:shd w:fill="auto" w:val="clear"/>
            <w:tcMar>
              <w:bottom w:w="0" w:type="dxa"/>
            </w:tcMar>
          </w:tcPr>
          <w:p>
            <w:pPr>
              <w:pStyle w:val="TableContents"/>
              <w:spacing w:before="0" w:after="283"/>
              <w:jc w:val="left"/>
              <w:rPr/>
            </w:pPr>
            <w:r>
              <w:rPr/>
              <w:t> </w:t>
            </w:r>
          </w:p>
        </w:tc>
        <w:tc>
          <w:tcPr>
            <w:tcW w:w="1192"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58,895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right"/>
              <w:rPr/>
            </w:pPr>
            <w:r>
              <w:rPr/>
              <w:t> </w:t>
            </w:r>
            <w:r>
              <w:rPr>
                <w:rFonts w:ascii="times new roman" w:hAnsi="times new roman"/>
                <w:sz w:val="16"/>
              </w:rPr>
              <w:t>74</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Common Stock</w:t>
            </w:r>
          </w:p>
        </w:tc>
        <w:tc>
          <w:tcPr>
            <w:tcW w:w="132" w:type="dxa"/>
            <w:tcBorders/>
            <w:shd w:fill="auto" w:val="clear"/>
            <w:tcMar>
              <w:bottom w:w="0" w:type="dxa"/>
            </w:tcMar>
          </w:tcPr>
          <w:p>
            <w:pPr>
              <w:pStyle w:val="TableContents"/>
              <w:spacing w:before="0" w:after="283"/>
              <w:jc w:val="left"/>
              <w:rPr/>
            </w:pPr>
            <w:r>
              <w:rPr/>
              <w:t> </w:t>
            </w:r>
          </w:p>
        </w:tc>
        <w:tc>
          <w:tcPr>
            <w:tcW w:w="1193"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25,376</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right"/>
              <w:rPr/>
            </w:pPr>
            <w:r>
              <w:rPr/>
              <w:t> </w:t>
            </w:r>
            <w:r>
              <w:rPr>
                <w:rFonts w:ascii="times new roman" w:hAnsi="times new roman"/>
                <w:sz w:val="16"/>
              </w:rPr>
              <w:t>512</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Common Stock</w:t>
            </w:r>
          </w:p>
        </w:tc>
        <w:tc>
          <w:tcPr>
            <w:tcW w:w="132" w:type="dxa"/>
            <w:tcBorders/>
            <w:shd w:fill="auto" w:val="clear"/>
            <w:tcMar>
              <w:bottom w:w="0" w:type="dxa"/>
            </w:tcMar>
          </w:tcPr>
          <w:p>
            <w:pPr>
              <w:pStyle w:val="TableContents"/>
              <w:spacing w:before="0" w:after="283"/>
              <w:jc w:val="left"/>
              <w:rPr/>
            </w:pPr>
            <w:r>
              <w:rPr/>
              <w:t> </w:t>
            </w:r>
          </w:p>
        </w:tc>
        <w:tc>
          <w:tcPr>
            <w:tcW w:w="198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376 shares of Class B Stock held in joint tenancy with spouse.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25,000 shares of Class B Stock are in the form of employee stock options exercisable by spouse, Thomas F. Cofsky, within 60 days of the date of this filing.</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512 shares of Common Stock owned by spouse, Thomas F. Cofsky.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 Cofsky has historically voted his shares consistently with Mrs. Cofsky’s voting.</w:t>
            </w:r>
          </w:p>
        </w:tc>
        <w:tc>
          <w:tcPr>
            <w:tcW w:w="132" w:type="dxa"/>
            <w:tcBorders/>
            <w:shd w:fill="auto" w:val="clear"/>
            <w:tcMar>
              <w:bottom w:w="0" w:type="dxa"/>
            </w:tcMar>
          </w:tcPr>
          <w:p>
            <w:pPr>
              <w:pStyle w:val="TableContents"/>
              <w:spacing w:before="0" w:after="283"/>
              <w:jc w:val="left"/>
              <w:rPr/>
            </w:pPr>
            <w:r>
              <w:rPr/>
              <w:t> </w:t>
            </w:r>
          </w:p>
        </w:tc>
        <w:tc>
          <w:tcPr>
            <w:tcW w:w="1061"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58,895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right"/>
              <w:rPr/>
            </w:pPr>
            <w:r>
              <w:rPr/>
              <w:t> </w:t>
            </w:r>
            <w:r>
              <w:rPr>
                <w:rFonts w:ascii="times new roman" w:hAnsi="times new roman"/>
                <w:sz w:val="16"/>
              </w:rPr>
              <w:t>74</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Common Stock</w:t>
            </w:r>
          </w:p>
        </w:tc>
        <w:tc>
          <w:tcPr>
            <w:tcW w:w="132" w:type="dxa"/>
            <w:tcBorders/>
            <w:shd w:fill="auto" w:val="clear"/>
            <w:tcMar>
              <w:bottom w:w="0" w:type="dxa"/>
            </w:tcMar>
          </w:tcPr>
          <w:p>
            <w:pPr>
              <w:pStyle w:val="TableContents"/>
              <w:spacing w:before="0" w:after="283"/>
              <w:jc w:val="left"/>
              <w:rPr/>
            </w:pPr>
            <w:r>
              <w:rPr/>
              <w:t> </w:t>
            </w:r>
          </w:p>
        </w:tc>
        <w:tc>
          <w:tcPr>
            <w:tcW w:w="1061"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376</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326"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spouse.</w:t>
            </w:r>
          </w:p>
        </w:tc>
      </w:tr>
      <w:tr>
        <w:trPr/>
        <w:tc>
          <w:tcPr>
            <w:tcW w:w="159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Nancy E. Jaffee</w:t>
            </w:r>
          </w:p>
        </w:tc>
        <w:tc>
          <w:tcPr>
            <w:tcW w:w="132" w:type="dxa"/>
            <w:tcBorders/>
            <w:shd w:fill="auto" w:val="clear"/>
            <w:tcMar>
              <w:bottom w:w="0" w:type="dxa"/>
            </w:tcMar>
          </w:tcPr>
          <w:p>
            <w:pPr>
              <w:pStyle w:val="TableContents"/>
              <w:spacing w:before="0" w:after="283"/>
              <w:jc w:val="left"/>
              <w:rPr/>
            </w:pPr>
            <w:r>
              <w:rPr/>
              <w:t> </w:t>
            </w:r>
          </w:p>
        </w:tc>
        <w:tc>
          <w:tcPr>
            <w:tcW w:w="1192"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36,163</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right"/>
              <w:rPr/>
            </w:pPr>
            <w:r>
              <w:rPr/>
              <w:t> </w:t>
            </w:r>
            <w:r>
              <w:rPr>
                <w:rFonts w:ascii="times new roman" w:hAnsi="times new roman"/>
                <w:sz w:val="16"/>
              </w:rPr>
              <w:t>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Common Stock</w:t>
            </w:r>
          </w:p>
        </w:tc>
        <w:tc>
          <w:tcPr>
            <w:tcW w:w="132" w:type="dxa"/>
            <w:tcBorders/>
            <w:shd w:fill="auto" w:val="clear"/>
            <w:tcMar>
              <w:bottom w:w="0" w:type="dxa"/>
            </w:tcMar>
          </w:tcPr>
          <w:p>
            <w:pPr>
              <w:pStyle w:val="TableContents"/>
              <w:spacing w:before="0" w:after="283"/>
              <w:jc w:val="left"/>
              <w:rPr/>
            </w:pPr>
            <w:r>
              <w:rPr/>
              <w:t> </w:t>
            </w:r>
          </w:p>
        </w:tc>
        <w:tc>
          <w:tcPr>
            <w:tcW w:w="1193"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98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spouse.</w:t>
            </w:r>
          </w:p>
          <w:p>
            <w:pPr>
              <w:pStyle w:val="TableContents"/>
              <w:spacing w:before="0" w:after="0"/>
              <w:ind w:left="0" w:right="0" w:hanging="0"/>
              <w:jc w:val="left"/>
              <w:rPr/>
            </w:pPr>
            <w:r>
              <w:rPr/>
              <w:t> </w:t>
            </w:r>
          </w:p>
        </w:tc>
        <w:tc>
          <w:tcPr>
            <w:tcW w:w="132" w:type="dxa"/>
            <w:tcBorders/>
            <w:shd w:fill="auto" w:val="clear"/>
            <w:tcMar>
              <w:bottom w:w="0" w:type="dxa"/>
            </w:tcMar>
          </w:tcPr>
          <w:p>
            <w:pPr>
              <w:pStyle w:val="TableContents"/>
              <w:spacing w:before="0" w:after="283"/>
              <w:jc w:val="left"/>
              <w:rPr/>
            </w:pPr>
            <w:r>
              <w:rPr/>
              <w:t> </w:t>
            </w:r>
          </w:p>
        </w:tc>
        <w:tc>
          <w:tcPr>
            <w:tcW w:w="1061"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36,163</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right"/>
              <w:rPr/>
            </w:pPr>
            <w:r>
              <w:rPr/>
              <w:t> </w:t>
            </w:r>
            <w:r>
              <w:rPr>
                <w:rFonts w:ascii="times new roman" w:hAnsi="times new roman"/>
                <w:sz w:val="16"/>
              </w:rPr>
              <w:t>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Common Stock</w:t>
            </w:r>
          </w:p>
        </w:tc>
        <w:tc>
          <w:tcPr>
            <w:tcW w:w="132" w:type="dxa"/>
            <w:tcBorders/>
            <w:shd w:fill="auto" w:val="clear"/>
            <w:tcMar>
              <w:bottom w:w="0" w:type="dxa"/>
            </w:tcMar>
          </w:tcPr>
          <w:p>
            <w:pPr>
              <w:pStyle w:val="TableContents"/>
              <w:spacing w:before="0" w:after="283"/>
              <w:jc w:val="left"/>
              <w:rPr/>
            </w:pPr>
            <w:r>
              <w:rPr/>
              <w:t> </w:t>
            </w:r>
          </w:p>
        </w:tc>
        <w:tc>
          <w:tcPr>
            <w:tcW w:w="1061"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326"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spouse.</w:t>
            </w:r>
          </w:p>
          <w:p>
            <w:pPr>
              <w:pStyle w:val="TableContents"/>
              <w:spacing w:before="0" w:after="0"/>
              <w:ind w:left="0" w:right="0" w:hanging="0"/>
              <w:jc w:val="left"/>
              <w:rPr/>
            </w:pPr>
            <w:r>
              <w:rPr/>
              <w:t> </w:t>
            </w:r>
          </w:p>
        </w:tc>
      </w:tr>
      <w:tr>
        <w:trPr/>
        <w:tc>
          <w:tcPr>
            <w:tcW w:w="1591"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Daniel S. Jaffee</w:t>
            </w:r>
          </w:p>
          <w:p>
            <w:pPr>
              <w:pStyle w:val="TableContents"/>
              <w:spacing w:before="0" w:after="0"/>
              <w:ind w:left="0" w:right="0" w:hanging="0"/>
              <w:jc w:val="left"/>
              <w:rPr/>
            </w:pPr>
            <w:r>
              <w:rPr/>
              <w:t> </w:t>
            </w:r>
          </w:p>
        </w:tc>
        <w:tc>
          <w:tcPr>
            <w:tcW w:w="132" w:type="dxa"/>
            <w:tcBorders/>
            <w:shd w:fill="auto" w:val="clear"/>
            <w:tcMar>
              <w:bottom w:w="0" w:type="dxa"/>
            </w:tcMar>
          </w:tcPr>
          <w:p>
            <w:pPr>
              <w:pStyle w:val="TableContents"/>
              <w:spacing w:before="0" w:after="283"/>
              <w:jc w:val="right"/>
              <w:rPr/>
            </w:pPr>
            <w:r>
              <w:rPr/>
              <w:t> </w:t>
            </w:r>
          </w:p>
        </w:tc>
        <w:tc>
          <w:tcPr>
            <w:tcW w:w="1192"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287,153</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right"/>
              <w:rPr/>
            </w:pPr>
            <w:r>
              <w:rPr/>
              <w:t> </w:t>
            </w:r>
          </w:p>
        </w:tc>
        <w:tc>
          <w:tcPr>
            <w:tcW w:w="132" w:type="dxa"/>
            <w:tcBorders/>
            <w:shd w:fill="auto" w:val="clear"/>
            <w:tcMar>
              <w:bottom w:w="0" w:type="dxa"/>
            </w:tcMar>
          </w:tcPr>
          <w:p>
            <w:pPr>
              <w:pStyle w:val="TableContents"/>
              <w:spacing w:before="0" w:after="283"/>
              <w:jc w:val="left"/>
              <w:rPr/>
            </w:pPr>
            <w:r>
              <w:rPr/>
              <w:t> </w:t>
            </w:r>
          </w:p>
        </w:tc>
        <w:tc>
          <w:tcPr>
            <w:tcW w:w="1193"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127</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p>
            <w:pPr>
              <w:pStyle w:val="TableContents"/>
              <w:spacing w:before="0" w:after="0"/>
              <w:ind w:left="0" w:right="0" w:hanging="0"/>
              <w:jc w:val="left"/>
              <w:rPr/>
            </w:pPr>
            <w:r>
              <w:rPr/>
              <w:t> </w:t>
            </w:r>
          </w:p>
        </w:tc>
        <w:tc>
          <w:tcPr>
            <w:tcW w:w="132" w:type="dxa"/>
            <w:tcBorders/>
            <w:shd w:fill="auto" w:val="clear"/>
            <w:tcMar>
              <w:bottom w:w="0" w:type="dxa"/>
            </w:tcMar>
          </w:tcPr>
          <w:p>
            <w:pPr>
              <w:pStyle w:val="TableContents"/>
              <w:spacing w:before="0" w:after="283"/>
              <w:jc w:val="left"/>
              <w:rPr/>
            </w:pPr>
            <w:r>
              <w:rPr/>
              <w:t> </w:t>
            </w:r>
          </w:p>
        </w:tc>
        <w:tc>
          <w:tcPr>
            <w:tcW w:w="1989"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125 shares of Class B Stock held in joint tenancy with spouse and 2 shares of Class B Stock owned by spouse, Heidi M. Jaffee.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16"/>
              </w:rPr>
            </w:pPr>
            <w:r>
              <w:rPr>
                <w:rFonts w:ascii="times new roman" w:hAnsi="times new roman"/>
                <w:sz w:val="16"/>
              </w:rPr>
              <w:t>Mrs. Jaffee has historically voted her shares consistently with Mr. Jaffee’s voting.</w:t>
            </w:r>
          </w:p>
        </w:tc>
        <w:tc>
          <w:tcPr>
            <w:tcW w:w="132" w:type="dxa"/>
            <w:tcBorders/>
            <w:shd w:fill="auto" w:val="clear"/>
            <w:tcMar>
              <w:bottom w:w="0" w:type="dxa"/>
            </w:tcMar>
          </w:tcPr>
          <w:p>
            <w:pPr>
              <w:pStyle w:val="TableContents"/>
              <w:spacing w:before="0" w:after="283"/>
              <w:jc w:val="right"/>
              <w:rPr/>
            </w:pPr>
            <w:r>
              <w:rPr/>
              <w:t> </w:t>
            </w:r>
          </w:p>
        </w:tc>
        <w:tc>
          <w:tcPr>
            <w:tcW w:w="1061" w:type="dxa"/>
            <w:tcBorders/>
            <w:shd w:fill="auto" w:val="clear"/>
            <w:tcMar>
              <w:bottom w:w="0" w:type="dxa"/>
            </w:tcMar>
          </w:tcPr>
          <w:p>
            <w:pPr>
              <w:pStyle w:val="TableContents"/>
              <w:spacing w:before="0" w:after="0"/>
              <w:ind w:left="0" w:right="0" w:hanging="0"/>
              <w:jc w:val="right"/>
              <w:rPr>
                <w:rFonts w:ascii="times new roman" w:hAnsi="times new roman"/>
                <w:sz w:val="16"/>
              </w:rPr>
            </w:pPr>
            <w:r>
              <w:rPr>
                <w:rFonts w:ascii="times new roman" w:hAnsi="times new roman"/>
                <w:sz w:val="16"/>
              </w:rPr>
              <w:t>152,038</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061" w:type="dxa"/>
            <w:tcBorders/>
            <w:shd w:fill="auto" w:val="clear"/>
            <w:tcMar>
              <w:bottom w:w="0" w:type="dxa"/>
            </w:tcMar>
          </w:tcPr>
          <w:p>
            <w:pPr>
              <w:pStyle w:val="TableContents"/>
              <w:spacing w:before="0" w:after="0"/>
              <w:ind w:left="0" w:right="0" w:hanging="0"/>
              <w:jc w:val="right"/>
              <w:rPr/>
            </w:pPr>
            <w:r>
              <w:rPr/>
              <w:t> </w:t>
            </w:r>
            <w:r>
              <w:rPr>
                <w:rFonts w:ascii="times new roman" w:hAnsi="times new roman"/>
                <w:sz w:val="16"/>
              </w:rPr>
              <w:t>125</w:t>
            </w:r>
          </w:p>
          <w:p>
            <w:pPr>
              <w:pStyle w:val="TableContents"/>
              <w:spacing w:before="0" w:after="0"/>
              <w:ind w:left="0" w:right="0" w:hanging="0"/>
              <w:jc w:val="right"/>
              <w:rPr>
                <w:rFonts w:ascii="times new roman" w:hAnsi="times new roman"/>
                <w:sz w:val="16"/>
              </w:rPr>
            </w:pPr>
            <w:r>
              <w:rPr>
                <w:rFonts w:ascii="times new roman" w:hAnsi="times new roman"/>
                <w:sz w:val="16"/>
              </w:rPr>
              <w:t>shares of Class B Stock</w:t>
            </w:r>
          </w:p>
        </w:tc>
        <w:tc>
          <w:tcPr>
            <w:tcW w:w="132" w:type="dxa"/>
            <w:tcBorders/>
            <w:shd w:fill="auto" w:val="clear"/>
            <w:tcMar>
              <w:bottom w:w="0" w:type="dxa"/>
            </w:tcMar>
          </w:tcPr>
          <w:p>
            <w:pPr>
              <w:pStyle w:val="TableContents"/>
              <w:spacing w:before="0" w:after="283"/>
              <w:jc w:val="left"/>
              <w:rPr/>
            </w:pPr>
            <w:r>
              <w:rPr/>
              <w:t> </w:t>
            </w:r>
          </w:p>
        </w:tc>
        <w:tc>
          <w:tcPr>
            <w:tcW w:w="1326"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Held in joint tenancy with spouse.</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Daniel S. Jaffee currently has no dispositive power over 135,115 shares of restricted Class B Stock. Mr. Jaffee will acquire dispositive power over those shares when they vest and become non-forfeitable as follows: (i) 25,000 shares on October 6, 2011, and an additional 25,000 shares on each of the four subsequent anniversaries of that date, (ii) 5,182 shares on July 31, 2012, and (iii) 4,933 shares on July 31, 2013, in each instance provided Mr. Jaffee is employed by the Issuer on the date indicated.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6" w:name="PGBRK15"/>
      <w:bookmarkStart w:id="207" w:name="PGBRK15"/>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 w:name="FTR15"/>
      <w:bookmarkStart w:id="209" w:name="FTR15"/>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GLFTR15"/>
      <w:bookmarkStart w:id="211" w:name="GLFTR15"/>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2" w:name="PN15"/>
      <w:bookmarkEnd w:id="212"/>
      <w:r>
        <w:rPr>
          <w:rFonts w:ascii="Times New Roman" w:hAnsi="Times New Roman"/>
          <w:sz w:val="20"/>
        </w:rPr>
        <w:t>Page 17of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15"/>
      <w:bookmarkStart w:id="214" w:name="HDR15"/>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GLHDR15"/>
      <w:bookmarkStart w:id="216" w:name="GLHDR15"/>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217" w:name="TAB129"/>
      <w:bookmarkEnd w:id="217"/>
      <w:r>
        <w:rPr>
          <w:rFonts w:ascii="Times New Roman" w:hAnsi="Times New Roman"/>
          <w:sz w:val="20"/>
        </w:rPr>
        <w:t>(c)           Transactions in last 60 days for each Reporting Person named in Item 2 are shown below.</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040"/>
        <w:gridCol w:w="102"/>
        <w:gridCol w:w="1224"/>
        <w:gridCol w:w="102"/>
        <w:gridCol w:w="2552"/>
        <w:gridCol w:w="101"/>
        <w:gridCol w:w="4084"/>
      </w:tblGrid>
      <w:tr>
        <w:trPr/>
        <w:tc>
          <w:tcPr>
            <w:tcW w:w="2040"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102" w:type="dxa"/>
            <w:tcBorders/>
            <w:shd w:fill="auto" w:val="clear"/>
            <w:tcMar>
              <w:bottom w:w="0" w:type="dxa"/>
            </w:tcMar>
            <w:vAlign w:val="bottom"/>
          </w:tcPr>
          <w:p>
            <w:pPr>
              <w:pStyle w:val="TableContents"/>
              <w:spacing w:before="0" w:after="283"/>
              <w:jc w:val="left"/>
              <w:rPr/>
            </w:pPr>
            <w:r>
              <w:rPr/>
              <w:t> </w:t>
            </w:r>
          </w:p>
        </w:tc>
        <w:tc>
          <w:tcPr>
            <w:tcW w:w="122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Date</w:t>
            </w:r>
          </w:p>
        </w:tc>
        <w:tc>
          <w:tcPr>
            <w:tcW w:w="102" w:type="dxa"/>
            <w:tcBorders/>
            <w:shd w:fill="auto" w:val="clear"/>
            <w:tcMar>
              <w:bottom w:w="0" w:type="dxa"/>
            </w:tcMar>
            <w:vAlign w:val="bottom"/>
          </w:tcPr>
          <w:p>
            <w:pPr>
              <w:pStyle w:val="TableContents"/>
              <w:spacing w:before="0" w:after="283"/>
              <w:jc w:val="left"/>
              <w:rPr/>
            </w:pPr>
            <w:r>
              <w:rPr/>
              <w:t> </w:t>
            </w:r>
          </w:p>
        </w:tc>
        <w:tc>
          <w:tcPr>
            <w:tcW w:w="2552"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Number of Securities</w:t>
              <w:br/>
              <w:t>Involved</w:t>
            </w:r>
          </w:p>
        </w:tc>
        <w:tc>
          <w:tcPr>
            <w:tcW w:w="101" w:type="dxa"/>
            <w:tcBorders/>
            <w:shd w:fill="auto" w:val="clear"/>
            <w:tcMar>
              <w:bottom w:w="0" w:type="dxa"/>
            </w:tcMar>
            <w:vAlign w:val="bottom"/>
          </w:tcPr>
          <w:p>
            <w:pPr>
              <w:pStyle w:val="TableContents"/>
              <w:spacing w:before="0" w:after="283"/>
              <w:jc w:val="left"/>
              <w:rPr/>
            </w:pPr>
            <w:r>
              <w:rPr/>
              <w:t> </w:t>
            </w:r>
          </w:p>
        </w:tc>
        <w:tc>
          <w:tcPr>
            <w:tcW w:w="40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Nature of Transaction</w:t>
            </w:r>
          </w:p>
        </w:tc>
      </w:tr>
      <w:tr>
        <w:trPr/>
        <w:tc>
          <w:tcPr>
            <w:tcW w:w="2040"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Daniel S. Jaffee</w:t>
            </w:r>
          </w:p>
        </w:tc>
        <w:tc>
          <w:tcPr>
            <w:tcW w:w="102" w:type="dxa"/>
            <w:tcBorders/>
            <w:shd w:fill="auto" w:val="clear"/>
            <w:tcMar>
              <w:bottom w:w="0" w:type="dxa"/>
            </w:tcMar>
          </w:tcPr>
          <w:p>
            <w:pPr>
              <w:pStyle w:val="TableContents"/>
              <w:spacing w:before="0" w:after="283"/>
              <w:jc w:val="left"/>
              <w:rPr/>
            </w:pPr>
            <w:r>
              <w:rPr/>
              <w:t> </w:t>
            </w:r>
          </w:p>
        </w:tc>
        <w:tc>
          <w:tcPr>
            <w:tcW w:w="122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10/06/2010</w:t>
            </w:r>
          </w:p>
        </w:tc>
        <w:tc>
          <w:tcPr>
            <w:tcW w:w="102" w:type="dxa"/>
            <w:tcBorders/>
            <w:shd w:fill="auto" w:val="clear"/>
            <w:tcMar>
              <w:bottom w:w="0" w:type="dxa"/>
            </w:tcMar>
          </w:tcPr>
          <w:p>
            <w:pPr>
              <w:pStyle w:val="TableContents"/>
              <w:spacing w:before="0" w:after="283"/>
              <w:jc w:val="left"/>
              <w:rPr/>
            </w:pPr>
            <w:r>
              <w:rPr/>
              <w:t> </w:t>
            </w:r>
          </w:p>
        </w:tc>
        <w:tc>
          <w:tcPr>
            <w:tcW w:w="2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4,933 shares of restricted Class B Stock</w:t>
            </w:r>
          </w:p>
        </w:tc>
        <w:tc>
          <w:tcPr>
            <w:tcW w:w="101" w:type="dxa"/>
            <w:tcBorders/>
            <w:shd w:fill="auto" w:val="clear"/>
            <w:tcMar>
              <w:bottom w:w="0" w:type="dxa"/>
            </w:tcMar>
          </w:tcPr>
          <w:p>
            <w:pPr>
              <w:pStyle w:val="TableContents"/>
              <w:spacing w:before="0" w:after="283"/>
              <w:jc w:val="left"/>
              <w:rPr/>
            </w:pPr>
            <w:r>
              <w:rPr/>
              <w:t> </w:t>
            </w:r>
          </w:p>
        </w:tc>
        <w:tc>
          <w:tcPr>
            <w:tcW w:w="408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Grant by the Issuer. Restricted stock will “cliff” vest on July 31, 2013, provided Mr. Jaffee is employed by the Issuer on that date.</w:t>
            </w:r>
          </w:p>
        </w:tc>
      </w:tr>
      <w:tr>
        <w:trPr/>
        <w:tc>
          <w:tcPr>
            <w:tcW w:w="2040"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Daniel S. Jaffee</w:t>
            </w:r>
          </w:p>
        </w:tc>
        <w:tc>
          <w:tcPr>
            <w:tcW w:w="102" w:type="dxa"/>
            <w:tcBorders/>
            <w:shd w:fill="auto" w:val="clear"/>
            <w:tcMar>
              <w:bottom w:w="0" w:type="dxa"/>
            </w:tcMar>
          </w:tcPr>
          <w:p>
            <w:pPr>
              <w:pStyle w:val="TableContents"/>
              <w:spacing w:before="0" w:after="283"/>
              <w:jc w:val="left"/>
              <w:rPr/>
            </w:pPr>
            <w:r>
              <w:rPr/>
              <w:t> </w:t>
            </w:r>
          </w:p>
        </w:tc>
        <w:tc>
          <w:tcPr>
            <w:tcW w:w="122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10/06/2010</w:t>
            </w:r>
          </w:p>
        </w:tc>
        <w:tc>
          <w:tcPr>
            <w:tcW w:w="102" w:type="dxa"/>
            <w:tcBorders/>
            <w:shd w:fill="auto" w:val="clear"/>
            <w:tcMar>
              <w:bottom w:w="0" w:type="dxa"/>
            </w:tcMar>
          </w:tcPr>
          <w:p>
            <w:pPr>
              <w:pStyle w:val="TableContents"/>
              <w:spacing w:before="0" w:after="283"/>
              <w:jc w:val="left"/>
              <w:rPr/>
            </w:pPr>
            <w:r>
              <w:rPr/>
              <w:t> </w:t>
            </w:r>
          </w:p>
        </w:tc>
        <w:tc>
          <w:tcPr>
            <w:tcW w:w="2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125,000 shares of restricted Class B Stock</w:t>
            </w:r>
          </w:p>
        </w:tc>
        <w:tc>
          <w:tcPr>
            <w:tcW w:w="101" w:type="dxa"/>
            <w:tcBorders/>
            <w:shd w:fill="auto" w:val="clear"/>
            <w:tcMar>
              <w:bottom w:w="0" w:type="dxa"/>
            </w:tcMar>
          </w:tcPr>
          <w:p>
            <w:pPr>
              <w:pStyle w:val="TableContents"/>
              <w:spacing w:before="0" w:after="283"/>
              <w:jc w:val="left"/>
              <w:rPr/>
            </w:pPr>
            <w:r>
              <w:rPr/>
              <w:t> </w:t>
            </w:r>
          </w:p>
        </w:tc>
        <w:tc>
          <w:tcPr>
            <w:tcW w:w="408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Grant by the Issuer. Restricted stock will vest in 20% increments beginning October 6, 2011, and on each of the four subsequent anniversaries of that date, provided Mr. Jaffee is employed by the Issuer on those dates.</w:t>
            </w:r>
          </w:p>
        </w:tc>
      </w:tr>
      <w:tr>
        <w:trPr/>
        <w:tc>
          <w:tcPr>
            <w:tcW w:w="2040"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Daniel S. Jaffee</w:t>
            </w:r>
          </w:p>
        </w:tc>
        <w:tc>
          <w:tcPr>
            <w:tcW w:w="102" w:type="dxa"/>
            <w:tcBorders/>
            <w:shd w:fill="auto" w:val="clear"/>
            <w:tcMar>
              <w:bottom w:w="0" w:type="dxa"/>
            </w:tcMar>
          </w:tcPr>
          <w:p>
            <w:pPr>
              <w:pStyle w:val="TableContents"/>
              <w:spacing w:before="0" w:after="283"/>
              <w:jc w:val="left"/>
              <w:rPr/>
            </w:pPr>
            <w:r>
              <w:rPr/>
              <w:t> </w:t>
            </w:r>
          </w:p>
        </w:tc>
        <w:tc>
          <w:tcPr>
            <w:tcW w:w="122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10/26/2010</w:t>
            </w:r>
          </w:p>
        </w:tc>
        <w:tc>
          <w:tcPr>
            <w:tcW w:w="102" w:type="dxa"/>
            <w:tcBorders/>
            <w:shd w:fill="auto" w:val="clear"/>
            <w:tcMar>
              <w:bottom w:w="0" w:type="dxa"/>
            </w:tcMar>
          </w:tcPr>
          <w:p>
            <w:pPr>
              <w:pStyle w:val="TableContents"/>
              <w:spacing w:before="0" w:after="283"/>
              <w:jc w:val="left"/>
              <w:rPr/>
            </w:pPr>
            <w:r>
              <w:rPr/>
              <w:t> </w:t>
            </w:r>
          </w:p>
        </w:tc>
        <w:tc>
          <w:tcPr>
            <w:tcW w:w="2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331 shares of Class B Stock</w:t>
            </w:r>
          </w:p>
        </w:tc>
        <w:tc>
          <w:tcPr>
            <w:tcW w:w="101" w:type="dxa"/>
            <w:tcBorders/>
            <w:shd w:fill="auto" w:val="clear"/>
            <w:tcMar>
              <w:bottom w:w="0" w:type="dxa"/>
            </w:tcMar>
          </w:tcPr>
          <w:p>
            <w:pPr>
              <w:pStyle w:val="TableContents"/>
              <w:spacing w:before="0" w:after="283"/>
              <w:jc w:val="left"/>
              <w:rPr/>
            </w:pPr>
            <w:r>
              <w:rPr/>
              <w:t> </w:t>
            </w:r>
          </w:p>
        </w:tc>
        <w:tc>
          <w:tcPr>
            <w:tcW w:w="408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Private purchase from Susan Jaffee</w:t>
            </w:r>
          </w:p>
        </w:tc>
      </w:tr>
      <w:tr>
        <w:trPr/>
        <w:tc>
          <w:tcPr>
            <w:tcW w:w="2040"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Susan Jaffee</w:t>
            </w:r>
          </w:p>
        </w:tc>
        <w:tc>
          <w:tcPr>
            <w:tcW w:w="102" w:type="dxa"/>
            <w:tcBorders/>
            <w:shd w:fill="auto" w:val="clear"/>
            <w:tcMar>
              <w:bottom w:w="0" w:type="dxa"/>
            </w:tcMar>
          </w:tcPr>
          <w:p>
            <w:pPr>
              <w:pStyle w:val="TableContents"/>
              <w:spacing w:before="0" w:after="283"/>
              <w:jc w:val="left"/>
              <w:rPr/>
            </w:pPr>
            <w:r>
              <w:rPr/>
              <w:t> </w:t>
            </w:r>
          </w:p>
        </w:tc>
        <w:tc>
          <w:tcPr>
            <w:tcW w:w="122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10/26/2010</w:t>
            </w:r>
          </w:p>
        </w:tc>
        <w:tc>
          <w:tcPr>
            <w:tcW w:w="102" w:type="dxa"/>
            <w:tcBorders/>
            <w:shd w:fill="auto" w:val="clear"/>
            <w:tcMar>
              <w:bottom w:w="0" w:type="dxa"/>
            </w:tcMar>
          </w:tcPr>
          <w:p>
            <w:pPr>
              <w:pStyle w:val="TableContents"/>
              <w:spacing w:before="0" w:after="283"/>
              <w:jc w:val="left"/>
              <w:rPr/>
            </w:pPr>
            <w:r>
              <w:rPr/>
              <w:t> </w:t>
            </w:r>
          </w:p>
        </w:tc>
        <w:tc>
          <w:tcPr>
            <w:tcW w:w="2552"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331 shares of Class B Stock</w:t>
            </w:r>
          </w:p>
        </w:tc>
        <w:tc>
          <w:tcPr>
            <w:tcW w:w="101" w:type="dxa"/>
            <w:tcBorders/>
            <w:shd w:fill="auto" w:val="clear"/>
            <w:tcMar>
              <w:bottom w:w="0" w:type="dxa"/>
            </w:tcMar>
          </w:tcPr>
          <w:p>
            <w:pPr>
              <w:pStyle w:val="TableContents"/>
              <w:spacing w:before="0" w:after="283"/>
              <w:jc w:val="left"/>
              <w:rPr/>
            </w:pPr>
            <w:r>
              <w:rPr/>
              <w:t> </w:t>
            </w:r>
          </w:p>
        </w:tc>
        <w:tc>
          <w:tcPr>
            <w:tcW w:w="4084" w:type="dxa"/>
            <w:tcBorders/>
            <w:shd w:fill="auto" w:val="clear"/>
            <w:tcMar>
              <w:bottom w:w="0" w:type="dxa"/>
            </w:tcMar>
          </w:tcPr>
          <w:p>
            <w:pPr>
              <w:pStyle w:val="TableContents"/>
              <w:spacing w:before="0" w:after="0"/>
              <w:ind w:left="0" w:right="0" w:hanging="0"/>
              <w:jc w:val="left"/>
              <w:rPr>
                <w:rFonts w:ascii="times new roman" w:hAnsi="times new roman"/>
                <w:sz w:val="16"/>
              </w:rPr>
            </w:pPr>
            <w:r>
              <w:rPr>
                <w:rFonts w:ascii="times new roman" w:hAnsi="times new roman"/>
                <w:sz w:val="16"/>
              </w:rPr>
              <w:t>Private sale to Daniel S. Jaffee</w:t>
            </w:r>
          </w:p>
        </w:tc>
      </w:tr>
    </w:tbl>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218" w:name="TAB130"/>
      <w:bookmarkEnd w:id="218"/>
      <w:r>
        <w:rPr>
          <w:rFonts w:ascii="Times New Roman" w:hAnsi="Times New Roman"/>
          <w:sz w:val="20"/>
        </w:rPr>
        <w:t>(d)           As to each Reporting Person, no person other than the Reporting Person has the right to receive or the power to direct the receipt of dividends from or the proceeds from the sale of, any of the shares referred to in Item 5(a) above, except for shares for which their ownership is identified in Item 5(b) above as indirect, held in joint tenancy with spouse or former spouses or owned by the Reporting Person’s spouse.</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19" w:name="TAB131"/>
      <w:bookmarkEnd w:id="219"/>
      <w:r>
        <w:rPr>
          <w:rFonts w:ascii="Times New Roman" w:hAnsi="Times New Roman"/>
          <w:sz w:val="20"/>
        </w:rPr>
        <w:t>(e)           Not applicable.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6           Contracts, Arrangements, Understandings or Relationships With Respect to Securities of the Issuer</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20" w:name="TAB132"/>
      <w:bookmarkEnd w:id="220"/>
      <w:r>
        <w:rPr>
          <w:rFonts w:ascii="Times New Roman" w:hAnsi="Times New Roman"/>
          <w:sz w:val="20"/>
        </w:rPr>
        <w:t>The Limited Partnership Agreement of the Jaffee Investment Partnership, L.P., as amended by Amendment No. 1 thereto (as amended, the “Agreement”) provides that, subject to the limitations of the Agreement, the General Partners manage the partnership business, with all rights and powers of general partners as provided in the Delaware Revised Uniform Partnership Act. It further provides that certain decisions (distributions to Partners, sale, assignment or mortgage of, grant of security interest in, or pledge of, a Partnership Interest, borrowing, or lending, or purchasing of any security) cannot be made and, unless otherwise specifically provided in the Agreement, other decisions and acts cannot be taken, unless approved by a majority of the Units held by General Partners; no General Partner holds more than three of the outstanding ten Units. It grants the power and authority over day-to-day decisions to Richard M. Jaffee as Managing General Partner. (Day-to-day decisions include the investment and reinvestment of Partnership assets in any property, including stock of any corporation, and execution of any documents deemed by the Managing General Partner to be necessary for the Partnership to conduct its business.)  The Agreement is not clear as to whether Richard M. Jaffee, as the Managing General Partner, has the power to unilaterally dispose of or vote Issuer securities held by the Partnership, and as to whether, if he has such power, it can be overridden by action of the General Partners by a majority of the Units. Accordingly, based on consultation with counsel, Mr. Jaffee acknowledges the possibility, for purposes of Regulation 13D, that he could be deemed to beneficially own, but disclaims ownership of, the Partnership’s 1,250,000 shares of Class B Stock (and the 1,250,000 shares of Common Stock into which such Class B Stock is convertible), which would be in addition to the Class B Stock and Common Stock otherwise shown herein as owned by him. The foregoing summary of the Agreement is qualified in its entirety by reference to the terms of the Jaffee Investment Partnership Agreement and Amendment No. 1 thereto, copies of which are filed as Exhibits 2 and 3 to this Amendment No. 7 to this Schedule 13D and are incorporated herein by reference.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 w:name="PGBRK16"/>
      <w:bookmarkStart w:id="222" w:name="PGBRK16"/>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FTR16"/>
      <w:bookmarkStart w:id="224" w:name="FTR16"/>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GLFTR16"/>
      <w:bookmarkStart w:id="226" w:name="GLFTR16"/>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7" w:name="PN16"/>
      <w:bookmarkEnd w:id="227"/>
      <w:r>
        <w:rPr>
          <w:rFonts w:ascii="Times New Roman" w:hAnsi="Times New Roman"/>
          <w:sz w:val="20"/>
        </w:rPr>
        <w:t>Page 18of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HDR16"/>
      <w:bookmarkStart w:id="229" w:name="HDR16"/>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GLHDR16"/>
      <w:bookmarkStart w:id="231" w:name="GLHDR16"/>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232" w:name="TAB133"/>
      <w:bookmarkEnd w:id="232"/>
      <w:r>
        <w:rPr>
          <w:rFonts w:ascii="Times New Roman" w:hAnsi="Times New Roman"/>
          <w:sz w:val="20"/>
        </w:rPr>
        <w:t>The information regarding Rule 10b5-1 Sales Plans set forth in Item 4 is hereby incorporated by reference into this Item 6.</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33" w:name="TAB134"/>
      <w:bookmarkEnd w:id="233"/>
      <w:r>
        <w:rPr>
          <w:rFonts w:ascii="Times New Roman" w:hAnsi="Times New Roman"/>
          <w:sz w:val="20"/>
        </w:rPr>
        <w:t>The Issuer, by action of its compensation committee, stated on October 6, 2010, its current intention to grant to Daniel S. Jaffee and to Thomas F. Cofsky, the spouse of Individual Reporting Person Karen Jaffee Cofsky, following the Issuer’s fiscal year ending July 31, 2011, an award of restricted shares of Class B Stock, the dollar value of which would equal the amount, if any, of the bonus each would have received under the deferred bonus portion of the Issuer’s annual incentive compensation plan, if each individual had been a participant in that portion of the plan. Both Mr. Jaffee and Mr. Cofsky had requested that they not be participants in the deferred bonus portion of the annual incentive plan.</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34" w:name="TAB135"/>
      <w:bookmarkEnd w:id="234"/>
      <w:r>
        <w:rPr>
          <w:rFonts w:ascii="Times New Roman" w:hAnsi="Times New Roman"/>
          <w:sz w:val="20"/>
        </w:rPr>
        <w:t>Other than as described herein, in Item 4 and Item 6 of this Amendment No. 7 to this Schedule 13D, and in the exhibits hereto (including the joint filing agreement, Rule 10b5-1 Sales Plans and related correspondence), there are no contracts, arrangements or understandings among the Reporting Persons or between any of the Reporting Persons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 and the Reporting Persons have not pledged securities of the Issuer nor are the securities of the Issuer held by the Reporting Persons subject to a contingency, the occurrence of which would give another person voting power or investment power over such securities.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5" w:name="PGBRK17"/>
      <w:bookmarkStart w:id="236" w:name="PGBRK17"/>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FTR17"/>
      <w:bookmarkStart w:id="238" w:name="FTR17"/>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GLFTR17"/>
      <w:bookmarkStart w:id="240" w:name="GLFTR17"/>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1" w:name="PN17"/>
      <w:bookmarkEnd w:id="241"/>
      <w:r>
        <w:rPr>
          <w:rFonts w:ascii="Times New Roman" w:hAnsi="Times New Roman"/>
          <w:sz w:val="20"/>
        </w:rPr>
        <w:t>Page 19of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HDR17"/>
      <w:bookmarkStart w:id="243" w:name="HDR17"/>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GLHDR17"/>
      <w:bookmarkStart w:id="245" w:name="GLHDR17"/>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          Material to be Filed as Exhibits</w:t>
      </w:r>
    </w:p>
    <w:p>
      <w:pPr>
        <w:pStyle w:val="TextBody"/>
        <w:spacing w:before="0" w:after="0"/>
        <w:ind w:left="0" w:right="0" w:hanging="0"/>
        <w:rPr/>
      </w:pPr>
      <w:r>
        <w:rPr/>
      </w:r>
    </w:p>
    <w:p>
      <w:pPr>
        <w:pStyle w:val="Normal"/>
        <w:spacing w:before="0" w:after="0"/>
        <w:rPr>
          <w:sz w:val="4"/>
          <w:szCs w:val="4"/>
        </w:rPr>
      </w:pPr>
      <w:r>
        <w:rPr>
          <w:sz w:val="4"/>
          <w:szCs w:val="4"/>
        </w:rPr>
      </w:r>
      <w:bookmarkStart w:id="246" w:name="hangingindent5"/>
      <w:bookmarkStart w:id="247" w:name="hangingindent5"/>
      <w:bookmarkEnd w:id="247"/>
    </w:p>
    <w:tbl>
      <w:tblPr>
        <w:tblW w:w="5000" w:type="pct"/>
        <w:jc w:val="center"/>
        <w:tblInd w:w="0" w:type="dxa"/>
        <w:tblCellMar>
          <w:top w:w="0" w:type="dxa"/>
          <w:left w:w="0" w:type="dxa"/>
          <w:bottom w:w="0" w:type="dxa"/>
          <w:right w:w="0" w:type="dxa"/>
        </w:tblCellMar>
      </w:tblPr>
      <w:tblGrid>
        <w:gridCol w:w="283"/>
        <w:gridCol w:w="1857"/>
        <w:gridCol w:w="8065"/>
      </w:tblGrid>
      <w:tr>
        <w:trPr/>
        <w:tc>
          <w:tcPr>
            <w:tcW w:w="283" w:type="dxa"/>
            <w:tcBorders/>
            <w:shd w:fill="auto" w:val="clear"/>
          </w:tcPr>
          <w:p>
            <w:pPr>
              <w:pStyle w:val="TableContents"/>
              <w:spacing w:before="0" w:after="0"/>
              <w:rPr/>
            </w:pPr>
            <w:r>
              <w:rPr/>
              <w:t xml:space="preserve">  </w:t>
            </w:r>
          </w:p>
        </w:tc>
        <w:tc>
          <w:tcPr>
            <w:tcW w:w="18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Exhibit 1</w:t>
            </w:r>
          </w:p>
        </w:tc>
        <w:tc>
          <w:tcPr>
            <w:tcW w:w="806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Exhibit pursuant to Rule 13d-1(k)(1)(iii)*</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8" w:name="hangingindent6"/>
      <w:bookmarkStart w:id="249" w:name="hangingindent6"/>
      <w:bookmarkEnd w:id="249"/>
    </w:p>
    <w:tbl>
      <w:tblPr>
        <w:tblW w:w="5000" w:type="pct"/>
        <w:jc w:val="center"/>
        <w:tblInd w:w="0" w:type="dxa"/>
        <w:tblCellMar>
          <w:top w:w="0" w:type="dxa"/>
          <w:left w:w="0" w:type="dxa"/>
          <w:bottom w:w="0" w:type="dxa"/>
          <w:right w:w="0" w:type="dxa"/>
        </w:tblCellMar>
      </w:tblPr>
      <w:tblGrid>
        <w:gridCol w:w="214"/>
        <w:gridCol w:w="1407"/>
        <w:gridCol w:w="8584"/>
      </w:tblGrid>
      <w:tr>
        <w:trPr/>
        <w:tc>
          <w:tcPr>
            <w:tcW w:w="214" w:type="dxa"/>
            <w:tcBorders/>
            <w:shd w:fill="auto" w:val="clear"/>
          </w:tcPr>
          <w:p>
            <w:pPr>
              <w:pStyle w:val="TableContents"/>
              <w:spacing w:before="0" w:after="0"/>
              <w:rPr/>
            </w:pPr>
            <w:r>
              <w:rPr/>
              <w:t xml:space="preserve">  </w:t>
            </w:r>
          </w:p>
        </w:tc>
        <w:tc>
          <w:tcPr>
            <w:tcW w:w="14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Exhibit 2</w:t>
            </w:r>
          </w:p>
        </w:tc>
        <w:tc>
          <w:tcPr>
            <w:tcW w:w="85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Jaffee Investment Partnership, L.P. Partnership Agreement1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0" w:name="hangingindent7"/>
      <w:bookmarkStart w:id="251" w:name="hangingindent7"/>
      <w:bookmarkEnd w:id="251"/>
    </w:p>
    <w:tbl>
      <w:tblPr>
        <w:tblW w:w="5000" w:type="pct"/>
        <w:jc w:val="center"/>
        <w:tblInd w:w="0" w:type="dxa"/>
        <w:tblCellMar>
          <w:top w:w="0" w:type="dxa"/>
          <w:left w:w="0" w:type="dxa"/>
          <w:bottom w:w="0" w:type="dxa"/>
          <w:right w:w="0" w:type="dxa"/>
        </w:tblCellMar>
      </w:tblPr>
      <w:tblGrid>
        <w:gridCol w:w="160"/>
        <w:gridCol w:w="1047"/>
        <w:gridCol w:w="8998"/>
      </w:tblGrid>
      <w:tr>
        <w:trPr/>
        <w:tc>
          <w:tcPr>
            <w:tcW w:w="160" w:type="dxa"/>
            <w:tcBorders/>
            <w:shd w:fill="auto" w:val="clear"/>
          </w:tcPr>
          <w:p>
            <w:pPr>
              <w:pStyle w:val="TableContents"/>
              <w:spacing w:before="0" w:after="0"/>
              <w:rPr/>
            </w:pPr>
            <w:r>
              <w:rPr/>
              <w:t xml:space="preserve">  </w:t>
            </w:r>
          </w:p>
        </w:tc>
        <w:tc>
          <w:tcPr>
            <w:tcW w:w="104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Exhibit 3</w:t>
            </w:r>
          </w:p>
        </w:tc>
        <w:tc>
          <w:tcPr>
            <w:tcW w:w="89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First Amendment to the Jaffee Investment Partnership, L.P. Partnership Agreement2</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2" w:name="hangingindent8"/>
      <w:bookmarkStart w:id="253" w:name="hangingindent8"/>
      <w:bookmarkEnd w:id="253"/>
    </w:p>
    <w:tbl>
      <w:tblPr>
        <w:tblW w:w="5000" w:type="pct"/>
        <w:jc w:val="center"/>
        <w:tblInd w:w="0" w:type="dxa"/>
        <w:tblCellMar>
          <w:top w:w="0" w:type="dxa"/>
          <w:left w:w="0" w:type="dxa"/>
          <w:bottom w:w="0" w:type="dxa"/>
          <w:right w:w="0" w:type="dxa"/>
        </w:tblCellMar>
      </w:tblPr>
      <w:tblGrid>
        <w:gridCol w:w="172"/>
        <w:gridCol w:w="1127"/>
        <w:gridCol w:w="8906"/>
      </w:tblGrid>
      <w:tr>
        <w:trPr/>
        <w:tc>
          <w:tcPr>
            <w:tcW w:w="172" w:type="dxa"/>
            <w:tcBorders/>
            <w:shd w:fill="auto" w:val="clear"/>
          </w:tcPr>
          <w:p>
            <w:pPr>
              <w:pStyle w:val="TableContents"/>
              <w:spacing w:before="0" w:after="0"/>
              <w:rPr/>
            </w:pPr>
            <w:r>
              <w:rPr/>
              <w:t xml:space="preserve">  </w:t>
            </w:r>
          </w:p>
        </w:tc>
        <w:tc>
          <w:tcPr>
            <w:tcW w:w="112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Exhibit 4</w:t>
            </w:r>
          </w:p>
        </w:tc>
        <w:tc>
          <w:tcPr>
            <w:tcW w:w="890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Rule 10b5-1 Sales Plan adopted by Thomas F. Cofsky on October 30, 20073</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4" w:name="hangingindent9"/>
      <w:bookmarkStart w:id="255" w:name="hangingindent9"/>
      <w:bookmarkEnd w:id="255"/>
    </w:p>
    <w:tbl>
      <w:tblPr>
        <w:tblW w:w="5000" w:type="pct"/>
        <w:jc w:val="center"/>
        <w:tblInd w:w="0" w:type="dxa"/>
        <w:tblCellMar>
          <w:top w:w="0" w:type="dxa"/>
          <w:left w:w="0" w:type="dxa"/>
          <w:bottom w:w="0" w:type="dxa"/>
          <w:right w:w="0" w:type="dxa"/>
        </w:tblCellMar>
      </w:tblPr>
      <w:tblGrid>
        <w:gridCol w:w="282"/>
        <w:gridCol w:w="1850"/>
        <w:gridCol w:w="8073"/>
      </w:tblGrid>
      <w:tr>
        <w:trPr/>
        <w:tc>
          <w:tcPr>
            <w:tcW w:w="282" w:type="dxa"/>
            <w:tcBorders/>
            <w:shd w:fill="auto" w:val="clear"/>
          </w:tcPr>
          <w:p>
            <w:pPr>
              <w:pStyle w:val="TableContents"/>
              <w:spacing w:before="0" w:after="0"/>
              <w:rPr/>
            </w:pPr>
            <w:r>
              <w:rPr/>
              <w:t xml:space="preserve">  </w:t>
            </w:r>
          </w:p>
        </w:tc>
        <w:tc>
          <w:tcPr>
            <w:tcW w:w="18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Exhibit 5</w:t>
            </w:r>
          </w:p>
        </w:tc>
        <w:tc>
          <w:tcPr>
            <w:tcW w:w="80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Power of Attorney dated March 14, 20083</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 w:name="hangingindent10"/>
      <w:bookmarkStart w:id="257" w:name="hangingindent10"/>
      <w:bookmarkEnd w:id="257"/>
    </w:p>
    <w:tbl>
      <w:tblPr>
        <w:tblW w:w="5000" w:type="pct"/>
        <w:jc w:val="center"/>
        <w:tblInd w:w="0" w:type="dxa"/>
        <w:tblCellMar>
          <w:top w:w="0" w:type="dxa"/>
          <w:left w:w="0" w:type="dxa"/>
          <w:bottom w:w="0" w:type="dxa"/>
          <w:right w:w="0" w:type="dxa"/>
        </w:tblCellMar>
      </w:tblPr>
      <w:tblGrid>
        <w:gridCol w:w="118"/>
        <w:gridCol w:w="784"/>
        <w:gridCol w:w="9303"/>
      </w:tblGrid>
      <w:tr>
        <w:trPr/>
        <w:tc>
          <w:tcPr>
            <w:tcW w:w="118" w:type="dxa"/>
            <w:tcBorders/>
            <w:shd w:fill="auto" w:val="clear"/>
          </w:tcPr>
          <w:p>
            <w:pPr>
              <w:pStyle w:val="TableContents"/>
              <w:spacing w:before="0" w:after="0"/>
              <w:rPr/>
            </w:pPr>
            <w:r>
              <w:rPr/>
              <w:t xml:space="preserve">  </w:t>
            </w:r>
          </w:p>
        </w:tc>
        <w:tc>
          <w:tcPr>
            <w:tcW w:w="7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Exhibit 6</w:t>
            </w:r>
          </w:p>
        </w:tc>
        <w:tc>
          <w:tcPr>
            <w:tcW w:w="93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Letter dated June 11, 2009 modifying Rule 10b5-1 Sales Plan adopted by Thomas F. Cofsky on October 30, 2007*</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8" w:name="hangingindent11"/>
      <w:bookmarkStart w:id="259" w:name="hangingindent11"/>
      <w:bookmarkEnd w:id="259"/>
    </w:p>
    <w:tbl>
      <w:tblPr>
        <w:tblW w:w="5000" w:type="pct"/>
        <w:jc w:val="center"/>
        <w:tblInd w:w="0" w:type="dxa"/>
        <w:tblCellMar>
          <w:top w:w="0" w:type="dxa"/>
          <w:left w:w="0" w:type="dxa"/>
          <w:bottom w:w="0" w:type="dxa"/>
          <w:right w:w="0" w:type="dxa"/>
        </w:tblCellMar>
      </w:tblPr>
      <w:tblGrid>
        <w:gridCol w:w="117"/>
        <w:gridCol w:w="782"/>
        <w:gridCol w:w="9306"/>
      </w:tblGrid>
      <w:tr>
        <w:trPr/>
        <w:tc>
          <w:tcPr>
            <w:tcW w:w="117" w:type="dxa"/>
            <w:tcBorders/>
            <w:shd w:fill="auto" w:val="clear"/>
          </w:tcPr>
          <w:p>
            <w:pPr>
              <w:pStyle w:val="TableContents"/>
              <w:spacing w:before="0" w:after="0"/>
              <w:rPr/>
            </w:pPr>
            <w:r>
              <w:rPr/>
              <w:t xml:space="preserve">  </w:t>
            </w:r>
          </w:p>
        </w:tc>
        <w:tc>
          <w:tcPr>
            <w:tcW w:w="78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Exhibit 7</w:t>
            </w:r>
          </w:p>
        </w:tc>
        <w:tc>
          <w:tcPr>
            <w:tcW w:w="930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Letter dated March 15, 2010 modifying Rule 10b5-1 Sales Plan adopted by Thomas F. Cofsky on October 30, 2007*</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Notes to Exhibits List:</w:t>
      </w:r>
    </w:p>
    <w:p>
      <w:pPr>
        <w:pStyle w:val="TextBody"/>
        <w:spacing w:before="0" w:after="0"/>
        <w:ind w:left="0" w:right="0" w:hanging="0"/>
        <w:jc w:val="both"/>
        <w:rPr/>
      </w:pPr>
      <w:r>
        <w:rPr/>
        <w:t> </w:t>
      </w:r>
    </w:p>
    <w:p>
      <w:pPr>
        <w:pStyle w:val="TextBody"/>
        <w:spacing w:before="0" w:after="0"/>
        <w:ind w:left="1080" w:right="0" w:hanging="0"/>
        <w:jc w:val="left"/>
        <w:rPr>
          <w:rFonts w:ascii="Times New Roman" w:hAnsi="Times New Roman"/>
          <w:sz w:val="20"/>
        </w:rPr>
      </w:pPr>
      <w:bookmarkStart w:id="260" w:name="TAB136"/>
      <w:bookmarkEnd w:id="260"/>
      <w:r>
        <w:rPr>
          <w:rFonts w:ascii="Times New Roman" w:hAnsi="Times New Roman"/>
          <w:sz w:val="20"/>
        </w:rPr>
        <w:t>*             Filed herewith</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1" w:name="hangingindent12"/>
      <w:bookmarkStart w:id="262" w:name="hangingindent12"/>
      <w:bookmarkEnd w:id="262"/>
    </w:p>
    <w:tbl>
      <w:tblPr>
        <w:tblW w:w="5000" w:type="pct"/>
        <w:jc w:val="center"/>
        <w:tblInd w:w="0" w:type="dxa"/>
        <w:tblCellMar>
          <w:top w:w="0" w:type="dxa"/>
          <w:left w:w="0" w:type="dxa"/>
          <w:bottom w:w="0" w:type="dxa"/>
          <w:right w:w="0" w:type="dxa"/>
        </w:tblCellMar>
      </w:tblPr>
      <w:tblGrid>
        <w:gridCol w:w="215"/>
        <w:gridCol w:w="225"/>
        <w:gridCol w:w="9765"/>
      </w:tblGrid>
      <w:tr>
        <w:trPr/>
        <w:tc>
          <w:tcPr>
            <w:tcW w:w="215" w:type="dxa"/>
            <w:tcBorders/>
            <w:shd w:fill="auto" w:val="clear"/>
          </w:tcPr>
          <w:p>
            <w:pPr>
              <w:pStyle w:val="TableContents"/>
              <w:spacing w:before="0" w:after="0"/>
              <w:rPr/>
            </w:pPr>
            <w:r>
              <w:rPr/>
              <w:t xml:space="preserve">  </w:t>
            </w:r>
          </w:p>
        </w:tc>
        <w:tc>
          <w:tcPr>
            <w:tcW w:w="2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6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Incorporated by reference to Schedule 13D, filed January 21, 1998.</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3" w:name="hangingindent13"/>
      <w:bookmarkStart w:id="264" w:name="hangingindent13"/>
      <w:bookmarkEnd w:id="264"/>
    </w:p>
    <w:tbl>
      <w:tblPr>
        <w:tblW w:w="5000" w:type="pct"/>
        <w:jc w:val="center"/>
        <w:tblInd w:w="0" w:type="dxa"/>
        <w:tblCellMar>
          <w:top w:w="0" w:type="dxa"/>
          <w:left w:w="0" w:type="dxa"/>
          <w:bottom w:w="0" w:type="dxa"/>
          <w:right w:w="0" w:type="dxa"/>
        </w:tblCellMar>
      </w:tblPr>
      <w:tblGrid>
        <w:gridCol w:w="163"/>
        <w:gridCol w:w="170"/>
        <w:gridCol w:w="9872"/>
      </w:tblGrid>
      <w:tr>
        <w:trPr/>
        <w:tc>
          <w:tcPr>
            <w:tcW w:w="163"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Incorporated by reference to Amendment No. 2 to Schedule 13D, filed February 19, 1999.</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5" w:name="hangingindent14"/>
      <w:bookmarkStart w:id="266" w:name="hangingindent14"/>
      <w:bookmarkEnd w:id="266"/>
    </w:p>
    <w:tbl>
      <w:tblPr>
        <w:tblW w:w="5000" w:type="pct"/>
        <w:jc w:val="center"/>
        <w:tblInd w:w="0" w:type="dxa"/>
        <w:tblCellMar>
          <w:top w:w="0" w:type="dxa"/>
          <w:left w:w="0" w:type="dxa"/>
          <w:bottom w:w="0" w:type="dxa"/>
          <w:right w:w="0" w:type="dxa"/>
        </w:tblCellMar>
      </w:tblPr>
      <w:tblGrid>
        <w:gridCol w:w="171"/>
        <w:gridCol w:w="178"/>
        <w:gridCol w:w="9856"/>
      </w:tblGrid>
      <w:tr>
        <w:trPr/>
        <w:tc>
          <w:tcPr>
            <w:tcW w:w="171" w:type="dxa"/>
            <w:tcBorders/>
            <w:shd w:fill="auto" w:val="clear"/>
          </w:tcPr>
          <w:p>
            <w:pPr>
              <w:pStyle w:val="TableContents"/>
              <w:spacing w:before="0" w:after="0"/>
              <w:rPr/>
            </w:pPr>
            <w:r>
              <w:rPr/>
              <w:t xml:space="preserve">  </w:t>
            </w:r>
          </w:p>
        </w:tc>
        <w:tc>
          <w:tcPr>
            <w:tcW w:w="17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5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Incorporated by reference to Amendment No. 6 to Schedule 13D, filed June 30, 2008.</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7" w:name="PGBRK18"/>
      <w:bookmarkStart w:id="268" w:name="PGBRK18"/>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FTR18"/>
      <w:bookmarkStart w:id="270" w:name="FTR18"/>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GLFTR18"/>
      <w:bookmarkStart w:id="272" w:name="GLFTR18"/>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3" w:name="PN18"/>
      <w:bookmarkEnd w:id="273"/>
      <w:r>
        <w:rPr>
          <w:rFonts w:ascii="Times New Roman" w:hAnsi="Times New Roman"/>
          <w:sz w:val="20"/>
        </w:rPr>
        <w:t>Page 20of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4" w:name="HDR18"/>
      <w:bookmarkStart w:id="275" w:name="HDR18"/>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 w:name="GLHDR18"/>
      <w:bookmarkStart w:id="277" w:name="GLHDR18"/>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080" w:right="0" w:hanging="0"/>
        <w:jc w:val="left"/>
        <w:rPr>
          <w:rFonts w:ascii="Times New Roman" w:hAnsi="Times New Roman"/>
          <w:sz w:val="20"/>
        </w:rPr>
      </w:pPr>
      <w:bookmarkStart w:id="278" w:name="TAB137"/>
      <w:bookmarkEnd w:id="278"/>
      <w:r>
        <w:rPr>
          <w:rFonts w:ascii="Times New Roman" w:hAnsi="Times New Roman"/>
          <w:sz w:val="20"/>
        </w:rPr>
        <w:t>This Amendment No. 7 to this Schedule 13D is filed on behalf of all of the persons identified on the Cover Page as Reporting Persons and includes, as Exhibit 1 attached, the agreement of all of those persons that such statement is filed on behalf of each of them. This Amendment also amends the Schedule 13D filed solely by Mr. Richard M. Jaffee, which was last previously amended by Amendment No. 6 to this Schedule 13D, filed June 30, 2008.</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SIGNATURES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79" w:name="TAB138"/>
      <w:bookmarkEnd w:id="279"/>
      <w:r>
        <w:rPr>
          <w:rFonts w:ascii="Times New Roman" w:hAnsi="Times New Roman"/>
          <w:sz w:val="20"/>
        </w:rPr>
        <w:t>After reasonable inquiry and to the best of the knowledge and belief of each of the undersigned, the undersigned certify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December 17, 2010</w:t>
      </w:r>
    </w:p>
    <w:p>
      <w:pPr>
        <w:pStyle w:val="TextBody"/>
        <w:spacing w:before="0" w:after="0"/>
        <w:ind w:left="0" w:right="0" w:hanging="0"/>
        <w:rPr/>
      </w:pPr>
      <w:r>
        <w:rPr/>
      </w:r>
    </w:p>
    <w:tbl>
      <w:tblPr>
        <w:tblW w:w="4000" w:type="pct"/>
        <w:jc w:val="left"/>
        <w:tblInd w:w="1260" w:type="dxa"/>
        <w:tblCellMar>
          <w:top w:w="0" w:type="dxa"/>
          <w:left w:w="0" w:type="dxa"/>
          <w:bottom w:w="0" w:type="dxa"/>
          <w:right w:w="0" w:type="dxa"/>
        </w:tblCellMar>
      </w:tblPr>
      <w:tblGrid>
        <w:gridCol w:w="406"/>
        <w:gridCol w:w="4491"/>
        <w:gridCol w:w="3267"/>
      </w:tblGrid>
      <w:tr>
        <w:trPr/>
        <w:tc>
          <w:tcPr>
            <w:tcW w:w="4897"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JAFFEE INVESTMENT PARTNERSHIP, L.P.</w:t>
            </w:r>
          </w:p>
        </w:tc>
        <w:tc>
          <w:tcPr>
            <w:tcW w:w="3267" w:type="dxa"/>
            <w:tcBorders/>
            <w:shd w:fill="auto" w:val="clear"/>
          </w:tcPr>
          <w:p>
            <w:pPr>
              <w:pStyle w:val="TableContents"/>
              <w:spacing w:before="0" w:after="283"/>
              <w:jc w:val="left"/>
              <w:rPr/>
            </w:pPr>
            <w:r>
              <w:rPr/>
              <w:t> </w:t>
            </w:r>
          </w:p>
        </w:tc>
      </w:tr>
      <w:tr>
        <w:trPr/>
        <w:tc>
          <w:tcPr>
            <w:tcW w:w="4897" w:type="dxa"/>
            <w:gridSpan w:val="2"/>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RICHARD M.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Richard M. Jaffee</w:t>
            </w:r>
          </w:p>
          <w:p>
            <w:pPr>
              <w:pStyle w:val="TableContents"/>
              <w:spacing w:before="0" w:after="0"/>
              <w:ind w:left="0" w:right="0" w:hanging="0"/>
              <w:jc w:val="left"/>
              <w:rPr>
                <w:rFonts w:ascii="times new roman" w:hAnsi="times new roman"/>
                <w:sz w:val="20"/>
              </w:rPr>
            </w:pPr>
            <w:r>
              <w:rPr>
                <w:rFonts w:ascii="times new roman" w:hAnsi="times new roman"/>
                <w:sz w:val="20"/>
              </w:rPr>
              <w:t>Managing General Partner</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RICHARD M.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Richard M.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SHIRLEY H.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Shirley H.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SUSAN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Susan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KAREN JAFFEE COFSKY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Karen Jaffee Cofsky</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NANCY E.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Nancy E.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DANIEL S.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Daniel S. Jaffee</w:t>
            </w:r>
          </w:p>
        </w:tc>
        <w:tc>
          <w:tcPr>
            <w:tcW w:w="3267" w:type="dxa"/>
            <w:tcBorders/>
            <w:shd w:fill="auto" w:val="clear"/>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1260" w:right="0" w:hanging="0"/>
        <w:jc w:val="left"/>
        <w:rPr>
          <w:rFonts w:ascii="times new roman" w:hAnsi="times new roman"/>
          <w:sz w:val="20"/>
        </w:rPr>
      </w:pPr>
      <w:r>
        <w:rPr>
          <w:rFonts w:ascii="times new roman" w:hAnsi="times new roman"/>
          <w:sz w:val="20"/>
        </w:rPr>
        <w:t>* By Angela M. Hatseras, under Power of Attorney dated March 14, 2008</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80" w:name="PGBRK19"/>
      <w:bookmarkStart w:id="281" w:name="PGBRK19"/>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2" w:name="FTR19"/>
      <w:bookmarkStart w:id="283" w:name="FTR19"/>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4" w:name="GLFTR19"/>
      <w:bookmarkStart w:id="285" w:name="GLFTR19"/>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6" w:name="PN19"/>
      <w:bookmarkEnd w:id="286"/>
      <w:r>
        <w:rPr>
          <w:rFonts w:ascii="Times New Roman" w:hAnsi="Times New Roman"/>
          <w:sz w:val="20"/>
        </w:rPr>
        <w:t>Page 21of 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7" w:name="HDR19"/>
      <w:bookmarkStart w:id="288" w:name="HDR19"/>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9" w:name="GLHDR19"/>
      <w:bookmarkStart w:id="290" w:name="GLHDR19"/>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jc w:val="center"/>
        <w:rPr/>
      </w:pPr>
      <w:r>
        <w:rPr/>
        <w:t>EXHIBIT 1 PURSUANT TO RULE 13d-1 (k) (iii) TO SCHEDULE 13D</w:t>
      </w:r>
    </w:p>
    <w:p>
      <w:pPr>
        <w:pStyle w:val="TextBody"/>
        <w:spacing w:before="0" w:after="0"/>
        <w:ind w:left="0" w:right="0" w:hanging="0"/>
        <w:jc w:val="center"/>
        <w:rPr>
          <w:rFonts w:ascii="Times New Roman" w:hAnsi="Times New Roman"/>
          <w:sz w:val="20"/>
        </w:rPr>
      </w:pPr>
      <w:r>
        <w:rPr>
          <w:rFonts w:ascii="Times New Roman" w:hAnsi="Times New Roman"/>
          <w:sz w:val="20"/>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FOR JAFFEE INVESTMENT PARTNERSHIP, L.P. ET AL.</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91" w:name="TAB139"/>
      <w:bookmarkEnd w:id="291"/>
      <w:r>
        <w:rPr>
          <w:rFonts w:ascii="Times New Roman" w:hAnsi="Times New Roman"/>
          <w:sz w:val="20"/>
        </w:rPr>
        <w:t>Pursuant to Rule 13d-1(k)(1)(iii) of Regulation 13D-G of the General Rules and Regulations of the Securities and Exchange Commission under the Securities Exchange Act of 1934, as amended, the undersigned agree that the attached statement on Schedule 13D is filed on behalf of each of them.</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December 17, 2010</w:t>
      </w:r>
    </w:p>
    <w:p>
      <w:pPr>
        <w:pStyle w:val="TextBody"/>
        <w:spacing w:before="0" w:after="0"/>
        <w:ind w:left="0" w:right="0" w:hanging="0"/>
        <w:rPr/>
      </w:pPr>
      <w:r>
        <w:rPr/>
      </w:r>
    </w:p>
    <w:tbl>
      <w:tblPr>
        <w:tblW w:w="4000" w:type="pct"/>
        <w:jc w:val="left"/>
        <w:tblInd w:w="1260" w:type="dxa"/>
        <w:tblCellMar>
          <w:top w:w="0" w:type="dxa"/>
          <w:left w:w="0" w:type="dxa"/>
          <w:bottom w:w="0" w:type="dxa"/>
          <w:right w:w="0" w:type="dxa"/>
        </w:tblCellMar>
      </w:tblPr>
      <w:tblGrid>
        <w:gridCol w:w="406"/>
        <w:gridCol w:w="4491"/>
        <w:gridCol w:w="3267"/>
      </w:tblGrid>
      <w:tr>
        <w:trPr/>
        <w:tc>
          <w:tcPr>
            <w:tcW w:w="4897"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JAFFEE INVESTMENT PARTNERSHIP, L.P.</w:t>
            </w:r>
          </w:p>
        </w:tc>
        <w:tc>
          <w:tcPr>
            <w:tcW w:w="3267" w:type="dxa"/>
            <w:tcBorders/>
            <w:shd w:fill="auto" w:val="clear"/>
          </w:tcPr>
          <w:p>
            <w:pPr>
              <w:pStyle w:val="TableContents"/>
              <w:spacing w:before="0" w:after="283"/>
              <w:jc w:val="left"/>
              <w:rPr/>
            </w:pPr>
            <w:r>
              <w:rPr/>
              <w:t> </w:t>
            </w:r>
          </w:p>
        </w:tc>
      </w:tr>
      <w:tr>
        <w:trPr/>
        <w:tc>
          <w:tcPr>
            <w:tcW w:w="4897" w:type="dxa"/>
            <w:gridSpan w:val="2"/>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RICHARD M.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Richard M. Jaffee</w:t>
            </w:r>
          </w:p>
          <w:p>
            <w:pPr>
              <w:pStyle w:val="TableContents"/>
              <w:spacing w:before="0" w:after="0"/>
              <w:ind w:left="0" w:right="0" w:hanging="0"/>
              <w:jc w:val="left"/>
              <w:rPr>
                <w:rFonts w:ascii="times new roman" w:hAnsi="times new roman"/>
                <w:sz w:val="20"/>
              </w:rPr>
            </w:pPr>
            <w:r>
              <w:rPr>
                <w:rFonts w:ascii="times new roman" w:hAnsi="times new roman"/>
                <w:sz w:val="20"/>
              </w:rPr>
              <w:t>Managing General Partner</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RICHARD M.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Richard M.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SHIRLEY H.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Shirley H.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SUSAN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Susan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KAREN JAFFEE COFSKY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Karen Jaffee Cofsky</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NANCY E.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Nancy E. Jaffee</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w:t>
            </w:r>
          </w:p>
        </w:tc>
        <w:tc>
          <w:tcPr>
            <w:tcW w:w="4491" w:type="dxa"/>
            <w:tcBorders/>
            <w:shd w:fill="auto" w:val="clear"/>
          </w:tcPr>
          <w:p>
            <w:pPr>
              <w:pStyle w:val="TableContents"/>
              <w:spacing w:before="0" w:after="283"/>
              <w:jc w:val="left"/>
              <w:rPr/>
            </w:pPr>
            <w:r>
              <w:rPr/>
              <w:t>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bottom w:val="single" w:sz="6" w:space="0" w:color="000000"/>
            </w:tcBorders>
            <w:shd w:fill="auto" w:val="clear"/>
            <w:tcMar>
              <w:bottom w:w="28" w:type="dxa"/>
            </w:tcMar>
          </w:tcPr>
          <w:p>
            <w:pPr>
              <w:pStyle w:val="TableContents"/>
              <w:spacing w:before="0" w:after="0"/>
              <w:ind w:left="360" w:right="0" w:hanging="0"/>
              <w:jc w:val="left"/>
              <w:rPr>
                <w:rFonts w:ascii="times new roman" w:hAnsi="times new roman"/>
                <w:sz w:val="20"/>
              </w:rPr>
            </w:pPr>
            <w:r>
              <w:rPr>
                <w:rFonts w:ascii="times new roman" w:hAnsi="times new roman"/>
                <w:sz w:val="20"/>
              </w:rPr>
              <w:t>/s/ DANIEL S. JAFFEE *</w:t>
            </w:r>
          </w:p>
        </w:tc>
        <w:tc>
          <w:tcPr>
            <w:tcW w:w="3267"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Daniel S. Jaffee</w:t>
            </w:r>
          </w:p>
        </w:tc>
        <w:tc>
          <w:tcPr>
            <w:tcW w:w="3267" w:type="dxa"/>
            <w:tcBorders/>
            <w:shd w:fill="auto" w:val="clear"/>
          </w:tcPr>
          <w:p>
            <w:pPr>
              <w:pStyle w:val="TableContents"/>
              <w:spacing w:before="0" w:after="283"/>
              <w:jc w:val="left"/>
              <w:rPr/>
            </w:pPr>
            <w:r>
              <w:rPr/>
              <w:t> </w:t>
            </w:r>
          </w:p>
        </w:tc>
      </w:tr>
    </w:tbl>
    <w:p>
      <w:pPr>
        <w:pStyle w:val="TextBody"/>
        <w:spacing w:before="0" w:after="0"/>
        <w:ind w:left="1260" w:right="0" w:hanging="0"/>
        <w:rPr/>
      </w:pPr>
      <w:r>
        <w:rPr/>
        <w:t> </w:t>
      </w:r>
    </w:p>
    <w:p>
      <w:pPr>
        <w:pStyle w:val="TextBody"/>
        <w:spacing w:before="0" w:after="0"/>
        <w:ind w:left="1260" w:right="0" w:hanging="0"/>
        <w:rPr/>
      </w:pPr>
      <w:r>
        <w:rPr/>
        <w:t>*By Angela M. Hatseras, under Power of Attorney dated March 14, 2008</w:t>
      </w:r>
    </w:p>
    <w:p>
      <w:pPr>
        <w:pStyle w:val="TextBody"/>
        <w:spacing w:before="0" w:after="0"/>
        <w:ind w:left="1260" w:right="0" w:hanging="0"/>
        <w:rPr/>
      </w:pPr>
      <w:r>
        <w:rPr/>
        <w:t> </w:t>
      </w:r>
    </w:p>
    <w:p>
      <w:pPr>
        <w:pStyle w:val="TextBody"/>
        <w:spacing w:before="0" w:after="0"/>
        <w:ind w:left="1260" w:right="0" w:hanging="0"/>
        <w:rPr/>
      </w:pPr>
      <w:r>
        <w:rPr/>
        <w:t> </w:t>
      </w:r>
    </w:p>
    <w:p>
      <w:pPr>
        <w:pStyle w:val="TextBody"/>
        <w:spacing w:before="0" w:after="0"/>
        <w:ind w:left="1260" w:right="0" w:hanging="0"/>
        <w:rPr/>
      </w:pPr>
      <w:r>
        <w:rPr/>
        <w:t> </w:t>
      </w:r>
    </w:p>
    <w:p>
      <w:pPr>
        <w:pStyle w:val="TextBody"/>
        <w:ind w:left="0" w:right="0" w:hanging="0"/>
        <w:jc w:val="center"/>
        <w:rPr/>
      </w:pPr>
      <w:r>
        <w:rPr/>
        <w:t>Page 22 of 31</w:t>
      </w:r>
      <w:r>
        <w:br w:type="page"/>
      </w:r>
    </w:p>
    <w:p>
      <w:pPr>
        <w:pStyle w:val="TextBody"/>
        <w:spacing w:before="0" w:after="0"/>
        <w:rPr/>
      </w:pPr>
      <w:bookmarkStart w:id="292" w:name="page_1"/>
      <w:bookmarkStart w:id="293" w:name="v205943_ex6.htm"/>
      <w:bookmarkStart w:id="294" w:name="ksv205943_ex6"/>
      <w:bookmarkEnd w:id="292"/>
      <w:bookmarkEnd w:id="293"/>
      <w:bookmarkEnd w:id="294"/>
      <w:r>
        <w:rPr/>
        <w:drawing>
          <wp:inline distT="0" distB="0" distL="0" distR="0">
            <wp:extent cx="7334250" cy="9744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34250" cy="9744075"/>
                    </a:xfrm>
                    <a:prstGeom prst="rect">
                      <a:avLst/>
                    </a:prstGeom>
                  </pic:spPr>
                </pic:pic>
              </a:graphicData>
            </a:graphic>
          </wp:inline>
        </w:drawing>
      </w:r>
      <w:r>
        <w:rPr/>
        <w:t xml:space="preserve"> </w:t>
      </w:r>
    </w:p>
    <w:p>
      <w:pPr>
        <w:pStyle w:val="HorizontalLine"/>
        <w:pBdr>
          <w:bottom w:val="double" w:sz="2" w:space="0" w:color="808080"/>
        </w:pBdr>
        <w:rPr/>
      </w:pPr>
      <w:r>
        <w:rPr/>
      </w:r>
    </w:p>
    <w:p>
      <w:pPr>
        <w:pStyle w:val="TextBody"/>
        <w:spacing w:before="0" w:after="0"/>
        <w:rPr/>
      </w:pPr>
      <w:bookmarkStart w:id="295" w:name="page_2"/>
      <w:bookmarkEnd w:id="295"/>
      <w:r>
        <w:rPr/>
        <w:drawing>
          <wp:inline distT="0" distB="0" distL="0" distR="0">
            <wp:extent cx="6934200" cy="9505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34200" cy="9505950"/>
                    </a:xfrm>
                    <a:prstGeom prst="rect">
                      <a:avLst/>
                    </a:prstGeom>
                  </pic:spPr>
                </pic:pic>
              </a:graphicData>
            </a:graphic>
          </wp:inline>
        </w:drawing>
      </w:r>
      <w:r>
        <w:rPr/>
        <w:t xml:space="preserve"> </w:t>
      </w:r>
    </w:p>
    <w:p>
      <w:pPr>
        <w:pStyle w:val="HorizontalLine"/>
        <w:pBdr>
          <w:bottom w:val="double" w:sz="2" w:space="0" w:color="808080"/>
        </w:pBdr>
        <w:rPr/>
      </w:pPr>
      <w:r>
        <w:rPr/>
      </w:r>
    </w:p>
    <w:p>
      <w:pPr>
        <w:pStyle w:val="TextBody"/>
        <w:spacing w:before="0" w:after="0"/>
        <w:rPr/>
      </w:pPr>
      <w:bookmarkStart w:id="296" w:name="page_3"/>
      <w:bookmarkEnd w:id="296"/>
      <w:r>
        <w:rPr/>
        <w:drawing>
          <wp:inline distT="0" distB="0" distL="0" distR="0">
            <wp:extent cx="7239000" cy="9639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39000" cy="9639300"/>
                    </a:xfrm>
                    <a:prstGeom prst="rect">
                      <a:avLst/>
                    </a:prstGeom>
                  </pic:spPr>
                </pic:pic>
              </a:graphicData>
            </a:graphic>
          </wp:inline>
        </w:drawing>
      </w:r>
      <w:r>
        <w:rPr/>
        <w:t xml:space="preserve"> </w:t>
      </w:r>
    </w:p>
    <w:p>
      <w:pPr>
        <w:pStyle w:val="HorizontalLine"/>
        <w:pBdr>
          <w:bottom w:val="double" w:sz="2" w:space="0" w:color="808080"/>
        </w:pBdr>
        <w:rPr/>
      </w:pPr>
      <w:r>
        <w:rPr/>
      </w:r>
    </w:p>
    <w:p>
      <w:pPr>
        <w:pStyle w:val="TextBody"/>
        <w:spacing w:before="0" w:after="0"/>
        <w:rPr/>
      </w:pPr>
      <w:bookmarkStart w:id="297" w:name="page_4"/>
      <w:bookmarkEnd w:id="297"/>
      <w:r>
        <w:rPr/>
        <w:drawing>
          <wp:inline distT="0" distB="0" distL="0" distR="0">
            <wp:extent cx="6600825" cy="9401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00825" cy="9401175"/>
                    </a:xfrm>
                    <a:prstGeom prst="rect">
                      <a:avLst/>
                    </a:prstGeom>
                  </pic:spPr>
                </pic:pic>
              </a:graphicData>
            </a:graphic>
          </wp:inline>
        </w:drawing>
      </w:r>
      <w:r>
        <w:rPr/>
        <w:t xml:space="preserve"> </w:t>
      </w:r>
    </w:p>
    <w:p>
      <w:pPr>
        <w:pStyle w:val="HorizontalLine"/>
        <w:pBdr>
          <w:bottom w:val="double" w:sz="2" w:space="0" w:color="808080"/>
        </w:pBdr>
        <w:rPr/>
      </w:pPr>
      <w:r>
        <w:rPr/>
      </w:r>
    </w:p>
    <w:p>
      <w:pPr>
        <w:pStyle w:val="TextBody"/>
        <w:spacing w:before="0" w:after="0"/>
        <w:rPr/>
      </w:pPr>
      <w:bookmarkStart w:id="298" w:name="page_5"/>
      <w:bookmarkEnd w:id="298"/>
      <w:r>
        <w:rPr/>
        <w:drawing>
          <wp:inline distT="0" distB="0" distL="0" distR="0">
            <wp:extent cx="6429375" cy="9429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29375" cy="9429750"/>
                    </a:xfrm>
                    <a:prstGeom prst="rect">
                      <a:avLst/>
                    </a:prstGeom>
                  </pic:spPr>
                </pic:pic>
              </a:graphicData>
            </a:graphic>
          </wp:inline>
        </w:drawing>
      </w:r>
      <w:r>
        <w:rPr/>
        <w:t xml:space="preserve"> </w:t>
      </w:r>
    </w:p>
    <w:p>
      <w:pPr>
        <w:pStyle w:val="HorizontalLine"/>
        <w:pBdr>
          <w:bottom w:val="double" w:sz="2" w:space="0" w:color="808080"/>
        </w:pBdr>
        <w:rPr/>
      </w:pPr>
      <w:r>
        <w:rPr/>
      </w:r>
      <w:r>
        <w:br w:type="page"/>
      </w:r>
    </w:p>
    <w:p>
      <w:pPr>
        <w:pStyle w:val="TextBody"/>
        <w:spacing w:before="0" w:after="0"/>
        <w:rPr/>
      </w:pPr>
      <w:bookmarkStart w:id="299" w:name="v205943_ex7.htm"/>
      <w:bookmarkStart w:id="300" w:name="ksv205943_ex7"/>
      <w:bookmarkEnd w:id="299"/>
      <w:bookmarkEnd w:id="300"/>
      <w:r>
        <w:rPr/>
        <w:commentReference w:id="0"/>
      </w:r>
      <w:r>
        <w:rPr/>
        <w:drawing>
          <wp:inline distT="0" distB="0" distL="0" distR="0">
            <wp:extent cx="7191375" cy="9563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91375" cy="9563100"/>
                    </a:xfrm>
                    <a:prstGeom prst="rect">
                      <a:avLst/>
                    </a:prstGeom>
                  </pic:spPr>
                </pic:pic>
              </a:graphicData>
            </a:graphic>
          </wp:inline>
        </w:drawing>
      </w:r>
      <w:r>
        <w:rPr/>
        <w:t xml:space="preserve"> </w:t>
      </w:r>
    </w:p>
    <w:p>
      <w:pPr>
        <w:pStyle w:val="HorizontalLine"/>
        <w:pBdr>
          <w:bottom w:val="double" w:sz="2" w:space="0" w:color="808080"/>
        </w:pBdr>
        <w:rPr/>
      </w:pPr>
      <w:r>
        <w:rPr/>
      </w:r>
    </w:p>
    <w:p>
      <w:pPr>
        <w:pStyle w:val="TextBody"/>
        <w:spacing w:before="0" w:after="0"/>
        <w:rPr/>
      </w:pPr>
      <w:bookmarkStart w:id="301" w:name="page_7"/>
      <w:bookmarkEnd w:id="301"/>
      <w:r>
        <w:rPr/>
        <w:drawing>
          <wp:inline distT="0" distB="0" distL="0" distR="0">
            <wp:extent cx="7096125" cy="9334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096125" cy="9334500"/>
                    </a:xfrm>
                    <a:prstGeom prst="rect">
                      <a:avLst/>
                    </a:prstGeom>
                  </pic:spPr>
                </pic:pic>
              </a:graphicData>
            </a:graphic>
          </wp:inline>
        </w:drawing>
      </w:r>
      <w:r>
        <w:rPr/>
        <w:t xml:space="preserve"> </w:t>
      </w:r>
    </w:p>
    <w:p>
      <w:pPr>
        <w:pStyle w:val="HorizontalLine"/>
        <w:pBdr>
          <w:bottom w:val="double" w:sz="2" w:space="0" w:color="808080"/>
        </w:pBdr>
        <w:rPr/>
      </w:pPr>
      <w:r>
        <w:rPr/>
      </w:r>
    </w:p>
    <w:p>
      <w:pPr>
        <w:pStyle w:val="TextBody"/>
        <w:spacing w:before="0" w:after="0"/>
        <w:rPr/>
      </w:pPr>
      <w:bookmarkStart w:id="302" w:name="page_8"/>
      <w:bookmarkEnd w:id="302"/>
      <w:r>
        <w:rPr/>
        <w:drawing>
          <wp:inline distT="0" distB="0" distL="0" distR="0">
            <wp:extent cx="7096125" cy="9344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096125" cy="9344025"/>
                    </a:xfrm>
                    <a:prstGeom prst="rect">
                      <a:avLst/>
                    </a:prstGeom>
                  </pic:spPr>
                </pic:pic>
              </a:graphicData>
            </a:graphic>
          </wp:inline>
        </w:drawing>
      </w:r>
      <w:r>
        <w:rPr/>
        <w:t xml:space="preserve"> </w:t>
      </w:r>
    </w:p>
    <w:p>
      <w:pPr>
        <w:pStyle w:val="HorizontalLine"/>
        <w:pBdr>
          <w:bottom w:val="double" w:sz="2" w:space="0" w:color="808080"/>
        </w:pBdr>
        <w:rPr/>
      </w:pPr>
      <w:r>
        <w:rPr/>
      </w:r>
    </w:p>
    <w:p>
      <w:pPr>
        <w:pStyle w:val="TextBody"/>
        <w:spacing w:before="0" w:after="0"/>
        <w:rPr/>
      </w:pPr>
      <w:bookmarkStart w:id="303" w:name="page_9"/>
      <w:bookmarkEnd w:id="303"/>
      <w:r>
        <w:rPr/>
        <w:drawing>
          <wp:inline distT="0" distB="0" distL="0" distR="0">
            <wp:extent cx="6943725" cy="9124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43725" cy="9124950"/>
                    </a:xfrm>
                    <a:prstGeom prst="rect">
                      <a:avLst/>
                    </a:prstGeom>
                  </pic:spPr>
                </pic:pic>
              </a:graphicData>
            </a:graphic>
          </wp:inline>
        </w:drawing>
      </w:r>
      <w:r>
        <w:rPr/>
        <w:t xml:space="preserve">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17:32:31Z" w:initials="">
    <w:p>
      <w:r>
        <w:rPr>
          <w:lang w:val="en-US" w:eastAsia="en-US" w:bidi="en-US"/>
        </w:rPr>
        <w:t>HTML: &lt;meta name="HandheldFriendly" content="true"&gt;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comments" Target="comments.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6353</Words>
  <CharactersWithSpaces>40226</CharactersWithSpaces>
  <Paragraphs>1045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v205943_ex7 -- Converted by SECPublisher 2.1.1.8, created by BCL Technologies Inc., for SEC Filing</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ndheldFriendly">
    <vt:lpwstr>true</vt:lpwstr>
  </property>
</Properties>
</file>