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328930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Date of Report (Date of earliest event reported)</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2460"/>
              <w:spacing w:after="0"/>
              <w:rPr>
                <w:sz w:val="20"/>
                <w:szCs w:val="20"/>
                <w:color w:val="auto"/>
              </w:rPr>
            </w:pPr>
            <w:r>
              <w:rPr>
                <w:rFonts w:ascii="Arial" w:cs="Arial" w:eastAsia="Arial" w:hAnsi="Arial"/>
                <w:sz w:val="18"/>
                <w:szCs w:val="18"/>
                <w:color w:val="auto"/>
                <w:w w:val="96"/>
              </w:rPr>
              <w:t>April 2, 2020</w:t>
            </w:r>
          </w:p>
        </w:tc>
      </w:tr>
      <w:tr>
        <w:trPr>
          <w:trHeight w:val="837"/>
        </w:trPr>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440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621"/>
        </w:trPr>
        <w:tc>
          <w:tcPr>
            <w:tcW w:w="4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001-12622</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36-2048898</w:t>
            </w: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2"/>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gridSpan w:val="5"/>
          </w:tcPr>
          <w:p>
            <w:pPr>
              <w:jc w:val="center"/>
              <w:ind w:right="840"/>
              <w:spacing w:after="0"/>
              <w:rPr>
                <w:sz w:val="20"/>
                <w:szCs w:val="20"/>
                <w:color w:val="auto"/>
              </w:rPr>
            </w:pPr>
            <w:r>
              <w:rPr>
                <w:rFonts w:ascii="Arial" w:cs="Arial" w:eastAsia="Arial" w:hAnsi="Arial"/>
                <w:sz w:val="18"/>
                <w:szCs w:val="18"/>
                <w:color w:val="auto"/>
                <w:w w:val="93"/>
              </w:rPr>
              <w:t>(Commission File</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incorporation)</w:t>
            </w:r>
          </w:p>
        </w:tc>
        <w:tc>
          <w:tcPr>
            <w:tcW w:w="3540" w:type="dxa"/>
            <w:vAlign w:val="bottom"/>
            <w:gridSpan w:val="5"/>
          </w:tcPr>
          <w:p>
            <w:pPr>
              <w:jc w:val="center"/>
              <w:ind w:right="860"/>
              <w:spacing w:after="0"/>
              <w:rPr>
                <w:sz w:val="20"/>
                <w:szCs w:val="20"/>
                <w:color w:val="auto"/>
              </w:rPr>
            </w:pPr>
            <w:r>
              <w:rPr>
                <w:rFonts w:ascii="Arial" w:cs="Arial" w:eastAsia="Arial" w:hAnsi="Arial"/>
                <w:sz w:val="18"/>
                <w:szCs w:val="18"/>
                <w:color w:val="auto"/>
                <w:w w:val="91"/>
              </w:rPr>
              <w:t>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2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410 North Michigan Avenue</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Suite 400</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Chicago, Illinois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405"/>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0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Title of each class</w:t>
            </w:r>
          </w:p>
        </w:tc>
        <w:tc>
          <w:tcPr>
            <w:tcW w:w="1820" w:type="dxa"/>
            <w:vAlign w:val="bottom"/>
          </w:tcPr>
          <w:p>
            <w:pPr>
              <w:ind w:left="220"/>
              <w:spacing w:after="0"/>
              <w:rPr>
                <w:sz w:val="20"/>
                <w:szCs w:val="20"/>
                <w:color w:val="auto"/>
              </w:rPr>
            </w:pPr>
            <w:r>
              <w:rPr>
                <w:rFonts w:ascii="Arial" w:cs="Arial" w:eastAsia="Arial" w:hAnsi="Arial"/>
                <w:sz w:val="18"/>
                <w:szCs w:val="18"/>
                <w:color w:val="auto"/>
              </w:rPr>
              <w:t>Trading Symbol(s)</w:t>
            </w:r>
          </w:p>
        </w:tc>
        <w:tc>
          <w:tcPr>
            <w:tcW w:w="5040" w:type="dxa"/>
            <w:vAlign w:val="bottom"/>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Common Stock, par value $0.10 per share</w:t>
            </w:r>
          </w:p>
        </w:tc>
        <w:tc>
          <w:tcPr>
            <w:tcW w:w="1820" w:type="dxa"/>
            <w:vAlign w:val="bottom"/>
          </w:tcPr>
          <w:p>
            <w:pPr>
              <w:ind w:left="220"/>
              <w:spacing w:after="0"/>
              <w:rPr>
                <w:sz w:val="20"/>
                <w:szCs w:val="20"/>
                <w:color w:val="auto"/>
              </w:rPr>
            </w:pPr>
            <w:r>
              <w:rPr>
                <w:rFonts w:ascii="Arial" w:cs="Arial" w:eastAsia="Arial" w:hAnsi="Arial"/>
                <w:sz w:val="18"/>
                <w:szCs w:val="18"/>
                <w:color w:val="auto"/>
              </w:rPr>
              <w:t>ODC</w:t>
            </w:r>
          </w:p>
        </w:tc>
        <w:tc>
          <w:tcPr>
            <w:tcW w:w="5040" w:type="dxa"/>
            <w:vAlign w:val="bottom"/>
          </w:tcPr>
          <w:p>
            <w:pPr>
              <w:ind w:left="26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21" w:right="339" w:bottom="1440" w:gutter="0" w:footer="0" w:header="0"/>
        </w:sectPr>
      </w:pPr>
    </w:p>
    <w:bookmarkStart w:id="1" w:name="page2"/>
    <w:bookmarkEnd w:id="1"/>
    <w:p>
      <w:pPr>
        <w:ind w:left="26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 2020, Oil-Dri Corporation of America (the “Company”) issued a press release announcing the schedule of upcoming events, which is furnished as Exhibit 99.1 to this report. The Company will release its third quarter financial results after the U.S. stock market closes on Monday, June 8, 2020 and will host an investor teleconference on Wednesday, June 10, 2020. Teleconference details will be communicated via web alert and posted on the Events page of the Company’s website (investors.oildri.com/events) approximately one week prior to the call.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7.01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660" w:type="dxa"/>
            <w:vAlign w:val="bottom"/>
          </w:tcPr>
          <w:p>
            <w:pPr>
              <w:spacing w:after="0"/>
              <w:rPr>
                <w:sz w:val="18"/>
                <w:szCs w:val="18"/>
                <w:color w:val="auto"/>
              </w:rPr>
            </w:pPr>
          </w:p>
        </w:tc>
      </w:tr>
      <w:tr>
        <w:trPr>
          <w:trHeight w:val="230"/>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660" w:type="dxa"/>
            <w:vAlign w:val="bottom"/>
          </w:tcPr>
          <w:p>
            <w:pPr>
              <w:ind w:left="4000"/>
              <w:spacing w:after="0"/>
              <w:rPr>
                <w:sz w:val="20"/>
                <w:szCs w:val="20"/>
                <w:color w:val="auto"/>
              </w:rPr>
            </w:pPr>
            <w:r>
              <w:rPr>
                <w:rFonts w:ascii="Arial" w:cs="Arial" w:eastAsia="Arial" w:hAnsi="Arial"/>
                <w:sz w:val="18"/>
                <w:szCs w:val="18"/>
                <w:color w:val="auto"/>
              </w:rPr>
              <w:t>Description of Exhibits</w:t>
            </w:r>
          </w:p>
        </w:tc>
      </w:tr>
      <w:tr>
        <w:trPr>
          <w:trHeight w:val="27"/>
        </w:trPr>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507"/>
        </w:trPr>
        <w:tc>
          <w:tcPr>
            <w:tcW w:w="1240" w:type="dxa"/>
            <w:vAlign w:val="bottom"/>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66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April 2, 2020</w:t>
              </w:r>
            </w:hyperlink>
          </w:p>
        </w:tc>
      </w:tr>
    </w:tbl>
    <w:p>
      <w:pPr>
        <w:sectPr>
          <w:pgSz w:w="11900" w:h="16838" w:orient="portrait"/>
          <w:cols w:equalWidth="0" w:num="1">
            <w:col w:w="11240"/>
          </w:cols>
          <w:pgMar w:left="320" w:top="715"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ectPr>
          <w:pgSz w:w="11900" w:h="16838" w:orient="portrait"/>
          <w:cols w:equalWidth="0" w:num="1">
            <w:col w:w="11020"/>
          </w:cols>
          <w:pgMar w:left="320" w:top="553"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Timing of its Third Quarter Earnings Release and Investor Teleconference</w:t>
      </w:r>
    </w:p>
    <w:p>
      <w:pPr>
        <w:spacing w:after="0" w:line="200" w:lineRule="exact"/>
        <w:rPr>
          <w:sz w:val="20"/>
          <w:szCs w:val="20"/>
          <w:color w:val="auto"/>
        </w:rPr>
      </w:pPr>
    </w:p>
    <w:p>
      <w:pPr>
        <w:spacing w:after="0" w:line="242"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CHICAGO-(April 2, 2020)- Oil-Dri Corporation of America (NYSE: ODC) announced today that it will release results for its third quarter ending April 30, 2020 on Monday, June 8, 2020 after the market close. The company will host an investor teleconference on Wednesday, June 10, 2020 at 10:00 a.m. Central Time.</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 xml:space="preserve">Teleconference participation details will be communicated via web alert and posted on the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 of the Company’s website approximately one week prior to the call.</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8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2020-04-02T15:19:22Z</dcterms:created>
  <dcterms:modified xsi:type="dcterms:W3CDTF">2020-04-02T15:19:22Z</dcterms:modified>
</cp:coreProperties>
</file>