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521970</wp:posOffset>
            </wp:positionH>
            <wp:positionV relativeFrom="page">
              <wp:posOffset>849630</wp:posOffset>
            </wp:positionV>
            <wp:extent cx="6517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005" cy="7620"/>
                    </a:xfrm>
                    <a:prstGeom prst="rect">
                      <a:avLst/>
                    </a:prstGeom>
                    <a:noFill/>
                  </pic:spPr>
                </pic:pic>
              </a:graphicData>
            </a:graphic>
          </wp:anchor>
        </w:drawing>
        <w:drawing>
          <wp:anchor simplePos="0" relativeHeight="251657728" behindDoc="1" locked="0" layoutInCell="0" allowOverlap="1">
            <wp:simplePos x="0" y="0"/>
            <wp:positionH relativeFrom="page">
              <wp:posOffset>521970</wp:posOffset>
            </wp:positionH>
            <wp:positionV relativeFrom="page">
              <wp:posOffset>811530</wp:posOffset>
            </wp:positionV>
            <wp:extent cx="651700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005" cy="152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6"/>
              </w:rPr>
              <w:t>UNITED STATES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80" w:type="dxa"/>
            <w:vAlign w:val="bottom"/>
            <w:gridSpan w:val="10"/>
          </w:tcPr>
          <w:p>
            <w:pPr>
              <w:jc w:val="center"/>
              <w:ind w:right="2600"/>
              <w:spacing w:after="0"/>
              <w:rPr>
                <w:sz w:val="20"/>
                <w:szCs w:val="20"/>
                <w:color w:val="auto"/>
              </w:rPr>
            </w:pPr>
            <w:r>
              <w:rPr>
                <w:rFonts w:ascii="Times New Roman" w:cs="Times New Roman" w:eastAsia="Times New Roman" w:hAnsi="Times New Roman"/>
                <w:sz w:val="16"/>
                <w:szCs w:val="16"/>
                <w:color w:val="auto"/>
                <w:w w:val="97"/>
              </w:rPr>
              <w:t>SECURITIES AND EXCHANGE COMMISSION</w:t>
            </w:r>
          </w:p>
        </w:tc>
        <w:tc>
          <w:tcPr>
            <w:tcW w:w="0" w:type="dxa"/>
            <w:vAlign w:val="bottom"/>
          </w:tcPr>
          <w:p>
            <w:pPr>
              <w:spacing w:after="0"/>
              <w:rPr>
                <w:sz w:val="1"/>
                <w:szCs w:val="1"/>
                <w:color w:val="auto"/>
              </w:rPr>
            </w:pPr>
          </w:p>
        </w:tc>
      </w:tr>
      <w:tr>
        <w:trPr>
          <w:trHeight w:val="408"/>
        </w:trPr>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7"/>
              </w:rPr>
              <w:t>Washington, D.C. 20549</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7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auto"/>
              </w:rPr>
              <w:t>(Mark One)</w:t>
            </w:r>
          </w:p>
        </w:tc>
        <w:tc>
          <w:tcPr>
            <w:tcW w:w="220" w:type="dxa"/>
            <w:vAlign w:val="bottom"/>
          </w:tcPr>
          <w:p>
            <w:pPr>
              <w:spacing w:after="0"/>
              <w:rPr>
                <w:sz w:val="24"/>
                <w:szCs w:val="24"/>
                <w:color w:val="auto"/>
              </w:rPr>
            </w:pPr>
          </w:p>
        </w:tc>
        <w:tc>
          <w:tcPr>
            <w:tcW w:w="25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7"/>
              </w:rPr>
              <w:t>FORM 10-Q</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00" w:type="dxa"/>
            <w:vAlign w:val="bottom"/>
            <w:gridSpan w:val="8"/>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2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99"/>
              </w:rPr>
              <w:t>☒</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100" w:type="dxa"/>
            <w:vAlign w:val="bottom"/>
            <w:gridSpan w:val="13"/>
          </w:tcPr>
          <w:p>
            <w:pPr>
              <w:jc w:val="center"/>
              <w:ind w:right="1180"/>
              <w:spacing w:after="0"/>
              <w:rPr>
                <w:sz w:val="20"/>
                <w:szCs w:val="20"/>
                <w:color w:val="auto"/>
              </w:rPr>
            </w:pPr>
            <w:r>
              <w:rPr>
                <w:rFonts w:ascii="Times New Roman" w:cs="Times New Roman" w:eastAsia="Times New Roman" w:hAnsi="Times New Roman"/>
                <w:sz w:val="16"/>
                <w:szCs w:val="16"/>
                <w:color w:val="auto"/>
                <w:w w:val="97"/>
              </w:rPr>
              <w:t>Quarterly Report Pursuant to Section 13 or 15(d) of the Securities Exchange Act of 1934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80" w:type="dxa"/>
            <w:vAlign w:val="bottom"/>
            <w:gridSpan w:val="10"/>
          </w:tcPr>
          <w:p>
            <w:pPr>
              <w:jc w:val="center"/>
              <w:ind w:right="2520"/>
              <w:spacing w:after="0" w:line="157" w:lineRule="exact"/>
              <w:rPr>
                <w:sz w:val="20"/>
                <w:szCs w:val="20"/>
                <w:color w:val="auto"/>
              </w:rPr>
            </w:pPr>
            <w:r>
              <w:rPr>
                <w:rFonts w:ascii="Times New Roman" w:cs="Times New Roman" w:eastAsia="Times New Roman" w:hAnsi="Times New Roman"/>
                <w:sz w:val="16"/>
                <w:szCs w:val="16"/>
                <w:color w:val="auto"/>
                <w:w w:val="97"/>
              </w:rPr>
              <w:t>For the Quarterly Period Ended October 31, 2025</w:t>
            </w:r>
          </w:p>
        </w:tc>
        <w:tc>
          <w:tcPr>
            <w:tcW w:w="0" w:type="dxa"/>
            <w:vAlign w:val="bottom"/>
          </w:tcPr>
          <w:p>
            <w:pPr>
              <w:spacing w:after="0"/>
              <w:rPr>
                <w:sz w:val="1"/>
                <w:szCs w:val="1"/>
                <w:color w:val="auto"/>
              </w:rPr>
            </w:pPr>
          </w:p>
        </w:tc>
      </w:tr>
      <w:tr>
        <w:trPr>
          <w:trHeight w:val="203"/>
        </w:trPr>
        <w:tc>
          <w:tcPr>
            <w:tcW w:w="22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w w:val="99"/>
              </w:rPr>
              <w:t>☐</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2"/>
          </w:tcPr>
          <w:p>
            <w:pPr>
              <w:jc w:val="center"/>
              <w:ind w:left="162"/>
              <w:spacing w:after="0"/>
              <w:rPr>
                <w:sz w:val="20"/>
                <w:szCs w:val="20"/>
                <w:color w:val="auto"/>
              </w:rPr>
            </w:pPr>
            <w:r>
              <w:rPr>
                <w:rFonts w:ascii="Times New Roman" w:cs="Times New Roman" w:eastAsia="Times New Roman" w:hAnsi="Times New Roman"/>
                <w:sz w:val="16"/>
                <w:szCs w:val="16"/>
                <w:color w:val="auto"/>
                <w:w w:val="89"/>
              </w:rPr>
              <w:t>or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100" w:type="dxa"/>
            <w:vAlign w:val="bottom"/>
            <w:gridSpan w:val="13"/>
          </w:tcPr>
          <w:p>
            <w:pPr>
              <w:jc w:val="center"/>
              <w:ind w:right="1160"/>
              <w:spacing w:after="0" w:line="180" w:lineRule="exact"/>
              <w:rPr>
                <w:sz w:val="20"/>
                <w:szCs w:val="20"/>
                <w:color w:val="auto"/>
              </w:rPr>
            </w:pPr>
            <w:r>
              <w:rPr>
                <w:rFonts w:ascii="Times New Roman" w:cs="Times New Roman" w:eastAsia="Times New Roman" w:hAnsi="Times New Roman"/>
                <w:sz w:val="16"/>
                <w:szCs w:val="16"/>
                <w:color w:val="auto"/>
                <w:w w:val="97"/>
              </w:rPr>
              <w:t>Transition Report Pursuant to Section 13 or 15(d) of the Securities Exchange Act of 1934</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80" w:type="dxa"/>
            <w:vAlign w:val="bottom"/>
            <w:gridSpan w:val="12"/>
          </w:tcPr>
          <w:p>
            <w:pPr>
              <w:jc w:val="center"/>
              <w:ind w:right="1440"/>
              <w:spacing w:after="0"/>
              <w:rPr>
                <w:sz w:val="20"/>
                <w:szCs w:val="20"/>
                <w:color w:val="auto"/>
              </w:rPr>
            </w:pPr>
            <w:r>
              <w:rPr>
                <w:rFonts w:ascii="Times New Roman" w:cs="Times New Roman" w:eastAsia="Times New Roman" w:hAnsi="Times New Roman"/>
                <w:sz w:val="16"/>
                <w:szCs w:val="16"/>
                <w:color w:val="auto"/>
                <w:w w:val="97"/>
              </w:rPr>
              <w:t>For the transition period from _____________ to ______________</w:t>
            </w:r>
          </w:p>
        </w:tc>
        <w:tc>
          <w:tcPr>
            <w:tcW w:w="0" w:type="dxa"/>
            <w:vAlign w:val="bottom"/>
          </w:tcPr>
          <w:p>
            <w:pPr>
              <w:spacing w:after="0"/>
              <w:rPr>
                <w:sz w:val="1"/>
                <w:szCs w:val="1"/>
                <w:color w:val="auto"/>
              </w:rPr>
            </w:pPr>
          </w:p>
        </w:tc>
      </w:tr>
      <w:tr>
        <w:trPr>
          <w:trHeight w:val="458"/>
        </w:trPr>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7"/>
              </w:rPr>
              <w:t>Commission File Number: 001-12622</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gridSpan w:val="9"/>
          </w:tcPr>
          <w:p>
            <w:pPr>
              <w:jc w:val="center"/>
              <w:ind w:right="2840"/>
              <w:spacing w:after="0"/>
              <w:rPr>
                <w:sz w:val="20"/>
                <w:szCs w:val="20"/>
                <w:color w:val="auto"/>
              </w:rPr>
            </w:pPr>
            <w:r>
              <w:rPr>
                <w:rFonts w:ascii="Times New Roman" w:cs="Times New Roman" w:eastAsia="Times New Roman" w:hAnsi="Times New Roman"/>
                <w:sz w:val="16"/>
                <w:szCs w:val="16"/>
                <w:color w:val="auto"/>
                <w:w w:val="97"/>
              </w:rPr>
              <w:t>OIL-DRI CORPORATION OF AMERICA</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6"/>
              </w:rPr>
              <w:t>(Exact</w:t>
            </w:r>
          </w:p>
        </w:tc>
        <w:tc>
          <w:tcPr>
            <w:tcW w:w="27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name of the registrant as specified in its</w:t>
            </w:r>
          </w:p>
        </w:tc>
        <w:tc>
          <w:tcPr>
            <w:tcW w:w="28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charter)</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7"/>
              </w:rPr>
              <w:t>Delaware</w:t>
            </w:r>
          </w:p>
        </w:tc>
        <w:tc>
          <w:tcPr>
            <w:tcW w:w="132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20" w:type="dxa"/>
            <w:vAlign w:val="bottom"/>
            <w:gridSpan w:val="4"/>
          </w:tcPr>
          <w:p>
            <w:pPr>
              <w:spacing w:after="0"/>
              <w:rPr>
                <w:sz w:val="15"/>
                <w:szCs w:val="15"/>
                <w:color w:val="auto"/>
              </w:rPr>
            </w:pPr>
          </w:p>
        </w:tc>
        <w:tc>
          <w:tcPr>
            <w:tcW w:w="760" w:type="dxa"/>
            <w:vAlign w:val="bottom"/>
            <w:tcBorders>
              <w:bottom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36-2048898</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6260" w:type="dxa"/>
            <w:vAlign w:val="bottom"/>
            <w:gridSpan w:val="10"/>
            <w:vMerge w:val="restart"/>
          </w:tcPr>
          <w:p>
            <w:pPr>
              <w:ind w:left="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60" w:type="dxa"/>
            <w:vAlign w:val="bottom"/>
          </w:tcPr>
          <w:p>
            <w:pPr>
              <w:spacing w:after="0"/>
              <w:rPr>
                <w:sz w:val="18"/>
                <w:szCs w:val="18"/>
                <w:color w:val="auto"/>
              </w:rPr>
            </w:pPr>
          </w:p>
        </w:tc>
        <w:tc>
          <w:tcPr>
            <w:tcW w:w="2840" w:type="dxa"/>
            <w:vAlign w:val="bottom"/>
            <w:gridSpan w:val="6"/>
          </w:tcPr>
          <w:p>
            <w:pPr>
              <w:jc w:val="center"/>
              <w:ind w:left="34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c>
          <w:tcPr>
            <w:tcW w:w="0" w:type="dxa"/>
            <w:vAlign w:val="bottom"/>
          </w:tcPr>
          <w:p>
            <w:pPr>
              <w:spacing w:after="0"/>
              <w:rPr>
                <w:sz w:val="1"/>
                <w:szCs w:val="1"/>
                <w:color w:val="auto"/>
              </w:rPr>
            </w:pPr>
          </w:p>
        </w:tc>
      </w:tr>
      <w:tr>
        <w:trPr>
          <w:trHeight w:val="96"/>
        </w:trPr>
        <w:tc>
          <w:tcPr>
            <w:tcW w:w="220" w:type="dxa"/>
            <w:vAlign w:val="bottom"/>
          </w:tcPr>
          <w:p>
            <w:pPr>
              <w:spacing w:after="0"/>
              <w:rPr>
                <w:sz w:val="8"/>
                <w:szCs w:val="8"/>
                <w:color w:val="auto"/>
              </w:rPr>
            </w:pPr>
          </w:p>
        </w:tc>
        <w:tc>
          <w:tcPr>
            <w:tcW w:w="626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w w:val="97"/>
              </w:rPr>
              <w:t>410 North Michigan Avenue, Suite 400</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Chicago, Illinois</w:t>
            </w:r>
          </w:p>
        </w:tc>
        <w:tc>
          <w:tcPr>
            <w:tcW w:w="110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gridSpan w:val="3"/>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60611-4213</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80" w:type="dxa"/>
            <w:vAlign w:val="bottom"/>
            <w:gridSpan w:val="6"/>
          </w:tcPr>
          <w:p>
            <w:pPr>
              <w:jc w:val="center"/>
              <w:ind w:right="24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80" w:type="dxa"/>
            <w:vAlign w:val="bottom"/>
            <w:gridSpan w:val="12"/>
          </w:tcPr>
          <w:p>
            <w:pPr>
              <w:ind w:left="360"/>
              <w:spacing w:after="0" w:line="170" w:lineRule="exact"/>
              <w:rPr>
                <w:sz w:val="20"/>
                <w:szCs w:val="20"/>
                <w:color w:val="auto"/>
              </w:rPr>
            </w:pPr>
            <w:r>
              <w:rPr>
                <w:rFonts w:ascii="Times New Roman" w:cs="Times New Roman" w:eastAsia="Times New Roman" w:hAnsi="Times New Roman"/>
                <w:sz w:val="16"/>
                <w:szCs w:val="16"/>
                <w:color w:val="auto"/>
              </w:rPr>
              <w:t>The registrant's telephone number, including area code: (312) 321-1515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40" w:type="dxa"/>
            <w:vAlign w:val="bottom"/>
            <w:tcBorders>
              <w:right w:val="single" w:sz="8" w:color="auto"/>
            </w:tcBorders>
            <w:gridSpan w:val="4"/>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40" w:type="dxa"/>
            <w:vAlign w:val="bottom"/>
            <w:gridSpan w:val="11"/>
          </w:tcPr>
          <w:p>
            <w:pPr>
              <w:jc w:val="center"/>
              <w:ind w:right="2220"/>
              <w:spacing w:after="0"/>
              <w:rPr>
                <w:sz w:val="20"/>
                <w:szCs w:val="20"/>
                <w:color w:val="auto"/>
              </w:rPr>
            </w:pPr>
            <w:r>
              <w:rPr>
                <w:rFonts w:ascii="Times New Roman" w:cs="Times New Roman" w:eastAsia="Times New Roman" w:hAnsi="Times New Roman"/>
                <w:sz w:val="16"/>
                <w:szCs w:val="16"/>
                <w:color w:val="auto"/>
                <w:w w:val="97"/>
              </w:rPr>
              <w:t>Securities registered pursuant to Section 12(b) of the Act:</w:t>
            </w: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center"/>
              <w:ind w:right="662"/>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20" w:type="dxa"/>
            <w:vAlign w:val="bottom"/>
          </w:tcPr>
          <w:p>
            <w:pPr>
              <w:spacing w:after="0"/>
              <w:rPr>
                <w:sz w:val="24"/>
                <w:szCs w:val="24"/>
                <w:color w:val="auto"/>
              </w:rPr>
            </w:pP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000" w:type="dxa"/>
            <w:vAlign w:val="bottom"/>
            <w:gridSpan w:val="7"/>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80" w:type="dxa"/>
            <w:vAlign w:val="bottom"/>
            <w:gridSpan w:val="6"/>
          </w:tcPr>
          <w:p>
            <w:pPr>
              <w:jc w:val="center"/>
              <w:ind w:left="162"/>
              <w:spacing w:after="0"/>
              <w:rPr>
                <w:sz w:val="20"/>
                <w:szCs w:val="20"/>
                <w:color w:val="auto"/>
              </w:rPr>
            </w:pPr>
            <w:r>
              <w:rPr>
                <w:rFonts w:ascii="Times New Roman" w:cs="Times New Roman" w:eastAsia="Times New Roman" w:hAnsi="Times New Roman"/>
                <w:sz w:val="16"/>
                <w:szCs w:val="16"/>
                <w:color w:val="auto"/>
                <w:w w:val="98"/>
              </w:rPr>
              <w:t>Common Stock, par value $0.10 per share</w:t>
            </w:r>
          </w:p>
        </w:tc>
        <w:tc>
          <w:tcPr>
            <w:tcW w:w="220" w:type="dxa"/>
            <w:vAlign w:val="bottom"/>
          </w:tcPr>
          <w:p>
            <w:pPr>
              <w:spacing w:after="0"/>
              <w:rPr>
                <w:sz w:val="17"/>
                <w:szCs w:val="17"/>
                <w:color w:val="auto"/>
              </w:rPr>
            </w:pP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ODC</w:t>
            </w:r>
          </w:p>
        </w:tc>
        <w:tc>
          <w:tcPr>
            <w:tcW w:w="160" w:type="dxa"/>
            <w:vAlign w:val="bottom"/>
          </w:tcPr>
          <w:p>
            <w:pPr>
              <w:spacing w:after="0"/>
              <w:rPr>
                <w:sz w:val="17"/>
                <w:szCs w:val="17"/>
                <w:color w:val="auto"/>
              </w:rPr>
            </w:pPr>
          </w:p>
        </w:tc>
        <w:tc>
          <w:tcPr>
            <w:tcW w:w="28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bl>
    <w:p>
      <w:pPr>
        <w:spacing w:after="0" w:line="289" w:lineRule="exact"/>
        <w:rPr>
          <w:sz w:val="24"/>
          <w:szCs w:val="24"/>
          <w:color w:val="auto"/>
        </w:rPr>
      </w:pPr>
    </w:p>
    <w:p>
      <w:pPr>
        <w:ind w:right="160"/>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9" w:lineRule="exact"/>
        <w:rPr>
          <w:sz w:val="24"/>
          <w:szCs w:val="24"/>
          <w:color w:val="auto"/>
        </w:rPr>
      </w:pPr>
    </w:p>
    <w:p>
      <w:pPr>
        <w:ind w:right="140"/>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60"/>
          </w:cols>
          <w:pgMar w:left="660" w:top="1440" w:right="680" w:bottom="1440" w:gutter="0" w:footer="0" w:header="0"/>
        </w:sectPr>
      </w:pPr>
    </w:p>
    <w:p>
      <w:pPr>
        <w:spacing w:after="0" w:line="8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color w:val="auto"/>
        </w:rPr>
        <w:t>o</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color w:val="auto"/>
        </w:rPr>
        <w:t>o</w:t>
      </w:r>
    </w:p>
    <w:p>
      <w:pPr>
        <w:spacing w:after="0" w:line="43" w:lineRule="exact"/>
        <w:rPr>
          <w:sz w:val="24"/>
          <w:szCs w:val="24"/>
          <w:color w:val="auto"/>
        </w:rPr>
      </w:pPr>
    </w:p>
    <w:p>
      <w:pPr>
        <w:sectPr>
          <w:pgSz w:w="11900" w:h="16840" w:orient="portrait"/>
          <w:cols w:equalWidth="0" w:num="2">
            <w:col w:w="6460" w:space="720"/>
            <w:col w:w="3380"/>
          </w:cols>
          <w:pgMar w:left="660" w:top="1440" w:right="68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color w:val="auto"/>
        </w:rPr>
        <w:t>o</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color w:val="auto"/>
        </w:rPr>
        <w:t>o</w:t>
      </w:r>
    </w:p>
    <w:p>
      <w:pPr>
        <w:spacing w:after="0" w:line="200" w:lineRule="exact"/>
        <w:rPr>
          <w:sz w:val="24"/>
          <w:szCs w:val="24"/>
          <w:color w:val="auto"/>
        </w:rPr>
      </w:pPr>
    </w:p>
    <w:p>
      <w:pPr>
        <w:sectPr>
          <w:pgSz w:w="11900" w:h="16840" w:orient="portrait"/>
          <w:cols w:equalWidth="0" w:num="2">
            <w:col w:w="6460" w:space="720"/>
            <w:col w:w="3380"/>
          </w:cols>
          <w:pgMar w:left="660" w:top="1440" w:right="680" w:bottom="1440" w:gutter="0" w:footer="0" w:header="0"/>
          <w:type w:val="continuous"/>
        </w:sectPr>
      </w:pPr>
    </w:p>
    <w:p>
      <w:pPr>
        <w:spacing w:after="0" w:line="203" w:lineRule="exact"/>
        <w:rPr>
          <w:sz w:val="24"/>
          <w:szCs w:val="24"/>
          <w:color w:val="auto"/>
        </w:rPr>
      </w:pPr>
    </w:p>
    <w:p>
      <w:pPr>
        <w:ind w:right="280"/>
        <w:spacing w:after="0" w:line="204"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30, 2025, 10,342,807 shares of the registrant's Common Stock and 4,233,940 shares of the registrant's Class B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60" w:type="dxa"/>
            <w:vAlign w:val="bottom"/>
          </w:tcPr>
          <w:p>
            <w:pPr>
              <w:spacing w:after="0"/>
              <w:rPr>
                <w:sz w:val="17"/>
                <w:szCs w:val="17"/>
                <w:color w:val="auto"/>
              </w:rPr>
            </w:pPr>
          </w:p>
        </w:tc>
        <w:tc>
          <w:tcPr>
            <w:tcW w:w="9020" w:type="dxa"/>
            <w:vAlign w:val="bottom"/>
            <w:gridSpan w:val="3"/>
          </w:tcPr>
          <w:p>
            <w:pPr>
              <w:ind w:left="36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860" w:type="dxa"/>
            <w:vAlign w:val="bottom"/>
          </w:tcPr>
          <w:p>
            <w:pPr>
              <w:spacing w:after="0"/>
              <w:rPr>
                <w:sz w:val="24"/>
                <w:szCs w:val="24"/>
                <w:color w:val="auto"/>
              </w:rPr>
            </w:pPr>
          </w:p>
        </w:tc>
        <w:tc>
          <w:tcPr>
            <w:tcW w:w="9020" w:type="dxa"/>
            <w:vAlign w:val="bottom"/>
            <w:gridSpan w:val="3"/>
          </w:tcPr>
          <w:p>
            <w:pPr>
              <w:ind w:left="312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tc>
        <w:tc>
          <w:tcPr>
            <w:tcW w:w="5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8"/>
        </w:trPr>
        <w:tc>
          <w:tcPr>
            <w:tcW w:w="8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Item 1:</w:t>
            </w:r>
          </w:p>
        </w:tc>
        <w:tc>
          <w:tcPr>
            <w:tcW w:w="9020" w:type="dxa"/>
            <w:vAlign w:val="bottom"/>
            <w:gridSpan w:val="3"/>
            <w:shd w:val="clear" w:color="auto" w:fill="CCEEFF"/>
          </w:tcPr>
          <w:p>
            <w:pPr>
              <w:ind w:left="260"/>
              <w:spacing w:after="0" w:line="17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Financial Statements</w:t>
              </w:r>
            </w:hyperlink>
          </w:p>
        </w:tc>
        <w:tc>
          <w:tcPr>
            <w:tcW w:w="240" w:type="dxa"/>
            <w:vAlign w:val="bottom"/>
            <w:tcBorders>
              <w:top w:val="single" w:sz="8" w:color="auto"/>
              <w:right w:val="single" w:sz="8" w:color="CCEEFF"/>
            </w:tcBorders>
            <w:gridSpan w:val="2"/>
            <w:shd w:val="clear" w:color="auto" w:fill="CCEEFF"/>
          </w:tcPr>
          <w:p>
            <w:pPr>
              <w:jc w:val="center"/>
              <w:ind w:left="2"/>
              <w:spacing w:after="0" w:line="176" w:lineRule="exact"/>
              <w:rPr>
                <w:rFonts w:ascii="Times New Roman" w:cs="Times New Roman" w:eastAsia="Times New Roman" w:hAnsi="Times New Roman"/>
                <w:sz w:val="16"/>
                <w:szCs w:val="16"/>
                <w:color w:val="0000FF"/>
                <w:w w:val="99"/>
              </w:rPr>
            </w:pPr>
            <w:hyperlink w:anchor="page3">
              <w:r>
                <w:rPr>
                  <w:rFonts w:ascii="Times New Roman" w:cs="Times New Roman" w:eastAsia="Times New Roman" w:hAnsi="Times New Roman"/>
                  <w:sz w:val="16"/>
                  <w:szCs w:val="16"/>
                  <w:color w:val="0000FF"/>
                  <w:w w:val="99"/>
                </w:rPr>
                <w:t>3</w:t>
              </w:r>
            </w:hyperlink>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tcBorders>
              <w:top w:val="single" w:sz="8" w:color="CCEEFF"/>
            </w:tcBorders>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Item 2:</w:t>
            </w:r>
          </w:p>
        </w:tc>
        <w:tc>
          <w:tcPr>
            <w:tcW w:w="9020" w:type="dxa"/>
            <w:vAlign w:val="bottom"/>
            <w:gridSpan w:val="3"/>
            <w:shd w:val="clear" w:color="auto" w:fill="CCEEFF"/>
          </w:tcPr>
          <w:p>
            <w:pPr>
              <w:ind w:left="260"/>
              <w:spacing w:after="0" w:line="168" w:lineRule="exact"/>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40" w:type="dxa"/>
            <w:vAlign w:val="bottom"/>
            <w:tcBorders>
              <w:right w:val="single" w:sz="8" w:color="CCEEFF"/>
            </w:tcBorders>
            <w:gridSpan w:val="2"/>
            <w:shd w:val="clear" w:color="auto" w:fill="CCEEFF"/>
          </w:tcPr>
          <w:p>
            <w:pPr>
              <w:jc w:val="center"/>
              <w:ind w:left="2"/>
              <w:spacing w:after="0" w:line="168" w:lineRule="exact"/>
              <w:rPr>
                <w:rFonts w:ascii="Times New Roman" w:cs="Times New Roman" w:eastAsia="Times New Roman" w:hAnsi="Times New Roman"/>
                <w:sz w:val="16"/>
                <w:szCs w:val="16"/>
                <w:color w:val="0000FF"/>
                <w:w w:val="99"/>
              </w:rPr>
            </w:pPr>
            <w:hyperlink w:anchor="page22">
              <w:r>
                <w:rPr>
                  <w:rFonts w:ascii="Times New Roman" w:cs="Times New Roman" w:eastAsia="Times New Roman" w:hAnsi="Times New Roman"/>
                  <w:sz w:val="16"/>
                  <w:szCs w:val="16"/>
                  <w:color w:val="0000FF"/>
                  <w:w w:val="99"/>
                </w:rPr>
                <w:t>23</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tcBorders>
              <w:top w:val="single" w:sz="8" w:color="CCEEFF"/>
            </w:tcBorders>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Item 3:</w:t>
            </w:r>
          </w:p>
        </w:tc>
        <w:tc>
          <w:tcPr>
            <w:tcW w:w="9020" w:type="dxa"/>
            <w:vAlign w:val="bottom"/>
            <w:gridSpan w:val="3"/>
            <w:shd w:val="clear" w:color="auto" w:fill="CCEEFF"/>
          </w:tcPr>
          <w:p>
            <w:pPr>
              <w:ind w:left="260"/>
              <w:spacing w:after="0" w:line="168"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Quantitative and Qualitative Disclosures About Market Risk</w:t>
              </w:r>
            </w:hyperlink>
          </w:p>
        </w:tc>
        <w:tc>
          <w:tcPr>
            <w:tcW w:w="240" w:type="dxa"/>
            <w:vAlign w:val="bottom"/>
            <w:tcBorders>
              <w:right w:val="single" w:sz="8" w:color="CCEEFF"/>
            </w:tcBorders>
            <w:gridSpan w:val="2"/>
            <w:shd w:val="clear" w:color="auto" w:fill="CCEEFF"/>
          </w:tcPr>
          <w:p>
            <w:pPr>
              <w:jc w:val="center"/>
              <w:ind w:left="2"/>
              <w:spacing w:after="0" w:line="168" w:lineRule="exact"/>
              <w:rPr>
                <w:rFonts w:ascii="Times New Roman" w:cs="Times New Roman" w:eastAsia="Times New Roman" w:hAnsi="Times New Roman"/>
                <w:sz w:val="16"/>
                <w:szCs w:val="16"/>
                <w:color w:val="0000FF"/>
                <w:w w:val="99"/>
              </w:rPr>
            </w:pPr>
            <w:hyperlink w:anchor="page28">
              <w:r>
                <w:rPr>
                  <w:rFonts w:ascii="Times New Roman" w:cs="Times New Roman" w:eastAsia="Times New Roman" w:hAnsi="Times New Roman"/>
                  <w:sz w:val="16"/>
                  <w:szCs w:val="16"/>
                  <w:color w:val="0000FF"/>
                  <w:w w:val="99"/>
                </w:rPr>
                <w:t>28</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tcBorders>
              <w:top w:val="single" w:sz="8" w:color="CCEEFF"/>
            </w:tcBorders>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Item 4:</w:t>
            </w:r>
          </w:p>
        </w:tc>
        <w:tc>
          <w:tcPr>
            <w:tcW w:w="9020" w:type="dxa"/>
            <w:vAlign w:val="bottom"/>
            <w:gridSpan w:val="3"/>
            <w:shd w:val="clear" w:color="auto" w:fill="CCEEFF"/>
          </w:tcPr>
          <w:p>
            <w:pPr>
              <w:ind w:left="260"/>
              <w:spacing w:after="0" w:line="168"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Controls and Procedures</w:t>
              </w:r>
            </w:hyperlink>
          </w:p>
        </w:tc>
        <w:tc>
          <w:tcPr>
            <w:tcW w:w="240" w:type="dxa"/>
            <w:vAlign w:val="bottom"/>
            <w:tcBorders>
              <w:right w:val="single" w:sz="8" w:color="CCEEFF"/>
            </w:tcBorders>
            <w:gridSpan w:val="2"/>
            <w:shd w:val="clear" w:color="auto" w:fill="CCEEFF"/>
          </w:tcPr>
          <w:p>
            <w:pPr>
              <w:jc w:val="center"/>
              <w:ind w:left="2"/>
              <w:spacing w:after="0" w:line="168" w:lineRule="exact"/>
              <w:rPr>
                <w:rFonts w:ascii="Times New Roman" w:cs="Times New Roman" w:eastAsia="Times New Roman" w:hAnsi="Times New Roman"/>
                <w:sz w:val="16"/>
                <w:szCs w:val="16"/>
                <w:color w:val="0000FF"/>
                <w:w w:val="99"/>
              </w:rPr>
            </w:pPr>
            <w:hyperlink w:anchor="page28">
              <w:r>
                <w:rPr>
                  <w:rFonts w:ascii="Times New Roman" w:cs="Times New Roman" w:eastAsia="Times New Roman" w:hAnsi="Times New Roman"/>
                  <w:sz w:val="16"/>
                  <w:szCs w:val="16"/>
                  <w:color w:val="0000FF"/>
                  <w:w w:val="99"/>
                </w:rPr>
                <w:t>28</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tcBorders>
              <w:top w:val="single" w:sz="8" w:color="CCEEFF"/>
            </w:tcBorders>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9020" w:type="dxa"/>
            <w:vAlign w:val="bottom"/>
            <w:gridSpan w:val="3"/>
            <w:shd w:val="clear" w:color="auto" w:fill="CCEEFF"/>
          </w:tcPr>
          <w:p>
            <w:pPr>
              <w:ind w:left="3260"/>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49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8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Item 1A:</w:t>
            </w:r>
          </w:p>
        </w:tc>
        <w:tc>
          <w:tcPr>
            <w:tcW w:w="9020" w:type="dxa"/>
            <w:vAlign w:val="bottom"/>
            <w:gridSpan w:val="3"/>
            <w:shd w:val="clear" w:color="auto" w:fill="CCEEFF"/>
          </w:tcPr>
          <w:p>
            <w:pPr>
              <w:ind w:left="260"/>
              <w:spacing w:after="0" w:line="168" w:lineRule="exact"/>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0000FF"/>
                </w:rPr>
                <w:t>Risk Factors</w:t>
              </w:r>
            </w:hyperlink>
          </w:p>
        </w:tc>
        <w:tc>
          <w:tcPr>
            <w:tcW w:w="240" w:type="dxa"/>
            <w:vAlign w:val="bottom"/>
            <w:tcBorders>
              <w:right w:val="single" w:sz="8" w:color="CCEEFF"/>
            </w:tcBorders>
            <w:gridSpan w:val="2"/>
            <w:shd w:val="clear" w:color="auto" w:fill="CCEEFF"/>
          </w:tcPr>
          <w:p>
            <w:pPr>
              <w:jc w:val="center"/>
              <w:ind w:left="2"/>
              <w:spacing w:after="0" w:line="168" w:lineRule="exact"/>
              <w:rPr>
                <w:rFonts w:ascii="Times New Roman" w:cs="Times New Roman" w:eastAsia="Times New Roman" w:hAnsi="Times New Roman"/>
                <w:sz w:val="16"/>
                <w:szCs w:val="16"/>
                <w:color w:val="0000FF"/>
                <w:w w:val="99"/>
              </w:rPr>
            </w:pPr>
            <w:hyperlink w:anchor="page29">
              <w:r>
                <w:rPr>
                  <w:rFonts w:ascii="Times New Roman" w:cs="Times New Roman" w:eastAsia="Times New Roman" w:hAnsi="Times New Roman"/>
                  <w:sz w:val="16"/>
                  <w:szCs w:val="16"/>
                  <w:color w:val="0000FF"/>
                  <w:w w:val="99"/>
                </w:rPr>
                <w:t>29</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Item 2:</w:t>
            </w:r>
          </w:p>
        </w:tc>
        <w:tc>
          <w:tcPr>
            <w:tcW w:w="9020" w:type="dxa"/>
            <w:vAlign w:val="bottom"/>
            <w:gridSpan w:val="3"/>
            <w:shd w:val="clear" w:color="auto" w:fill="CCEEFF"/>
          </w:tcPr>
          <w:p>
            <w:pPr>
              <w:ind w:left="260"/>
              <w:spacing w:after="0" w:line="168" w:lineRule="exact"/>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0000FF"/>
                </w:rPr>
                <w:t>Unregistered Sales of Equity Securities and Use of Proceeds</w:t>
              </w:r>
            </w:hyperlink>
          </w:p>
        </w:tc>
        <w:tc>
          <w:tcPr>
            <w:tcW w:w="240" w:type="dxa"/>
            <w:vAlign w:val="bottom"/>
            <w:tcBorders>
              <w:right w:val="single" w:sz="8" w:color="CCEEFF"/>
            </w:tcBorders>
            <w:gridSpan w:val="2"/>
            <w:shd w:val="clear" w:color="auto" w:fill="CCEEFF"/>
          </w:tcPr>
          <w:p>
            <w:pPr>
              <w:jc w:val="center"/>
              <w:ind w:left="2"/>
              <w:spacing w:after="0" w:line="168" w:lineRule="exact"/>
              <w:rPr>
                <w:rFonts w:ascii="Times New Roman" w:cs="Times New Roman" w:eastAsia="Times New Roman" w:hAnsi="Times New Roman"/>
                <w:sz w:val="16"/>
                <w:szCs w:val="16"/>
                <w:color w:val="0000FF"/>
                <w:w w:val="99"/>
              </w:rPr>
            </w:pPr>
            <w:hyperlink w:anchor="page29">
              <w:r>
                <w:rPr>
                  <w:rFonts w:ascii="Times New Roman" w:cs="Times New Roman" w:eastAsia="Times New Roman" w:hAnsi="Times New Roman"/>
                  <w:sz w:val="16"/>
                  <w:szCs w:val="16"/>
                  <w:color w:val="0000FF"/>
                  <w:w w:val="99"/>
                </w:rPr>
                <w:t>30</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Item 4:</w:t>
            </w:r>
          </w:p>
        </w:tc>
        <w:tc>
          <w:tcPr>
            <w:tcW w:w="9020" w:type="dxa"/>
            <w:vAlign w:val="bottom"/>
            <w:gridSpan w:val="3"/>
            <w:shd w:val="clear" w:color="auto" w:fill="CCEEFF"/>
          </w:tcPr>
          <w:p>
            <w:pPr>
              <w:ind w:left="260"/>
              <w:spacing w:after="0" w:line="168" w:lineRule="exact"/>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0000FF"/>
                </w:rPr>
                <w:t>Mine Safety Disclosures</w:t>
              </w:r>
            </w:hyperlink>
          </w:p>
        </w:tc>
        <w:tc>
          <w:tcPr>
            <w:tcW w:w="240" w:type="dxa"/>
            <w:vAlign w:val="bottom"/>
            <w:tcBorders>
              <w:right w:val="single" w:sz="8" w:color="CCEEFF"/>
            </w:tcBorders>
            <w:gridSpan w:val="2"/>
            <w:shd w:val="clear" w:color="auto" w:fill="CCEEFF"/>
          </w:tcPr>
          <w:p>
            <w:pPr>
              <w:jc w:val="center"/>
              <w:ind w:left="2"/>
              <w:spacing w:after="0" w:line="168" w:lineRule="exact"/>
              <w:rPr>
                <w:rFonts w:ascii="Times New Roman" w:cs="Times New Roman" w:eastAsia="Times New Roman" w:hAnsi="Times New Roman"/>
                <w:sz w:val="16"/>
                <w:szCs w:val="16"/>
                <w:color w:val="0000FF"/>
                <w:w w:val="99"/>
              </w:rPr>
            </w:pPr>
            <w:hyperlink w:anchor="page30">
              <w:r>
                <w:rPr>
                  <w:rFonts w:ascii="Times New Roman" w:cs="Times New Roman" w:eastAsia="Times New Roman" w:hAnsi="Times New Roman"/>
                  <w:sz w:val="16"/>
                  <w:szCs w:val="16"/>
                  <w:color w:val="0000FF"/>
                  <w:w w:val="99"/>
                </w:rPr>
                <w:t>30</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Item 6:</w:t>
            </w:r>
          </w:p>
        </w:tc>
        <w:tc>
          <w:tcPr>
            <w:tcW w:w="9020" w:type="dxa"/>
            <w:vAlign w:val="bottom"/>
            <w:gridSpan w:val="3"/>
            <w:shd w:val="clear" w:color="auto" w:fill="CCEEFF"/>
          </w:tcPr>
          <w:p>
            <w:pPr>
              <w:ind w:left="260"/>
              <w:spacing w:after="0" w:line="168" w:lineRule="exact"/>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0000FF"/>
                </w:rPr>
                <w:t>Exhibits</w:t>
              </w:r>
            </w:hyperlink>
          </w:p>
        </w:tc>
        <w:tc>
          <w:tcPr>
            <w:tcW w:w="240" w:type="dxa"/>
            <w:vAlign w:val="bottom"/>
            <w:tcBorders>
              <w:right w:val="single" w:sz="8" w:color="CCEEFF"/>
            </w:tcBorders>
            <w:gridSpan w:val="2"/>
            <w:shd w:val="clear" w:color="auto" w:fill="CCEEFF"/>
          </w:tcPr>
          <w:p>
            <w:pPr>
              <w:jc w:val="center"/>
              <w:ind w:left="2"/>
              <w:spacing w:after="0" w:line="168" w:lineRule="exact"/>
              <w:rPr>
                <w:rFonts w:ascii="Times New Roman" w:cs="Times New Roman" w:eastAsia="Times New Roman" w:hAnsi="Times New Roman"/>
                <w:sz w:val="16"/>
                <w:szCs w:val="16"/>
                <w:color w:val="0000FF"/>
                <w:w w:val="99"/>
              </w:rPr>
            </w:pPr>
            <w:hyperlink w:anchor="page30">
              <w:r>
                <w:rPr>
                  <w:rFonts w:ascii="Times New Roman" w:cs="Times New Roman" w:eastAsia="Times New Roman" w:hAnsi="Times New Roman"/>
                  <w:sz w:val="16"/>
                  <w:szCs w:val="16"/>
                  <w:color w:val="0000FF"/>
                  <w:w w:val="99"/>
                </w:rPr>
                <w:t>31</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tcBorders>
              <w:top w:val="single" w:sz="8" w:color="CCEEFF"/>
            </w:tcBorders>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60" w:type="dxa"/>
            <w:vAlign w:val="bottom"/>
            <w:shd w:val="clear" w:color="auto" w:fill="CCEEFF"/>
          </w:tcPr>
          <w:p>
            <w:pPr>
              <w:spacing w:after="0"/>
              <w:rPr>
                <w:sz w:val="14"/>
                <w:szCs w:val="14"/>
                <w:color w:val="auto"/>
              </w:rPr>
            </w:pPr>
          </w:p>
        </w:tc>
        <w:tc>
          <w:tcPr>
            <w:tcW w:w="9020" w:type="dxa"/>
            <w:vAlign w:val="bottom"/>
            <w:gridSpan w:val="3"/>
            <w:shd w:val="clear" w:color="auto" w:fill="CCEEFF"/>
          </w:tcPr>
          <w:p>
            <w:pPr>
              <w:ind w:left="260"/>
              <w:spacing w:after="0" w:line="168" w:lineRule="exact"/>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Signatures</w:t>
              </w:r>
            </w:hyperlink>
          </w:p>
        </w:tc>
        <w:tc>
          <w:tcPr>
            <w:tcW w:w="240" w:type="dxa"/>
            <w:vAlign w:val="bottom"/>
            <w:tcBorders>
              <w:right w:val="single" w:sz="8" w:color="CCEEFF"/>
            </w:tcBorders>
            <w:gridSpan w:val="2"/>
            <w:shd w:val="clear" w:color="auto" w:fill="CCEEFF"/>
          </w:tcPr>
          <w:p>
            <w:pPr>
              <w:jc w:val="center"/>
              <w:ind w:left="2"/>
              <w:spacing w:after="0" w:line="168" w:lineRule="exact"/>
              <w:rPr>
                <w:rFonts w:ascii="Times New Roman" w:cs="Times New Roman" w:eastAsia="Times New Roman" w:hAnsi="Times New Roman"/>
                <w:sz w:val="16"/>
                <w:szCs w:val="16"/>
                <w:color w:val="0000FF"/>
                <w:w w:val="99"/>
              </w:rPr>
            </w:pPr>
            <w:hyperlink w:anchor="page31">
              <w:r>
                <w:rPr>
                  <w:rFonts w:ascii="Times New Roman" w:cs="Times New Roman" w:eastAsia="Times New Roman" w:hAnsi="Times New Roman"/>
                  <w:sz w:val="16"/>
                  <w:szCs w:val="16"/>
                  <w:color w:val="0000FF"/>
                  <w:w w:val="99"/>
                </w:rPr>
                <w:t>32</w:t>
              </w:r>
            </w:hyperlink>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860" w:type="dxa"/>
            <w:vAlign w:val="bottom"/>
            <w:shd w:val="clear" w:color="auto" w:fill="CCEEFF"/>
          </w:tcPr>
          <w:p>
            <w:pPr>
              <w:spacing w:after="0"/>
              <w:rPr>
                <w:sz w:val="3"/>
                <w:szCs w:val="3"/>
                <w:color w:val="auto"/>
              </w:rPr>
            </w:pPr>
          </w:p>
        </w:tc>
        <w:tc>
          <w:tcPr>
            <w:tcW w:w="4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20" w:type="dxa"/>
            <w:vAlign w:val="bottom"/>
            <w:tcBorders>
              <w:right w:val="single" w:sz="8" w:color="0000FF"/>
            </w:tcBorders>
            <w:shd w:val="clear" w:color="auto" w:fill="CCEE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2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Certain statements in this report, including, but not limited to, under the heading "Management’s Discussion and Analysis of Financial Condition and Results of Operations," and elsewhere in this report and in other documents that we file with the U.S. Securities and Exchange Commission ("SEC"), may constitute forward-looking statements within the meaning of the safe harbor provisions of the U.S. Private Securities Litigation Reform Act of 1995. Our forward- 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“endeavor,” "outlook," "forecast," "would," "could," "should," "project," "intend," "plan," "continue," "believe," "seek," "estimate," "anticipate," "may," "assume," "potential," "foresee," "predict," "possible," "commit," "design," "strive," and variations of such words and similar references to future periods.</w:t>
      </w:r>
    </w:p>
    <w:p>
      <w:pPr>
        <w:spacing w:after="0" w:line="19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herein, in our Annual Report on Form 10-K for the fiscal year ended July 31, 2025, and from time to time in our other filings with the SEC.</w:t>
      </w:r>
    </w:p>
    <w:p>
      <w:pPr>
        <w:spacing w:after="0" w:line="20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5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TRADEMARK NOTICE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"Oil-Dri" is a registered trademark of Oil-Dri Corporation of America.</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79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79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tcPr>
          <w:p>
            <w:pPr>
              <w:jc w:val="center"/>
              <w:ind w:left="1502"/>
              <w:spacing w:after="0"/>
              <w:rPr>
                <w:sz w:val="20"/>
                <w:szCs w:val="20"/>
                <w:color w:val="auto"/>
              </w:rPr>
            </w:pPr>
            <w:r>
              <w:rPr>
                <w:rFonts w:ascii="Times New Roman" w:cs="Times New Roman" w:eastAsia="Times New Roman" w:hAnsi="Times New Roman"/>
                <w:sz w:val="16"/>
                <w:szCs w:val="16"/>
                <w:b w:val="1"/>
                <w:bCs w:val="1"/>
                <w:color w:val="auto"/>
                <w:w w:val="97"/>
              </w:rPr>
              <w:t>OIL-DRI CORPORATION OF AMERICA</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20" w:type="dxa"/>
            <w:vAlign w:val="bottom"/>
          </w:tcPr>
          <w:p>
            <w:pPr>
              <w:jc w:val="center"/>
              <w:ind w:left="1502"/>
              <w:spacing w:after="0" w:line="182" w:lineRule="exact"/>
              <w:rPr>
                <w:sz w:val="20"/>
                <w:szCs w:val="20"/>
                <w:color w:val="auto"/>
              </w:rPr>
            </w:pPr>
            <w:r>
              <w:rPr>
                <w:rFonts w:ascii="Times New Roman" w:cs="Times New Roman" w:eastAsia="Times New Roman" w:hAnsi="Times New Roman"/>
                <w:sz w:val="16"/>
                <w:szCs w:val="16"/>
                <w:b w:val="1"/>
                <w:bCs w:val="1"/>
                <w:color w:val="auto"/>
                <w:w w:val="97"/>
              </w:rPr>
              <w:t>Condensed Consolidated Balance Sheet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20" w:type="dxa"/>
            <w:vAlign w:val="bottom"/>
          </w:tcPr>
          <w:p>
            <w:pPr>
              <w:jc w:val="center"/>
              <w:ind w:left="1542"/>
              <w:spacing w:after="0"/>
              <w:rPr>
                <w:sz w:val="20"/>
                <w:szCs w:val="20"/>
                <w:color w:val="auto"/>
              </w:rPr>
            </w:pPr>
            <w:r>
              <w:rPr>
                <w:rFonts w:ascii="Times New Roman" w:cs="Times New Roman" w:eastAsia="Times New Roman" w:hAnsi="Times New Roman"/>
                <w:sz w:val="16"/>
                <w:szCs w:val="16"/>
                <w:color w:val="auto"/>
                <w:w w:val="97"/>
              </w:rPr>
              <w:t>(in thousands, except for share and per share amounts, unaudited)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vMerge w:val="restart"/>
          </w:tcPr>
          <w:p>
            <w:pPr>
              <w:ind w:left="26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24"/>
                <w:szCs w:val="24"/>
                <w:color w:val="auto"/>
              </w:rPr>
            </w:pPr>
          </w:p>
        </w:tc>
        <w:tc>
          <w:tcPr>
            <w:tcW w:w="11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9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42,384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50,458</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Accounts receivable, net of allowances of $1,293 and $1,493 at October 31, 2025 and July 31, 2025, respectively</w:t>
            </w:r>
          </w:p>
        </w:tc>
        <w:tc>
          <w:tcPr>
            <w:tcW w:w="1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66,469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69,370</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56,645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51,594</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4,578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5,961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9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170,076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177,383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860" w:type="dxa"/>
            <w:vAlign w:val="bottom"/>
            <w:tcBorders>
              <w:bottom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b w:val="1"/>
                <w:bCs w:val="1"/>
                <w:color w:val="auto"/>
                <w:w w:val="95"/>
              </w:rPr>
              <w:t>Other Assets</w:t>
            </w:r>
          </w:p>
        </w:tc>
        <w:tc>
          <w:tcPr>
            <w:tcW w:w="706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148,680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149,704</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16,017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16,017</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920" w:type="dxa"/>
            <w:vAlign w:val="bottom"/>
            <w:gridSpan w:val="3"/>
          </w:tcPr>
          <w:p>
            <w:pPr>
              <w:spacing w:after="0" w:line="156" w:lineRule="exact"/>
              <w:rPr>
                <w:sz w:val="20"/>
                <w:szCs w:val="20"/>
                <w:color w:val="auto"/>
              </w:rPr>
            </w:pPr>
            <w:r>
              <w:rPr>
                <w:rFonts w:ascii="Times New Roman" w:cs="Times New Roman" w:eastAsia="Times New Roman" w:hAnsi="Times New Roman"/>
                <w:sz w:val="16"/>
                <w:szCs w:val="16"/>
                <w:color w:val="auto"/>
              </w:rPr>
              <w:t>Trademarks, trade names and patents, net of accumulated amortization of $710 and $693 at October 31, 2025 and July 31,</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6,595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6,603</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2025, respectively</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list, net of accumulated amortization of $9,560 and $9,278 at October 31, 2025 and July 31, 2025, respectively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18,625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18,907</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13,288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14,219</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6,588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7,553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9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210,647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214,294</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380,723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391,677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9" w:right="680" w:bottom="1440" w:gutter="0" w:footer="0" w:header="0"/>
        </w:sectPr>
      </w:pPr>
    </w:p>
    <w:bookmarkStart w:id="3" w:name="page4"/>
    <w:bookmarkEnd w:id="3"/>
    <w:p>
      <w:pPr>
        <w:ind w:left="3840"/>
        <w:spacing w:after="0"/>
        <w:rPr>
          <w:sz w:val="20"/>
          <w:szCs w:val="20"/>
          <w:color w:val="auto"/>
        </w:rPr>
      </w:pPr>
      <w:r>
        <w:rPr>
          <w:rFonts w:ascii="Times New Roman" w:cs="Times New Roman" w:eastAsia="Times New Roman" w:hAnsi="Times New Roman"/>
          <w:sz w:val="16"/>
          <w:szCs w:val="16"/>
          <w:b w:val="1"/>
          <w:bCs w:val="1"/>
          <w:color w:val="auto"/>
        </w:rPr>
        <w:t>OIL-DRI CORPORATION OF AMERICA</w:t>
      </w:r>
    </w:p>
    <w:p>
      <w:pPr>
        <w:spacing w:after="0" w:line="1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 (continued)</w:t>
      </w:r>
    </w:p>
    <w:p>
      <w:pPr>
        <w:ind w:left="3260"/>
        <w:spacing w:after="0"/>
        <w:rPr>
          <w:sz w:val="20"/>
          <w:szCs w:val="20"/>
          <w:color w:val="auto"/>
        </w:rPr>
      </w:pPr>
      <w:r>
        <w:rPr>
          <w:rFonts w:ascii="Times New Roman" w:cs="Times New Roman" w:eastAsia="Times New Roman" w:hAnsi="Times New Roman"/>
          <w:sz w:val="16"/>
          <w:szCs w:val="16"/>
          <w:color w:val="auto"/>
        </w:rPr>
        <w:t>(in thousands, except for share and per share amounts,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4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LIABILITIES &amp; STOCKHOLDERS’ EQUITY</w:t>
            </w:r>
          </w:p>
        </w:tc>
        <w:tc>
          <w:tcPr>
            <w:tcW w:w="140" w:type="dxa"/>
            <w:vAlign w:val="bottom"/>
          </w:tcPr>
          <w:p>
            <w:pPr>
              <w:spacing w:after="0"/>
              <w:rPr>
                <w:sz w:val="16"/>
                <w:szCs w:val="16"/>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60"/>
        </w:trPr>
        <w:tc>
          <w:tcPr>
            <w:tcW w:w="7940" w:type="dxa"/>
            <w:vAlign w:val="bottom"/>
            <w:gridSpan w:val="5"/>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notes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4"/>
        </w:trPr>
        <w:tc>
          <w:tcPr>
            <w:tcW w:w="79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13,945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16,808</w:t>
            </w:r>
          </w:p>
        </w:tc>
        <w:tc>
          <w:tcPr>
            <w:tcW w:w="0" w:type="dxa"/>
            <w:vAlign w:val="bottom"/>
          </w:tcPr>
          <w:p>
            <w:pPr>
              <w:spacing w:after="0"/>
              <w:rPr>
                <w:sz w:val="1"/>
                <w:szCs w:val="1"/>
                <w:color w:val="auto"/>
              </w:rPr>
            </w:pPr>
          </w:p>
        </w:tc>
      </w:tr>
      <w:tr>
        <w:trPr>
          <w:trHeight w:val="204"/>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0" w:type="dxa"/>
            <w:vAlign w:val="bottom"/>
          </w:tcPr>
          <w:p>
            <w:pPr>
              <w:spacing w:after="0"/>
              <w:rPr>
                <w:sz w:val="1"/>
                <w:szCs w:val="1"/>
                <w:color w:val="auto"/>
              </w:rPr>
            </w:pPr>
          </w:p>
        </w:tc>
      </w:tr>
      <w:tr>
        <w:trPr>
          <w:trHeight w:val="204"/>
        </w:trPr>
        <w:tc>
          <w:tcPr>
            <w:tcW w:w="79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0" w:type="dxa"/>
            <w:vAlign w:val="bottom"/>
          </w:tcPr>
          <w:p>
            <w:pPr>
              <w:spacing w:after="0"/>
              <w:rPr>
                <w:sz w:val="1"/>
                <w:szCs w:val="1"/>
                <w:color w:val="auto"/>
              </w:rPr>
            </w:pPr>
          </w:p>
        </w:tc>
      </w:tr>
      <w:tr>
        <w:trPr>
          <w:trHeight w:val="204"/>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29,715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7920" w:type="dxa"/>
            <w:vAlign w:val="bottom"/>
            <w:tcBorders>
              <w:bottom w:val="single" w:sz="8" w:color="CCEEFF"/>
            </w:tcBorders>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50,886</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69,187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940" w:type="dxa"/>
            <w:vAlign w:val="bottom"/>
            <w:gridSpan w:val="5"/>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Long-term debt, net of unamortized debt issuance costs of $173 and $183 at October 31, 2025 and July 31, 2025, respectively</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38,817</w:t>
            </w:r>
          </w:p>
        </w:tc>
        <w:tc>
          <w:tcPr>
            <w:tcW w:w="0" w:type="dxa"/>
            <w:vAlign w:val="bottom"/>
          </w:tcPr>
          <w:p>
            <w:pPr>
              <w:spacing w:after="0"/>
              <w:rPr>
                <w:sz w:val="1"/>
                <w:szCs w:val="1"/>
                <w:color w:val="auto"/>
              </w:rPr>
            </w:pPr>
          </w:p>
        </w:tc>
      </w:tr>
      <w:tr>
        <w:trPr>
          <w:trHeight w:val="204"/>
        </w:trPr>
        <w:tc>
          <w:tcPr>
            <w:tcW w:w="79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6,241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0" w:type="dxa"/>
            <w:vAlign w:val="bottom"/>
          </w:tcPr>
          <w:p>
            <w:pPr>
              <w:spacing w:after="0"/>
              <w:rPr>
                <w:sz w:val="1"/>
                <w:szCs w:val="1"/>
                <w:color w:val="auto"/>
              </w:rPr>
            </w:pPr>
          </w:p>
        </w:tc>
      </w:tr>
      <w:tr>
        <w:trPr>
          <w:trHeight w:val="204"/>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10,604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11,296</w:t>
            </w:r>
          </w:p>
        </w:tc>
        <w:tc>
          <w:tcPr>
            <w:tcW w:w="0" w:type="dxa"/>
            <w:vAlign w:val="bottom"/>
          </w:tcPr>
          <w:p>
            <w:pPr>
              <w:spacing w:after="0"/>
              <w:rPr>
                <w:sz w:val="1"/>
                <w:szCs w:val="1"/>
                <w:color w:val="auto"/>
              </w:rPr>
            </w:pPr>
          </w:p>
        </w:tc>
      </w:tr>
      <w:tr>
        <w:trPr>
          <w:trHeight w:val="204"/>
        </w:trPr>
        <w:tc>
          <w:tcPr>
            <w:tcW w:w="79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7,638</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92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63,310</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92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114,196</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132,617</w:t>
            </w:r>
          </w:p>
        </w:tc>
        <w:tc>
          <w:tcPr>
            <w:tcW w:w="0" w:type="dxa"/>
            <w:vAlign w:val="bottom"/>
          </w:tcPr>
          <w:p>
            <w:pPr>
              <w:spacing w:after="0"/>
              <w:rPr>
                <w:sz w:val="1"/>
                <w:szCs w:val="1"/>
                <w:color w:val="auto"/>
              </w:rPr>
            </w:pPr>
          </w:p>
        </w:tc>
      </w:tr>
      <w:tr>
        <w:trPr>
          <w:trHeight w:val="184"/>
        </w:trPr>
        <w:tc>
          <w:tcPr>
            <w:tcW w:w="79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(See note 7)</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940" w:type="dxa"/>
            <w:vAlign w:val="bottom"/>
            <w:gridSpan w:val="5"/>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794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6"/>
                <w:szCs w:val="16"/>
                <w:color w:val="auto"/>
              </w:rPr>
              <w:t>Common Stock, par value $.10 per share, issued 15,327,961 shares at October 31, 2025</w:t>
            </w: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1,533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and 15,276,261 shares at July 31, 2025</w:t>
            </w: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940" w:type="dxa"/>
            <w:vAlign w:val="bottom"/>
            <w:gridSpan w:val="5"/>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Class B Stock, par value $.10 per share, issued 4,650,484 shares at October 31, 2025</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9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and 4,650,484 shares at July 31, 2025</w:t>
            </w: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67,597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66,138</w:t>
            </w:r>
          </w:p>
        </w:tc>
        <w:tc>
          <w:tcPr>
            <w:tcW w:w="0" w:type="dxa"/>
            <w:vAlign w:val="bottom"/>
          </w:tcPr>
          <w:p>
            <w:pPr>
              <w:spacing w:after="0"/>
              <w:rPr>
                <w:sz w:val="1"/>
                <w:szCs w:val="1"/>
                <w:color w:val="auto"/>
              </w:rPr>
            </w:pPr>
          </w:p>
        </w:tc>
      </w:tr>
      <w:tr>
        <w:trPr>
          <w:trHeight w:val="204"/>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290,523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277,500</w:t>
            </w:r>
          </w:p>
        </w:tc>
        <w:tc>
          <w:tcPr>
            <w:tcW w:w="0" w:type="dxa"/>
            <w:vAlign w:val="bottom"/>
          </w:tcPr>
          <w:p>
            <w:pPr>
              <w:spacing w:after="0"/>
              <w:rPr>
                <w:sz w:val="1"/>
                <w:szCs w:val="1"/>
                <w:color w:val="auto"/>
              </w:rPr>
            </w:pPr>
          </w:p>
        </w:tc>
      </w:tr>
      <w:tr>
        <w:trPr>
          <w:trHeight w:val="204"/>
        </w:trPr>
        <w:tc>
          <w:tcPr>
            <w:tcW w:w="79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156"/>
        </w:trPr>
        <w:tc>
          <w:tcPr>
            <w:tcW w:w="7940" w:type="dxa"/>
            <w:vAlign w:val="bottom"/>
            <w:gridSpan w:val="5"/>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Less Treasury Stock, at cost (4,984,704 Common and 416,544 Class B shares at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(94,516)</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(87,540)</w:t>
            </w:r>
          </w:p>
        </w:tc>
        <w:tc>
          <w:tcPr>
            <w:tcW w:w="0" w:type="dxa"/>
            <w:vAlign w:val="bottom"/>
          </w:tcPr>
          <w:p>
            <w:pPr>
              <w:spacing w:after="0"/>
              <w:rPr>
                <w:sz w:val="1"/>
                <w:szCs w:val="1"/>
                <w:color w:val="auto"/>
              </w:rPr>
            </w:pPr>
          </w:p>
        </w:tc>
      </w:tr>
      <w:tr>
        <w:trPr>
          <w:trHeight w:val="204"/>
        </w:trPr>
        <w:tc>
          <w:tcPr>
            <w:tcW w:w="7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31, 2025 and 4,902,881 Common and 380,628 Class B shares at July 31, 2025)</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7920" w:type="dxa"/>
            <w:vAlign w:val="bottom"/>
            <w:tcBorders>
              <w:bottom w:val="single" w:sz="8" w:color="CCEEFF"/>
            </w:tcBorders>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266,527</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259,060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&amp;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380,723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39" w:right="700"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OIL-DRI CORPORATION OF AMERICA</w:t>
      </w:r>
    </w:p>
    <w:p>
      <w:pPr>
        <w:spacing w:after="0" w:line="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ind w:right="-239"/>
        <w:spacing w:after="0"/>
        <w:rPr>
          <w:sz w:val="20"/>
          <w:szCs w:val="20"/>
          <w:color w:val="auto"/>
        </w:rPr>
      </w:pPr>
      <w:r>
        <w:rPr>
          <w:rFonts w:ascii="Times New Roman" w:cs="Times New Roman" w:eastAsia="Times New Roman" w:hAnsi="Times New Roman"/>
          <w:sz w:val="16"/>
          <w:szCs w:val="16"/>
          <w:color w:val="auto"/>
        </w:rPr>
        <w:t>(in thousands, except for share and per share amounts, unaudited)</w:t>
      </w:r>
    </w:p>
    <w:p>
      <w:pPr>
        <w:spacing w:after="0" w:line="84"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4"/>
          <w:szCs w:val="14"/>
          <w:b w:val="1"/>
          <w:bCs w:val="1"/>
          <w:color w:val="auto"/>
        </w:rPr>
        <w:t>For the Three Months Ended October</w:t>
      </w:r>
    </w:p>
    <w:p>
      <w:pPr>
        <w:spacing w:after="0" w:line="15"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8"/>
        </w:trPr>
        <w:tc>
          <w:tcPr>
            <w:tcW w:w="55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00"/>
        </w:trPr>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0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120,486</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127,945</w:t>
            </w:r>
          </w:p>
        </w:tc>
      </w:tr>
      <w:tr>
        <w:trPr>
          <w:trHeight w:val="20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(84,991)</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(87,165)</w:t>
            </w:r>
          </w:p>
        </w:tc>
      </w:tr>
      <w:tr>
        <w:trPr>
          <w:trHeight w:val="19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35,495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40,780</w:t>
            </w:r>
          </w:p>
        </w:tc>
      </w:tr>
      <w:tr>
        <w:trPr>
          <w:trHeight w:val="20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(18,541)</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(19,590)</w:t>
            </w:r>
          </w:p>
        </w:tc>
      </w:tr>
      <w:tr>
        <w:trPr>
          <w:trHeight w:val="19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16,954</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21,190</w:t>
            </w:r>
          </w:p>
        </w:tc>
      </w:tr>
      <w:tr>
        <w:trPr>
          <w:trHeight w:val="100"/>
        </w:trPr>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0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4"/>
        </w:trPr>
        <w:tc>
          <w:tcPr>
            <w:tcW w:w="5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04"/>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394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r>
      <w:tr>
        <w:trPr>
          <w:trHeight w:val="204"/>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882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196"/>
        </w:trPr>
        <w:tc>
          <w:tcPr>
            <w:tcW w:w="5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b w:val="1"/>
                <w:bCs w:val="1"/>
                <w:color w:val="auto"/>
              </w:rPr>
              <w:t>Total Other Income (Expense), Net</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720</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196"/>
        </w:trPr>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17,674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20,202</w:t>
            </w:r>
          </w:p>
        </w:tc>
      </w:tr>
      <w:tr>
        <w:trPr>
          <w:trHeight w:val="20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(2,218)</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w:t>
            </w:r>
          </w:p>
        </w:tc>
      </w:tr>
      <w:tr>
        <w:trPr>
          <w:trHeight w:val="19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15,456</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16,376</w:t>
            </w:r>
          </w:p>
        </w:tc>
      </w:tr>
      <w:tr>
        <w:trPr>
          <w:trHeight w:val="100"/>
        </w:trPr>
        <w:tc>
          <w:tcPr>
            <w:tcW w:w="5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0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4"/>
        </w:trPr>
        <w:tc>
          <w:tcPr>
            <w:tcW w:w="5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Common</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r>
      <w:tr>
        <w:trPr>
          <w:trHeight w:val="204"/>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Class B</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0.86</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0.91</w:t>
            </w:r>
          </w:p>
        </w:tc>
      </w:tr>
      <w:tr>
        <w:trPr>
          <w:trHeight w:val="204"/>
        </w:trPr>
        <w:tc>
          <w:tcPr>
            <w:tcW w:w="5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Common</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w:t>
            </w:r>
          </w:p>
        </w:tc>
      </w:tr>
      <w:tr>
        <w:trPr>
          <w:trHeight w:val="204"/>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Class B</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0.86</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0.91</w:t>
            </w:r>
          </w:p>
        </w:tc>
      </w:tr>
      <w:tr>
        <w:trPr>
          <w:trHeight w:val="20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Outstanding</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4"/>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Common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9,919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9,844</w:t>
            </w:r>
          </w:p>
        </w:tc>
      </w:tr>
      <w:tr>
        <w:trPr>
          <w:trHeight w:val="204"/>
        </w:trPr>
        <w:tc>
          <w:tcPr>
            <w:tcW w:w="5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Class B</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3,967</w:t>
            </w:r>
          </w:p>
        </w:tc>
      </w:tr>
      <w:tr>
        <w:trPr>
          <w:trHeight w:val="204"/>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Common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13,927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13,811</w:t>
            </w:r>
          </w:p>
        </w:tc>
      </w:tr>
      <w:tr>
        <w:trPr>
          <w:trHeight w:val="204"/>
        </w:trPr>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Class B</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3,967</w:t>
            </w:r>
          </w:p>
        </w:tc>
      </w:tr>
      <w:tr>
        <w:trPr>
          <w:trHeight w:val="20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Share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4"/>
        </w:trPr>
        <w:tc>
          <w:tcPr>
            <w:tcW w:w="5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0.180</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0.155</w:t>
            </w:r>
          </w:p>
        </w:tc>
      </w:tr>
      <w:tr>
        <w:trPr>
          <w:trHeight w:val="204"/>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Class B Stock</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0.135</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0.117</w:t>
            </w: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53975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220"/>
          </w:cols>
          <w:pgMar w:left="1240" w:top="1239" w:right="1440" w:bottom="1440" w:gutter="0" w:footer="0" w:header="0"/>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OIL-DRI CORPORATION OF AMERICA</w:t>
      </w:r>
    </w:p>
    <w:p>
      <w:pPr>
        <w:spacing w:after="0" w:line="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jc w:val="center"/>
        <w:ind w:right="-199"/>
        <w:spacing w:after="0"/>
        <w:rPr>
          <w:sz w:val="20"/>
          <w:szCs w:val="20"/>
          <w:color w:val="auto"/>
        </w:rPr>
      </w:pPr>
      <w:r>
        <w:rPr>
          <w:rFonts w:ascii="Times New Roman" w:cs="Times New Roman" w:eastAsia="Times New Roman" w:hAnsi="Times New Roman"/>
          <w:sz w:val="16"/>
          <w:szCs w:val="16"/>
          <w:color w:val="auto"/>
        </w:rPr>
        <w:t>(in thousands, unaudited)</w:t>
      </w:r>
    </w:p>
    <w:p>
      <w:pPr>
        <w:spacing w:after="0" w:line="304"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6"/>
          <w:szCs w:val="16"/>
          <w:b w:val="1"/>
          <w:bCs w:val="1"/>
          <w:color w:val="auto"/>
        </w:rPr>
        <w:t>For the Three Months Ended October</w:t>
      </w:r>
    </w:p>
    <w:p>
      <w:pPr>
        <w:jc w:val="center"/>
        <w:ind w:left="546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8"/>
        </w:trPr>
        <w:tc>
          <w:tcPr>
            <w:tcW w:w="54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15,456</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16,376</w:t>
            </w:r>
          </w:p>
        </w:tc>
      </w:t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4"/>
        </w:trPr>
        <w:tc>
          <w:tcPr>
            <w:tcW w:w="5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Postretirement expenses (net of tax)</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1"/>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15,412</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16,334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ectPr>
          <w:pgSz w:w="11900" w:h="16840" w:orient="portrait"/>
          <w:cols w:equalWidth="0" w:num="1">
            <w:col w:w="9220"/>
          </w:cols>
          <w:pgMar w:left="1240" w:top="12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53975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220"/>
          </w:cols>
          <w:pgMar w:left="1240" w:top="1239" w:right="1440" w:bottom="1440" w:gutter="0" w:footer="0" w:header="0"/>
          <w:type w:val="continuous"/>
        </w:sectPr>
      </w:pPr>
    </w:p>
    <w:bookmarkStart w:id="6" w:name="page7"/>
    <w:bookmarkEnd w:id="6"/>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OIL-DRI CORPORATION OF AMERICA</w:t>
      </w:r>
    </w:p>
    <w:p>
      <w:pPr>
        <w:spacing w:after="0" w:line="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jc w:val="center"/>
        <w:ind w:right="-539"/>
        <w:spacing w:after="0"/>
        <w:rPr>
          <w:sz w:val="20"/>
          <w:szCs w:val="20"/>
          <w:color w:val="auto"/>
        </w:rPr>
      </w:pPr>
      <w:r>
        <w:rPr>
          <w:rFonts w:ascii="Times New Roman" w:cs="Times New Roman" w:eastAsia="Times New Roman" w:hAnsi="Times New Roman"/>
          <w:sz w:val="16"/>
          <w:szCs w:val="16"/>
          <w:color w:val="auto"/>
        </w:rPr>
        <w:t>(in thousands, except for share amounts, unaudited)</w:t>
      </w:r>
    </w:p>
    <w:p>
      <w:pPr>
        <w:spacing w:after="0" w:line="361" w:lineRule="exact"/>
        <w:rPr>
          <w:sz w:val="20"/>
          <w:szCs w:val="20"/>
          <w:color w:val="auto"/>
        </w:rPr>
      </w:pPr>
    </w:p>
    <w:tbl>
      <w:tblPr>
        <w:tblLayout w:type="fixed"/>
        <w:tblInd w:w="520" w:type="dxa"/>
        <w:tblCellMar>
          <w:top w:w="0" w:type="dxa"/>
          <w:left w:w="0" w:type="dxa"/>
          <w:bottom w:w="0" w:type="dxa"/>
          <w:right w:w="0" w:type="dxa"/>
        </w:tblCellMar>
      </w:tblPr>
      <w:tr>
        <w:trPr>
          <w:trHeight w:val="144"/>
        </w:trPr>
        <w:tc>
          <w:tcPr>
            <w:tcW w:w="20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1"/>
                <w:szCs w:val="11"/>
                <w:b w:val="1"/>
                <w:bCs w:val="1"/>
                <w:color w:val="auto"/>
              </w:rPr>
              <w:t>For the Three Months Ended October 31</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920" w:type="dxa"/>
            <w:vAlign w:val="bottom"/>
            <w:tcBorders>
              <w:bottom w:val="single" w:sz="8" w:color="auto"/>
            </w:tcBorders>
            <w:gridSpan w:val="3"/>
          </w:tcPr>
          <w:p>
            <w:pPr>
              <w:jc w:val="right"/>
              <w:ind w:right="506"/>
              <w:spacing w:after="0"/>
              <w:rPr>
                <w:sz w:val="20"/>
                <w:szCs w:val="20"/>
                <w:color w:val="auto"/>
              </w:rPr>
            </w:pPr>
            <w:r>
              <w:rPr>
                <w:rFonts w:ascii="Times New Roman" w:cs="Times New Roman" w:eastAsia="Times New Roman" w:hAnsi="Times New Roman"/>
                <w:sz w:val="11"/>
                <w:szCs w:val="11"/>
                <w:color w:val="auto"/>
              </w:rPr>
              <w:t>Number of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40" w:type="dxa"/>
            <w:vAlign w:val="bottom"/>
          </w:tcPr>
          <w:p>
            <w:pPr>
              <w:spacing w:after="0"/>
              <w:rPr>
                <w:sz w:val="9"/>
                <w:szCs w:val="9"/>
                <w:color w:val="auto"/>
              </w:rPr>
            </w:pPr>
          </w:p>
        </w:tc>
        <w:tc>
          <w:tcPr>
            <w:tcW w:w="960" w:type="dxa"/>
            <w:vAlign w:val="bottom"/>
          </w:tcPr>
          <w:p>
            <w:pPr>
              <w:jc w:val="right"/>
              <w:ind w:right="6"/>
              <w:spacing w:after="0" w:line="114" w:lineRule="exact"/>
              <w:rPr>
                <w:sz w:val="20"/>
                <w:szCs w:val="20"/>
                <w:color w:val="auto"/>
              </w:rPr>
            </w:pPr>
            <w:r>
              <w:rPr>
                <w:rFonts w:ascii="Times New Roman" w:cs="Times New Roman" w:eastAsia="Times New Roman" w:hAnsi="Times New Roman"/>
                <w:sz w:val="11"/>
                <w:szCs w:val="11"/>
                <w:color w:val="auto"/>
                <w:w w:val="98"/>
              </w:rPr>
              <w:t>Common &amp; Class B</w:t>
            </w:r>
          </w:p>
        </w:tc>
        <w:tc>
          <w:tcPr>
            <w:tcW w:w="80" w:type="dxa"/>
            <w:vAlign w:val="bottom"/>
          </w:tcPr>
          <w:p>
            <w:pPr>
              <w:spacing w:after="0"/>
              <w:rPr>
                <w:sz w:val="9"/>
                <w:szCs w:val="9"/>
                <w:color w:val="auto"/>
              </w:rPr>
            </w:pPr>
          </w:p>
        </w:tc>
        <w:tc>
          <w:tcPr>
            <w:tcW w:w="8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Treasury Stock</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99"/>
              </w:rPr>
              <w:t>Common &amp;</w:t>
            </w:r>
          </w:p>
        </w:tc>
        <w:tc>
          <w:tcPr>
            <w:tcW w:w="100" w:type="dxa"/>
            <w:vAlign w:val="bottom"/>
          </w:tcPr>
          <w:p>
            <w:pPr>
              <w:spacing w:after="0"/>
              <w:rPr>
                <w:sz w:val="9"/>
                <w:szCs w:val="9"/>
                <w:color w:val="auto"/>
              </w:rPr>
            </w:pPr>
          </w:p>
        </w:tc>
        <w:tc>
          <w:tcPr>
            <w:tcW w:w="9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Additional Paid-In</w:t>
            </w:r>
          </w:p>
        </w:tc>
        <w:tc>
          <w:tcPr>
            <w:tcW w:w="120" w:type="dxa"/>
            <w:vAlign w:val="bottom"/>
          </w:tcPr>
          <w:p>
            <w:pPr>
              <w:spacing w:after="0"/>
              <w:rPr>
                <w:sz w:val="9"/>
                <w:szCs w:val="9"/>
                <w:color w:val="auto"/>
              </w:rPr>
            </w:pPr>
          </w:p>
        </w:tc>
        <w:tc>
          <w:tcPr>
            <w:tcW w:w="600" w:type="dxa"/>
            <w:vAlign w:val="bottom"/>
          </w:tcPr>
          <w:p>
            <w:pPr>
              <w:jc w:val="right"/>
              <w:ind w:right="126"/>
              <w:spacing w:after="0" w:line="114" w:lineRule="exact"/>
              <w:rPr>
                <w:sz w:val="20"/>
                <w:szCs w:val="20"/>
                <w:color w:val="auto"/>
              </w:rPr>
            </w:pPr>
            <w:r>
              <w:rPr>
                <w:rFonts w:ascii="Times New Roman" w:cs="Times New Roman" w:eastAsia="Times New Roman" w:hAnsi="Times New Roman"/>
                <w:sz w:val="11"/>
                <w:szCs w:val="11"/>
                <w:color w:val="auto"/>
              </w:rPr>
              <w:t>Retained</w:t>
            </w:r>
          </w:p>
        </w:tc>
        <w:tc>
          <w:tcPr>
            <w:tcW w:w="80" w:type="dxa"/>
            <w:vAlign w:val="bottom"/>
          </w:tcPr>
          <w:p>
            <w:pPr>
              <w:spacing w:after="0"/>
              <w:rPr>
                <w:sz w:val="9"/>
                <w:szCs w:val="9"/>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Treasury Stock</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right"/>
              <w:ind w:right="86"/>
              <w:spacing w:after="0" w:line="114" w:lineRule="exact"/>
              <w:rPr>
                <w:sz w:val="20"/>
                <w:szCs w:val="20"/>
                <w:color w:val="auto"/>
              </w:rPr>
            </w:pPr>
            <w:r>
              <w:rPr>
                <w:rFonts w:ascii="Times New Roman" w:cs="Times New Roman" w:eastAsia="Times New Roman" w:hAnsi="Times New Roman"/>
                <w:sz w:val="11"/>
                <w:szCs w:val="11"/>
                <w:color w:val="auto"/>
                <w:w w:val="99"/>
              </w:rPr>
              <w:t>Accumulated Other</w:t>
            </w:r>
          </w:p>
        </w:tc>
        <w:tc>
          <w:tcPr>
            <w:tcW w:w="100" w:type="dxa"/>
            <w:vAlign w:val="bottom"/>
          </w:tcPr>
          <w:p>
            <w:pPr>
              <w:spacing w:after="0"/>
              <w:rPr>
                <w:sz w:val="9"/>
                <w:szCs w:val="9"/>
                <w:color w:val="auto"/>
              </w:rPr>
            </w:pPr>
          </w:p>
        </w:tc>
        <w:tc>
          <w:tcPr>
            <w:tcW w:w="9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Total Stockholders'</w:t>
            </w:r>
          </w:p>
        </w:tc>
        <w:tc>
          <w:tcPr>
            <w:tcW w:w="0" w:type="dxa"/>
            <w:vAlign w:val="bottom"/>
          </w:tcPr>
          <w:p>
            <w:pPr>
              <w:spacing w:after="0"/>
              <w:rPr>
                <w:sz w:val="1"/>
                <w:szCs w:val="1"/>
                <w:color w:val="auto"/>
              </w:rPr>
            </w:pPr>
          </w:p>
        </w:tc>
      </w:tr>
      <w:tr>
        <w:trPr>
          <w:trHeight w:val="142"/>
        </w:trPr>
        <w:tc>
          <w:tcPr>
            <w:tcW w:w="20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rPr>
              <w:t>Stock</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Class B Stock</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Capital</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Earnings</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rPr>
              <w:t>Equity</w:t>
            </w:r>
          </w:p>
        </w:tc>
        <w:tc>
          <w:tcPr>
            <w:tcW w:w="0" w:type="dxa"/>
            <w:vAlign w:val="bottom"/>
          </w:tcPr>
          <w:p>
            <w:pPr>
              <w:spacing w:after="0"/>
              <w:rPr>
                <w:sz w:val="1"/>
                <w:szCs w:val="1"/>
                <w:color w:val="auto"/>
              </w:rPr>
            </w:pPr>
          </w:p>
        </w:tc>
      </w:tr>
      <w:tr>
        <w:trPr>
          <w:trHeight w:val="15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July 31, 2024</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19,825,170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(5,230,529)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1,982</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60,031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232,247</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(84,441)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769</w:t>
            </w:r>
          </w:p>
        </w:tc>
        <w:tc>
          <w:tcPr>
            <w:tcW w:w="3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210,588</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16,376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16,376</w:t>
            </w: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(2,098)</w:t>
            </w: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(29,002)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(1,984)</w:t>
            </w:r>
          </w:p>
        </w:tc>
        <w:tc>
          <w:tcPr>
            <w:tcW w:w="0" w:type="dxa"/>
            <w:vAlign w:val="bottom"/>
          </w:tcPr>
          <w:p>
            <w:pPr>
              <w:spacing w:after="0"/>
              <w:rPr>
                <w:sz w:val="1"/>
                <w:szCs w:val="1"/>
                <w:color w:val="auto"/>
              </w:rPr>
            </w:pPr>
          </w:p>
        </w:tc>
      </w:tr>
      <w:tr>
        <w:trPr>
          <w:trHeight w:val="120"/>
        </w:trPr>
        <w:tc>
          <w:tcPr>
            <w:tcW w:w="204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Net issuance of stock under long-term</w:t>
            </w:r>
          </w:p>
        </w:tc>
        <w:tc>
          <w:tcPr>
            <w:tcW w:w="9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40,800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(10,739)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572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(576)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incentive plans</w:t>
            </w:r>
          </w:p>
        </w:tc>
        <w:tc>
          <w:tcPr>
            <w:tcW w:w="9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Restricted Stock</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1,152</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1,152</w:t>
            </w:r>
          </w:p>
        </w:tc>
        <w:tc>
          <w:tcPr>
            <w:tcW w:w="0" w:type="dxa"/>
            <w:vAlign w:val="bottom"/>
          </w:tcPr>
          <w:p>
            <w:pPr>
              <w:spacing w:after="0"/>
              <w:rPr>
                <w:sz w:val="1"/>
                <w:szCs w:val="1"/>
                <w:color w:val="auto"/>
              </w:rPr>
            </w:pPr>
          </w:p>
        </w:tc>
      </w:tr>
      <w:tr>
        <w:trPr>
          <w:trHeight w:val="150"/>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October 31, 2024</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19,865,970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(5,270,270)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1,986</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61,755</w:t>
            </w:r>
          </w:p>
        </w:tc>
        <w:tc>
          <w:tcPr>
            <w:tcW w:w="1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246,525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(87,001)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727</w:t>
            </w:r>
          </w:p>
        </w:tc>
        <w:tc>
          <w:tcPr>
            <w:tcW w:w="3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223,992</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July 31, 2025</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19,926,745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(5,283,509)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1,993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66,138</w:t>
            </w:r>
          </w:p>
        </w:tc>
        <w:tc>
          <w:tcPr>
            <w:tcW w:w="1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277,500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(87,540)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969</w:t>
            </w:r>
          </w:p>
        </w:tc>
        <w:tc>
          <w:tcPr>
            <w:tcW w:w="3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259,060</w:t>
            </w: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15,456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15,456</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(2,433)</w:t>
            </w:r>
          </w:p>
        </w:tc>
        <w:tc>
          <w:tcPr>
            <w:tcW w:w="0" w:type="dxa"/>
            <w:vAlign w:val="bottom"/>
          </w:tcPr>
          <w:p>
            <w:pPr>
              <w:spacing w:after="0"/>
              <w:rPr>
                <w:sz w:val="1"/>
                <w:szCs w:val="1"/>
                <w:color w:val="auto"/>
              </w:rPr>
            </w:pPr>
          </w:p>
        </w:tc>
      </w:tr>
      <w:tr>
        <w:trPr>
          <w:trHeight w:val="154"/>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(117,239)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(6,960)</w:t>
            </w: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Net issuance of stock under long-term</w:t>
            </w:r>
          </w:p>
        </w:tc>
        <w:tc>
          <w:tcPr>
            <w:tcW w:w="9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51,700</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incentive plans</w:t>
            </w:r>
          </w:p>
        </w:tc>
        <w:tc>
          <w:tcPr>
            <w:tcW w:w="960" w:type="dxa"/>
            <w:vAlign w:val="bottom"/>
            <w:vMerge w:val="continue"/>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Amortization of Restricted Stock</w:t>
            </w: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1,448</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1,448</w:t>
            </w:r>
          </w:p>
        </w:tc>
        <w:tc>
          <w:tcPr>
            <w:tcW w:w="0" w:type="dxa"/>
            <w:vAlign w:val="bottom"/>
          </w:tcPr>
          <w:p>
            <w:pPr>
              <w:spacing w:after="0"/>
              <w:rPr>
                <w:sz w:val="1"/>
                <w:szCs w:val="1"/>
                <w:color w:val="auto"/>
              </w:rPr>
            </w:pPr>
          </w:p>
        </w:tc>
      </w:tr>
      <w:tr>
        <w:trPr>
          <w:trHeight w:val="17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October 31, 2025</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19,978,445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(5,401,248)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1,998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67,597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290,523</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(94,516)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925</w:t>
            </w:r>
          </w:p>
        </w:tc>
        <w:tc>
          <w:tcPr>
            <w:tcW w:w="3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266,527</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660" w:top="1239" w:right="1180" w:bottom="1440" w:gutter="0" w:footer="0" w:header="0"/>
        </w:sectPr>
      </w:pPr>
    </w:p>
    <w:bookmarkStart w:id="7" w:name="page8"/>
    <w:bookmarkEnd w:id="7"/>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OIL-DRI CORPORATION OF AMERICA</w:t>
      </w:r>
    </w:p>
    <w:p>
      <w:pPr>
        <w:spacing w:after="0" w:line="1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ind w:right="-539"/>
        <w:spacing w:after="0"/>
        <w:rPr>
          <w:sz w:val="20"/>
          <w:szCs w:val="20"/>
          <w:color w:val="auto"/>
        </w:rPr>
      </w:pPr>
      <w:r>
        <w:rPr>
          <w:rFonts w:ascii="Times New Roman" w:cs="Times New Roman" w:eastAsia="Times New Roman" w:hAnsi="Times New Roman"/>
          <w:sz w:val="16"/>
          <w:szCs w:val="16"/>
          <w:color w:val="auto"/>
        </w:rPr>
        <w:t>(in thousands, unaudited)</w:t>
      </w:r>
    </w:p>
    <w:p>
      <w:pPr>
        <w:spacing w:after="0" w:line="59"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October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Pr>
          <w:p>
            <w:pPr>
              <w:spacing w:after="0"/>
              <w:rPr>
                <w:sz w:val="17"/>
                <w:szCs w:val="17"/>
                <w:color w:val="auto"/>
              </w:rPr>
            </w:pPr>
          </w:p>
        </w:tc>
        <w:tc>
          <w:tcPr>
            <w:tcW w:w="90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260" w:type="dxa"/>
            <w:vAlign w:val="bottom"/>
          </w:tcPr>
          <w:p>
            <w:pPr>
              <w:spacing w:after="0"/>
              <w:rPr>
                <w:sz w:val="17"/>
                <w:szCs w:val="17"/>
                <w:color w:val="auto"/>
              </w:rPr>
            </w:pPr>
          </w:p>
        </w:tc>
        <w:tc>
          <w:tcPr>
            <w:tcW w:w="920" w:type="dxa"/>
            <w:vAlign w:val="bottom"/>
            <w:vMerge w:val="restart"/>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15,456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5,805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bad debts and cash discounts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Loss on impairment of patent applications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Accretion of asset retirement obligation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Loss on the disposals of property, plant and equipment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decrease in assets: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3,077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(decrease) in liabilities: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(13,828)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(1,039)</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900" w:type="dxa"/>
            <w:vAlign w:val="bottom"/>
            <w:tcBorders>
              <w:bottom w:val="single" w:sz="8" w:color="CCEEFF"/>
            </w:tcBorders>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Total Adjustments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(5,107)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10,349</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6900" w:type="dxa"/>
            <w:vAlign w:val="bottom"/>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CCEEFF"/>
              <w:bottom w:val="single" w:sz="8" w:color="CCEEFF"/>
            </w:tcBorders>
          </w:tcPr>
          <w:p>
            <w:pPr>
              <w:spacing w:after="0"/>
              <w:rPr>
                <w:sz w:val="17"/>
                <w:szCs w:val="17"/>
                <w:color w:val="auto"/>
              </w:rPr>
            </w:pPr>
          </w:p>
        </w:tc>
        <w:tc>
          <w:tcPr>
            <w:tcW w:w="3400" w:type="dxa"/>
            <w:vAlign w:val="bottom"/>
            <w:tcBorders>
              <w:top w:val="single" w:sz="8" w:color="auto"/>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3500" w:type="dxa"/>
            <w:vAlign w:val="bottom"/>
            <w:tcBorders>
              <w:top w:val="single" w:sz="8" w:color="CCEEFF"/>
              <w:bottom w:val="single" w:sz="8" w:color="CCEEFF"/>
            </w:tcBorders>
            <w:gridSpan w:val="3"/>
          </w:tcPr>
          <w:p>
            <w:pPr>
              <w:spacing w:after="0"/>
              <w:rPr>
                <w:sz w:val="17"/>
                <w:szCs w:val="17"/>
                <w:color w:val="auto"/>
              </w:rPr>
            </w:pPr>
          </w:p>
        </w:tc>
        <w:tc>
          <w:tcPr>
            <w:tcW w:w="260" w:type="dxa"/>
            <w:vAlign w:val="bottom"/>
            <w:tcBorders>
              <w:top w:val="single" w:sz="8" w:color="CCEEFF"/>
              <w:bottom w:val="single" w:sz="8" w:color="auto"/>
            </w:tcBorders>
          </w:tcPr>
          <w:p>
            <w:pPr>
              <w:spacing w:after="0"/>
              <w:rPr>
                <w:sz w:val="17"/>
                <w:szCs w:val="17"/>
                <w:color w:val="auto"/>
              </w:rPr>
            </w:pPr>
          </w:p>
        </w:tc>
        <w:tc>
          <w:tcPr>
            <w:tcW w:w="9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(9,066)</w:t>
            </w:r>
          </w:p>
        </w:tc>
        <w:tc>
          <w:tcPr>
            <w:tcW w:w="24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CCEEFF"/>
              <w:bottom w:val="single" w:sz="8" w:color="auto"/>
            </w:tcBorders>
          </w:tcPr>
          <w:p>
            <w:pPr>
              <w:spacing w:after="0"/>
              <w:rPr>
                <w:sz w:val="17"/>
                <w:szCs w:val="17"/>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(9,066)</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6900" w:type="dxa"/>
            <w:vAlign w:val="bottom"/>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3460" w:type="dxa"/>
            <w:vAlign w:val="bottom"/>
            <w:tcBorders>
              <w:top w:val="single" w:sz="8" w:color="CCEEFF"/>
            </w:tcBorders>
            <w:gridSpan w:val="2"/>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690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(9,404)</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(8,074)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(10,975)</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6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Period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50,458</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24,481</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42,384</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40"/>
          </w:cols>
          <w:pgMar w:left="660" w:top="1239" w:right="1200" w:bottom="1440" w:gutter="0" w:footer="0" w:header="0"/>
        </w:sectPr>
      </w:pPr>
    </w:p>
    <w:bookmarkStart w:id="8" w:name="page9"/>
    <w:bookmarkEnd w:id="8"/>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OIL-DRI CORPORATION OF AMERICA</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 Continued</w:t>
      </w:r>
    </w:p>
    <w:p>
      <w:pPr>
        <w:jc w:val="center"/>
        <w:ind w:right="-39"/>
        <w:spacing w:after="0"/>
        <w:rPr>
          <w:sz w:val="20"/>
          <w:szCs w:val="20"/>
          <w:color w:val="auto"/>
        </w:rPr>
      </w:pPr>
      <w:r>
        <w:rPr>
          <w:rFonts w:ascii="Times New Roman" w:cs="Times New Roman" w:eastAsia="Times New Roman" w:hAnsi="Times New Roman"/>
          <w:sz w:val="16"/>
          <w:szCs w:val="16"/>
          <w:color w:val="auto"/>
        </w:rPr>
        <w:t>(in thousands, unaudited)</w:t>
      </w:r>
    </w:p>
    <w:p>
      <w:pPr>
        <w:spacing w:after="0" w:line="232"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6"/>
          <w:szCs w:val="16"/>
          <w:b w:val="1"/>
          <w:bCs w:val="1"/>
          <w:color w:val="auto"/>
        </w:rPr>
        <w:t>For the Three Months Ended October</w:t>
      </w:r>
    </w:p>
    <w:p>
      <w:pPr>
        <w:jc w:val="center"/>
        <w:ind w:left="786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42,384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12,506</w:t>
            </w: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 in prepaid expenses and other assets</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4"/>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4"/>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cash flows: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payments, net of amounts capitalized</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324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payments, net of refunds</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capital expenditures in accounts payable</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(3,186)</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0" w:type="dxa"/>
            <w:vAlign w:val="bottom"/>
          </w:tcPr>
          <w:p>
            <w:pPr>
              <w:spacing w:after="0"/>
              <w:rPr>
                <w:sz w:val="1"/>
                <w:szCs w:val="1"/>
                <w:color w:val="auto"/>
              </w:rPr>
            </w:pPr>
          </w:p>
        </w:tc>
      </w:tr>
      <w:tr>
        <w:trPr>
          <w:trHeight w:val="204"/>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capital expenditures in accrued expenses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(1,286)</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dividends declared and accrued</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2,433</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OIL-DRI CORPORATION OF AMERICA</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04" w:lineRule="exact"/>
        <w:rPr>
          <w:sz w:val="20"/>
          <w:szCs w:val="20"/>
          <w:color w:val="auto"/>
        </w:rPr>
      </w:pPr>
    </w:p>
    <w:p>
      <w:pPr>
        <w:ind w:right="5080" w:firstLine="6"/>
        <w:spacing w:after="0" w:line="533" w:lineRule="auto"/>
        <w:tabs>
          <w:tab w:leader="none" w:pos="156"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AND SIGNIFICANT ACCOUNTING POLICIES Basis of Presentation</w:t>
      </w:r>
    </w:p>
    <w:p>
      <w:pPr>
        <w:spacing w:after="0" w:line="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included in our Annual Report on Form 10-K for the fiscal year ended July 31, 2025.</w:t>
      </w:r>
    </w:p>
    <w:p>
      <w:pPr>
        <w:spacing w:after="0" w:line="20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0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months ended October 31, 2025, are not necessarily an indication of the results that may be expected for the fiscal year ending July 31,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Split</w:t>
      </w:r>
    </w:p>
    <w:p>
      <w:pPr>
        <w:spacing w:after="0" w:line="1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On October 9, 2024, we announced that our Board of Directors (our "Board") approved a two-for-one stock split in the form of a stock dividend. Stockholders of record as of the close of business on December 20, 2024 received a distribution of one additional share of Common Stock, par value $0.10 per share ("Common Stock"), for each share of Common Stock held by such stockholder and one additional share of Class B Stock, par value $0.10 per share ("Class B Stock"), for each share of Class B Stock held by such stockholder as of the record date. The additional shares were distributed on January 3, 2025, and our Common Stock began trading on a post-split basis on January 6, 2025.</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Amended and Restated Oil-Dri Corporation of America 2006 Long Term Incentive Plan, as amended (the "2006 Plan"), as well as to the outstanding awards under the 2006 Plan.</w:t>
      </w:r>
    </w:p>
    <w:p>
      <w:pPr>
        <w:spacing w:after="0" w:line="1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Unless noted, all Common Stock and Class B Stock share and per share amounts contained in the unaudited Condensed Consolidated Financial Statements have been retroactively adjusted, where applicable, to reflect the stock split. The impact on the unaudited Condensed Consolidated Balance Sheet and unaudited Condensed Consolidated Statements of Stockholders' Equity herein was an increase of $0.8 million to Common Stock and Class B Stock, with an offsetting decrease in Additional Paid-In -Capital, which has been retroactively adjusted as if the stock split had occurred at the beginning of the earliest period presented. The change in treasury shares reflects the stock split on shares held by wholly owned subsidiaries which are presented as treasury shares on a consolidated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Use of Estimates</w:t>
      </w:r>
    </w:p>
    <w:p>
      <w:pPr>
        <w:spacing w:after="0" w:line="22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preparation of the unaudited Condensed Consolidated Financial Statements in conformity with U.S. GAAP requires management to make estimates and assumptions that affect the reported amounts of assets, liabilities, and disclosure of contingent assets and liabilities as of the date of the unaudited Condensed Consolidated Financial Statements and the reported amounts of revenues and expenses during the reporting period, as well as the related disclosures. Estimates and assumptions about future events cannot be made with certainty. All of our estimates and assumptions are revised periodically.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Summary of Significant Accounting Policies</w:t>
      </w:r>
    </w:p>
    <w:p>
      <w:pPr>
        <w:spacing w:after="0" w:line="22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Our significant accounting policies, which are summarized in detail in our Annual Report on Form 10-K for the fiscal year ended July 31, 2025, have not materially changed. The following is a description of certain of our significant accounting policies:</w:t>
      </w:r>
    </w:p>
    <w:p>
      <w:pPr>
        <w:spacing w:after="0" w:line="18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Trade Receivables. </w:t>
      </w:r>
      <w:r>
        <w:rPr>
          <w:rFonts w:ascii="Times New Roman" w:cs="Times New Roman" w:eastAsia="Times New Roman" w:hAnsi="Times New Roman"/>
          <w:sz w:val="16"/>
          <w:szCs w:val="16"/>
          <w:color w:val="auto"/>
        </w:rPr>
        <w:t>We recognize trade receivables when control of finished products is transferred to our customers. We record an allowance for credit losses based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 by our customers. Accounts receivable was $66.5 million, $69.4 million, and $62.2 million as of October 31, 2025, July 31, 2025, and July 31, 2024, respectively.</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Property, Plant and Equipment. </w:t>
      </w:r>
      <w:r>
        <w:rPr>
          <w:rFonts w:ascii="Times New Roman" w:cs="Times New Roman" w:eastAsia="Times New Roman" w:hAnsi="Times New Roman"/>
          <w:sz w:val="16"/>
          <w:szCs w:val="16"/>
          <w:color w:val="auto"/>
        </w:rPr>
        <w:t>Property, plant and equipment includes depreciable assets such as building, machinery, equipment, furniture, vehicles, and capitalized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spare parts. These assets are depreciated using the straight-line method over their estimated useful lives. Major improvements and betterments are capitalized, while maintenance and repairs that do not extend the useful life or increase functionality of the applicable assets are expensed as incurred. Interest expense may also be capitalized for assets that require a period of time to prepare them for their intended use.</w:t>
      </w:r>
    </w:p>
    <w:p>
      <w:pPr>
        <w:spacing w:after="0" w:line="20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These assets are carried at cost on the unaudited Condensed Consolidated Balance Sheet and are reviewed for possible impairment on an annual basis or when circumstances indicate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 The composition of property, plant and equipment is as follows (in thousands):</w:t>
      </w:r>
    </w:p>
    <w:tbl>
      <w:tblPr>
        <w:tblLayout w:type="fixed"/>
        <w:tblInd w:w="1000" w:type="dxa"/>
        <w:tblCellMar>
          <w:top w:w="0" w:type="dxa"/>
          <w:left w:w="0" w:type="dxa"/>
          <w:bottom w:w="0" w:type="dxa"/>
          <w:right w:w="0" w:type="dxa"/>
        </w:tblCellMar>
      </w:tblPr>
      <w:tr>
        <w:trPr>
          <w:trHeight w:val="168"/>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82"/>
              <w:spacing w:after="0" w:line="168" w:lineRule="exact"/>
              <w:rPr>
                <w:sz w:val="20"/>
                <w:szCs w:val="20"/>
                <w:color w:val="auto"/>
              </w:rPr>
            </w:pPr>
            <w:r>
              <w:rPr>
                <w:rFonts w:ascii="Times New Roman" w:cs="Times New Roman" w:eastAsia="Times New Roman" w:hAnsi="Times New Roman"/>
                <w:sz w:val="16"/>
                <w:szCs w:val="16"/>
                <w:b w:val="1"/>
                <w:bCs w:val="1"/>
                <w:color w:val="auto"/>
              </w:rPr>
              <w:t>October 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22"/>
              <w:spacing w:after="0" w:line="168" w:lineRule="exact"/>
              <w:rPr>
                <w:sz w:val="20"/>
                <w:szCs w:val="20"/>
                <w:color w:val="auto"/>
              </w:rPr>
            </w:pPr>
            <w:r>
              <w:rPr>
                <w:rFonts w:ascii="Times New Roman" w:cs="Times New Roman" w:eastAsia="Times New Roman" w:hAnsi="Times New Roman"/>
                <w:sz w:val="16"/>
                <w:szCs w:val="16"/>
                <w:b w:val="1"/>
                <w:bCs w:val="1"/>
                <w:color w:val="auto"/>
                <w:w w:val="97"/>
              </w:rPr>
              <w:t>July 31,</w:t>
            </w:r>
          </w:p>
        </w:tc>
      </w:tr>
      <w:tr>
        <w:trPr>
          <w:trHeight w:val="204"/>
        </w:trPr>
        <w:tc>
          <w:tcPr>
            <w:tcW w:w="56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property, plant and equipment</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359,217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w w:val="99"/>
              </w:rPr>
              <w:t>356,079</w:t>
            </w:r>
          </w:p>
        </w:tc>
      </w:tr>
      <w:tr>
        <w:trPr>
          <w:trHeight w:val="204"/>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(210,537)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left="302"/>
              <w:spacing w:after="0"/>
              <w:rPr>
                <w:sz w:val="20"/>
                <w:szCs w:val="20"/>
                <w:color w:val="auto"/>
              </w:rPr>
            </w:pPr>
            <w:r>
              <w:rPr>
                <w:rFonts w:ascii="Times New Roman" w:cs="Times New Roman" w:eastAsia="Times New Roman" w:hAnsi="Times New Roman"/>
                <w:sz w:val="16"/>
                <w:szCs w:val="16"/>
                <w:color w:val="auto"/>
                <w:w w:val="98"/>
              </w:rPr>
              <w:t>(206,375)</w:t>
            </w:r>
          </w:p>
        </w:tc>
      </w:tr>
      <w:tr>
        <w:trPr>
          <w:trHeight w:val="19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148,680</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w w:val="99"/>
              </w:rPr>
              <w:t>149,704</w:t>
            </w:r>
          </w:p>
        </w:tc>
      </w:tr>
    </w:tbl>
    <w:p>
      <w:pPr>
        <w:spacing w:after="0" w:line="200" w:lineRule="exact"/>
        <w:rPr>
          <w:sz w:val="20"/>
          <w:szCs w:val="20"/>
          <w:color w:val="auto"/>
        </w:rPr>
      </w:pPr>
    </w:p>
    <w:p>
      <w:pPr>
        <w:spacing w:after="0" w:line="31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Land, Mining Property and Mineral Rights. </w:t>
      </w:r>
      <w:r>
        <w:rPr>
          <w:rFonts w:ascii="Times New Roman" w:cs="Times New Roman" w:eastAsia="Times New Roman" w:hAnsi="Times New Roman"/>
          <w:sz w:val="14"/>
          <w:szCs w:val="14"/>
          <w:color w:val="auto"/>
        </w:rPr>
        <w:t>We surface mine sorbent minerals on property that we either own or lease as part of our overall operations. A significant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w:t>
      </w:r>
    </w:p>
    <w:p>
      <w:pPr>
        <w:spacing w:after="0" w:line="17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Additionally, it is our policy to capitalize the purchase cost of land and mineral rights, including associated legal, survey and real estate fees. The costs of obtaining mineral rights,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9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Reclamation. </w:t>
      </w:r>
      <w:r>
        <w:rPr>
          <w:rFonts w:ascii="Times New Roman" w:cs="Times New Roman" w:eastAsia="Times New Roman" w:hAnsi="Times New Roman"/>
          <w:sz w:val="16"/>
          <w:szCs w:val="16"/>
          <w:color w:val="auto"/>
        </w:rPr>
        <w:t>We perform ongoing reclamation activities during the normal course of our overburden removal. As overburden is removed from a mine site, it is hauled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previously mined sites and is used to refill older sites. This process allows us to continuously reclaim older mine sites and dispose of overburden simultaneously, therefore minimizing the costs associated with the reclamation process.</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an annual basis we evaluate our potential reclamation liability in accordance with ASC 410,</w:t>
      </w:r>
      <w:r>
        <w:rPr>
          <w:rFonts w:ascii="Times New Roman" w:cs="Times New Roman" w:eastAsia="Times New Roman" w:hAnsi="Times New Roman"/>
          <w:sz w:val="16"/>
          <w:szCs w:val="16"/>
          <w:i w:val="1"/>
          <w:iCs w:val="1"/>
          <w:color w:val="auto"/>
        </w:rPr>
        <w:t>Asset Retirement and Environmental Obligations.</w:t>
      </w:r>
      <w:r>
        <w:rPr>
          <w:rFonts w:ascii="Times New Roman" w:cs="Times New Roman" w:eastAsia="Times New Roman" w:hAnsi="Times New Roman"/>
          <w:sz w:val="16"/>
          <w:szCs w:val="16"/>
          <w:color w:val="auto"/>
        </w:rPr>
        <w:t xml:space="preserve"> The reclamation assets are depreciated over the estimated useful lives of the respective mines. The reclamation liabilities are increased based on a yearly accretion charge over the estimated useful lives of the respective mines.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1" w:name="page12"/>
    <w:bookmarkEnd w:id="11"/>
    <w:p>
      <w:pPr>
        <w:jc w:val="both"/>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Leases. </w:t>
      </w:r>
      <w:r>
        <w:rPr>
          <w:rFonts w:ascii="Times New Roman" w:cs="Times New Roman" w:eastAsia="Times New Roman" w:hAnsi="Times New Roman"/>
          <w:sz w:val="14"/>
          <w:szCs w:val="14"/>
          <w:color w:val="auto"/>
        </w:rPr>
        <w:t>ASC 842,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provides that a contract is, or contains, a lease if it conveys the right to control the use of an identified asset and, accordingly, a lease liability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 related right-of-use ("ROU") asset is recognized at the commencement date on our unaudited Condensed Consolidated Balance Sheet. As provided in ASC 842, we have elected not to apply these measurements and recognition requirements to short-term leases (i.e., leases with a term of 12 months or less). Short-term leases will not be recorded as ROU assets or lease liabilities on our unaudited Condensed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 line basis over the shorter of the remaining lease term or the estimated useful life. After the lease commencement date, we evaluate lease modifications, if any, that could result in a change in the accounting for leases.</w:t>
      </w:r>
    </w:p>
    <w:p>
      <w:pPr>
        <w:spacing w:after="0" w:line="3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Certain of our leases provide for variable lease payments that vary due to changes in facts and circumstances occurring after the commencement date, other than the passage of time. Variable lease payments that are dependent on an index or rate (e.g., the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0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19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Revenue Recognition. </w:t>
      </w:r>
      <w:r>
        <w:rPr>
          <w:rFonts w:ascii="Times New Roman" w:cs="Times New Roman" w:eastAsia="Times New Roman" w:hAnsi="Times New Roman"/>
          <w:sz w:val="16"/>
          <w:szCs w:val="16"/>
          <w:color w:val="auto"/>
        </w:rPr>
        <w:t>We recognize revenue when performance obligations under the terms of the contracts with customers are satisfied. Our performance obligation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generally consists of the promise to sell finished products to wholesalers, distributors, retailers or consumers and our obligations have an original duration of one year or less. Control of the finished products are transferred upon shipment to, or receipt at, customers' locations, as determined by the specific terms of the orders. We have completed our performance obligation when control is transferred, and we recognize revenue accordingly. Taxes collected from customers and remitted to governmental authorities are excluded from net sales. Sales returns are not material nor are warranties or any related obligations.</w:t>
      </w:r>
    </w:p>
    <w:p>
      <w:pPr>
        <w:spacing w:after="0" w:line="207" w:lineRule="exact"/>
        <w:rPr>
          <w:sz w:val="20"/>
          <w:szCs w:val="20"/>
          <w:color w:val="auto"/>
        </w:rPr>
      </w:pPr>
    </w:p>
    <w:p>
      <w:pPr>
        <w:ind w:right="2660"/>
        <w:spacing w:after="0" w:line="281" w:lineRule="auto"/>
        <w:rPr>
          <w:sz w:val="20"/>
          <w:szCs w:val="20"/>
          <w:color w:val="auto"/>
        </w:rPr>
      </w:pPr>
      <w:r>
        <w:rPr>
          <w:rFonts w:ascii="Times New Roman" w:cs="Times New Roman" w:eastAsia="Times New Roman" w:hAnsi="Times New Roman"/>
          <w:sz w:val="14"/>
          <w:szCs w:val="14"/>
          <w:color w:val="auto"/>
        </w:rPr>
        <w:t>We have an unconditional right to consideration under the payment terms specified in the contracts upon completion of the performance obligation. We may require certain customers to provide payment in advance of product shipment. We recorded a</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liability for these advance payments of $0.5 million as of October 31, 2025, and $0.3 million as of July 31, 2025. This liability is reported in Other within Accrued Expenses on the unaudited Condensed Consolidated Balance Sheet. There was $0.3 million revenue recognized during the three months ended October 31, 2025, that was included in the liability for advance payments at the beginning of the period.</w:t>
      </w:r>
    </w:p>
    <w:p>
      <w:pPr>
        <w:spacing w:after="0" w:line="20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 xml:space="preserve">We routinely commit to one-time or ongoing trade promotion programs directly with consumers, such as coupon programs, and also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Selling, General and Administrative Expenses. </w:t>
      </w:r>
      <w:r>
        <w:rPr>
          <w:rFonts w:ascii="Times New Roman" w:cs="Times New Roman" w:eastAsia="Times New Roman" w:hAnsi="Times New Roman"/>
          <w:sz w:val="16"/>
          <w:szCs w:val="16"/>
          <w:color w:val="auto"/>
        </w:rPr>
        <w:t>Selling, general and administrative expenses ("SG&amp;A") include salaries, wages and benefits associated with staff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Other Current and Noncurrent Liabilities. </w:t>
      </w:r>
      <w:r>
        <w:rPr>
          <w:rFonts w:ascii="Times New Roman" w:cs="Times New Roman" w:eastAsia="Times New Roman" w:hAnsi="Times New Roman"/>
          <w:sz w:val="16"/>
          <w:szCs w:val="16"/>
          <w:color w:val="auto"/>
        </w:rPr>
        <w:t>Other liabilities include the accruals for general expenses not yet paid, cash collected not yet vouchered, legal reserves,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postretirement health benefit obligations, and reclamation liability accrual. Current liabilities are due to be paid within the next 12 months. Other noncurrent liabilities on the unaudited Condensed Consolidated Balance Sheet include $6.0 million and $5.9 million for the reclamation liability as of October 31, 2025, and July 31, 2025, respectively, and $1.6 million for the postretirement health benefit as of October 31, 2025, and July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 and Regulations.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Standards</w:t>
      </w:r>
    </w:p>
    <w:p>
      <w:pPr>
        <w:spacing w:after="0" w:line="22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In November 2023, the Financial Accounting Standards Board ("FASB") issued Accounting Standards Update ("ASU") No. 2023-07, "Segment Reporting (Topic 280): Improvements to Reportable Segment Disclosures" ("ASU 2023-07").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Refer to Note 10 - Operating Segments of this Form 10-Q for the enhanced disclosures added as a result of the adoption of ASU 2023-07.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Standards Not Yet Adopted</w:t>
      </w:r>
    </w:p>
    <w:p>
      <w:pPr>
        <w:spacing w:after="0" w:line="22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1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In November 2024, the FASB issued ASU No. 2024 -03, "Income Statement - Reporting Comprehensive Income - Expense Disaggregation Disclosures (Subtopic 220-40): Disaggregation of Income Statement Expenses" ("ASU 2024-03"). The pronouncement expands the disclosure requirements for expenses, specifically by providing more detailed information about the types of expenses in commonly presented expense captions. ASU 2024-03 is effective for fiscal years beginning after December 15, 2026, and interim periods within fiscal years beginning after December 15, 2027. We are currently evaluating the impact that ASU 2024-03 will have on the Company's consolidated financial statement disclosures.</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In July 2025, the FASB issued ASU 2025-05, "Measurement of Credit Losses for Accounts Receivable and Contract Assets" ("ASU 2025-05"), which provides a practical expedient that assumes current conditions as of the balance sheet date remain unchanged when developing forecasts for estimating expected credit losses. Under ASU 2025-05, an entity is required to disclose that it has elected to use the practical expedient and the election should be applied prospectively. ASU 2025-05 is effective for fiscal years, and interim periods within those years, beginning after December 15, 2025, with early adoption permitted. We are currently evaluating the impact of this standard on our consolidated financial statements and related disclosures.</w:t>
      </w:r>
    </w:p>
    <w:p>
      <w:pPr>
        <w:spacing w:after="0" w:line="15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In September 2025, the FASB issued ASU 2025-06, "Intangibles—Goodwill and Other—Internal-Use Software (Subtopic 350-40): Targeted Improvements to the Accounting for Internal-Use Software" ("ASU 2025-06"), which provides clarification and improvements to the accounting for internal-use software costs under ASC 350-40, Intangibles – Goodwill and Other – Internal -Use Software. The guidance includes amendments related to capitalization of implementation costs, subsequent measurement, and related presentation and disclosure requirements. ASU 2025-06 is effective for annual reporting periods beginning after December15,2027, including interim periods within those fiscal years. We are currently evaluating the impact that ASU 2025-06 will have on the Company's consolidated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2. EARNINGS PER SHARE</w:t>
      </w:r>
    </w:p>
    <w:p>
      <w:pPr>
        <w:spacing w:after="0" w:line="2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We utilize the two-class method to report our earnings per share ("EPS"). The two-class method is an earnings allocation formula that determines EPS for each class of common stock according to dividends declared and participation rights in undistributed earnings. Common Stock is entitled to cash dividends equal to at least 133.33% on a per share basis of the cash dividend paid on Class B Stock. In computing EPS, the Company has allocated dividends declared to shares of Common Stock and Class B Stock based on amounts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have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 -average number of shares outstanding during the period for each class of common stock. Diluted EPS for Common Stock is derived utilizing the most dilutive result of the if-converted, treasury stock and two-class methods. In our case, the if-converted method is more dilutive than the two-class method and because our unvested restricted stock participates in dividends and is therefore anti-dilutive the treasury stock method does not apply. For Class B Stock, diluted EPS is derived utilizing the two-class method since, as with our Common Stock, our unvested restricted stock participates in dividends and is therefore anti-dilutive, making the treasury stock method inapplicable. The reverse treasury stock method is also inapplicable to both classes as we have no obligation to repurchase our Common Stock or Class B Stock. In both the if-converted and two-class methods, diluted EPS is computed by dividing net earnings by the weighted-average number of shares and potential shares outstanding during the period, taking into consideration different potential shares outstanding based on the method used. Dilution for Common Stock takes into consideration the effect of both unvested restricted shares and convertible shares of Class B Stock, unless such shares are anti-dilutive, in which case they are not considered. Dilution for Class B Stock takes into consideration the effect of unvested restricted shares, unless such shares are anti-dilutive, in which case they are not considered.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reconciliation of the calculation of basic and diluted EPS.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00" w:type="dxa"/>
            <w:vAlign w:val="bottom"/>
          </w:tcPr>
          <w:p>
            <w:pPr>
              <w:spacing w:after="0"/>
              <w:rPr>
                <w:sz w:val="12"/>
                <w:szCs w:val="12"/>
                <w:color w:val="auto"/>
              </w:rPr>
            </w:pPr>
          </w:p>
        </w:tc>
        <w:tc>
          <w:tcPr>
            <w:tcW w:w="3300" w:type="dxa"/>
            <w:vAlign w:val="bottom"/>
            <w:tcBorders>
              <w:bottom w:val="single" w:sz="8" w:color="auto"/>
            </w:tcBorders>
            <w:gridSpan w:val="8"/>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For the Three Months Ended October 31, 2025</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gridSpan w:val="7"/>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For the Three Months Ended October 31, 2024</w:t>
            </w:r>
          </w:p>
        </w:tc>
      </w:tr>
      <w:tr>
        <w:trPr>
          <w:trHeight w:val="146"/>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60" w:type="dxa"/>
            <w:vAlign w:val="bottom"/>
            <w:gridSpan w:val="6"/>
          </w:tcPr>
          <w:p>
            <w:pPr>
              <w:jc w:val="right"/>
              <w:ind w:right="6"/>
              <w:spacing w:after="0"/>
              <w:rPr>
                <w:sz w:val="20"/>
                <w:szCs w:val="20"/>
                <w:color w:val="auto"/>
              </w:rPr>
            </w:pPr>
            <w:r>
              <w:rPr>
                <w:rFonts w:ascii="Times New Roman" w:cs="Times New Roman" w:eastAsia="Times New Roman" w:hAnsi="Times New Roman"/>
                <w:sz w:val="11"/>
                <w:szCs w:val="11"/>
                <w:color w:val="auto"/>
              </w:rPr>
              <w:t>(in thousands, except for per share data)</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6"/>
          </w:tcPr>
          <w:p>
            <w:pPr>
              <w:jc w:val="center"/>
              <w:ind w:left="486"/>
              <w:spacing w:after="0"/>
              <w:rPr>
                <w:sz w:val="20"/>
                <w:szCs w:val="20"/>
                <w:color w:val="auto"/>
              </w:rPr>
            </w:pPr>
            <w:r>
              <w:rPr>
                <w:rFonts w:ascii="Times New Roman" w:cs="Times New Roman" w:eastAsia="Times New Roman" w:hAnsi="Times New Roman"/>
                <w:sz w:val="11"/>
                <w:szCs w:val="11"/>
                <w:color w:val="auto"/>
                <w:w w:val="98"/>
              </w:rPr>
              <w:t>(in thousands, except for per share data)</w:t>
            </w:r>
          </w:p>
        </w:tc>
        <w:tc>
          <w:tcPr>
            <w:tcW w:w="720" w:type="dxa"/>
            <w:vAlign w:val="bottom"/>
          </w:tcPr>
          <w:p>
            <w:pPr>
              <w:spacing w:after="0"/>
              <w:rPr>
                <w:sz w:val="12"/>
                <w:szCs w:val="12"/>
                <w:color w:val="auto"/>
              </w:rPr>
            </w:pPr>
          </w:p>
        </w:tc>
      </w:tr>
      <w:tr>
        <w:trPr>
          <w:trHeight w:val="158"/>
        </w:trPr>
        <w:tc>
          <w:tcPr>
            <w:tcW w:w="37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Class B</w:t>
            </w:r>
          </w:p>
        </w:tc>
      </w:tr>
      <w:tr>
        <w:trPr>
          <w:trHeight w:val="15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15,456</w:t>
            </w:r>
          </w:p>
        </w:tc>
        <w:tc>
          <w:tcPr>
            <w:tcW w:w="3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11,810</w:t>
            </w:r>
          </w:p>
        </w:tc>
        <w:tc>
          <w:tcPr>
            <w:tcW w:w="4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3,646</w:t>
            </w:r>
          </w:p>
        </w:tc>
        <w:tc>
          <w:tcPr>
            <w:tcW w:w="3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16,376</w:t>
            </w:r>
          </w:p>
        </w:tc>
        <w:tc>
          <w:tcPr>
            <w:tcW w:w="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12,456</w:t>
            </w:r>
          </w:p>
        </w:tc>
        <w:tc>
          <w:tcPr>
            <w:tcW w:w="4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3,920</w:t>
            </w:r>
          </w:p>
        </w:tc>
      </w:tr>
      <w:tr>
        <w:trPr>
          <w:trHeight w:val="154"/>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Distributed and undistributed earnings on restricted shares</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(723)</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(817)</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w:t>
            </w:r>
          </w:p>
        </w:tc>
      </w:tr>
      <w:tr>
        <w:trPr>
          <w:trHeight w:val="17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available to stockholders</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14,733</w:t>
            </w:r>
          </w:p>
        </w:tc>
        <w:tc>
          <w:tcPr>
            <w:tcW w:w="3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11,297</w:t>
            </w:r>
          </w:p>
        </w:tc>
        <w:tc>
          <w:tcPr>
            <w:tcW w:w="4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3,436</w:t>
            </w:r>
          </w:p>
        </w:tc>
        <w:tc>
          <w:tcPr>
            <w:tcW w:w="3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15,559</w:t>
            </w:r>
          </w:p>
        </w:tc>
        <w:tc>
          <w:tcPr>
            <w:tcW w:w="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11,939</w:t>
            </w:r>
          </w:p>
        </w:tc>
        <w:tc>
          <w:tcPr>
            <w:tcW w:w="4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3,620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12"/>
        </w:trPr>
        <w:tc>
          <w:tcPr>
            <w:tcW w:w="3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5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(Numerator)</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11,297</w:t>
            </w:r>
          </w:p>
        </w:tc>
        <w:tc>
          <w:tcPr>
            <w:tcW w:w="4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3,436</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11,939</w:t>
            </w:r>
          </w:p>
        </w:tc>
        <w:tc>
          <w:tcPr>
            <w:tcW w:w="4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3,620</w:t>
            </w:r>
          </w:p>
        </w:tc>
      </w:tr>
      <w:tr>
        <w:trPr>
          <w:trHeight w:val="154"/>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Weighted Average Shares Outstanding (Denominator)</w:t>
            </w:r>
          </w:p>
        </w:tc>
        <w:tc>
          <w:tcPr>
            <w:tcW w:w="6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9,919</w:t>
            </w: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4,008</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9,844</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3,967</w:t>
            </w:r>
          </w:p>
        </w:tc>
      </w:tr>
      <w:tr>
        <w:trPr>
          <w:trHeight w:val="17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Basic EPS</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1.14</w:t>
            </w:r>
          </w:p>
        </w:tc>
        <w:tc>
          <w:tcPr>
            <w:tcW w:w="4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0.86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1.21</w:t>
            </w:r>
          </w:p>
        </w:tc>
        <w:tc>
          <w:tcPr>
            <w:tcW w:w="4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0.91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12"/>
        </w:trPr>
        <w:tc>
          <w:tcPr>
            <w:tcW w:w="3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56"/>
        </w:trPr>
        <w:tc>
          <w:tcPr>
            <w:tcW w:w="3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Effect of dilution - Net Income </w:t>
            </w:r>
            <w:r>
              <w:rPr>
                <w:rFonts w:ascii="Times New Roman" w:cs="Times New Roman" w:eastAsia="Times New Roman" w:hAnsi="Times New Roman"/>
                <w:sz w:val="14"/>
                <w:szCs w:val="14"/>
                <w:color w:val="auto"/>
                <w:vertAlign w:val="superscript"/>
              </w:rPr>
              <w:t>(1)</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3,436</w:t>
            </w:r>
          </w:p>
        </w:tc>
        <w:tc>
          <w:tcPr>
            <w:tcW w:w="4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3,620</w:t>
            </w:r>
          </w:p>
        </w:tc>
        <w:tc>
          <w:tcPr>
            <w:tcW w:w="4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assuming dilution (Numerator)</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14,733</w:t>
            </w:r>
          </w:p>
        </w:tc>
        <w:tc>
          <w:tcPr>
            <w:tcW w:w="42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3,436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15,559</w:t>
            </w:r>
          </w:p>
        </w:tc>
        <w:tc>
          <w:tcPr>
            <w:tcW w:w="4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3,620</w:t>
            </w:r>
          </w:p>
        </w:tc>
      </w:tr>
      <w:tr>
        <w:trPr>
          <w:trHeight w:val="170"/>
        </w:trPr>
        <w:tc>
          <w:tcPr>
            <w:tcW w:w="37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56"/>
        </w:trPr>
        <w:tc>
          <w:tcPr>
            <w:tcW w:w="3700" w:type="dxa"/>
            <w:vAlign w:val="bottom"/>
          </w:tcPr>
          <w:p>
            <w:pPr>
              <w:ind w:left="20"/>
              <w:spacing w:after="0" w:line="156" w:lineRule="exact"/>
              <w:rPr>
                <w:sz w:val="20"/>
                <w:szCs w:val="20"/>
                <w:color w:val="auto"/>
              </w:rPr>
            </w:pPr>
            <w:r>
              <w:rPr>
                <w:rFonts w:ascii="Times New Roman" w:cs="Times New Roman" w:eastAsia="Times New Roman" w:hAnsi="Times New Roman"/>
                <w:sz w:val="11"/>
                <w:szCs w:val="11"/>
                <w:color w:val="auto"/>
              </w:rPr>
              <w:t xml:space="preserve">Effect of dilution - Shares </w:t>
            </w:r>
            <w:r>
              <w:rPr>
                <w:rFonts w:ascii="Times New Roman" w:cs="Times New Roman" w:eastAsia="Times New Roman" w:hAnsi="Times New Roman"/>
                <w:sz w:val="14"/>
                <w:szCs w:val="14"/>
                <w:color w:val="auto"/>
                <w:vertAlign w:val="superscript"/>
              </w:rPr>
              <w:t>(1)</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4,008</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3,967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assuming dilution (Denominator)</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13,927</w:t>
            </w: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4,008</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13,811</w:t>
            </w:r>
          </w:p>
        </w:tc>
        <w:tc>
          <w:tcPr>
            <w:tcW w:w="1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3,967</w:t>
            </w: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Diluted EPS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1.06</w:t>
            </w:r>
          </w:p>
        </w:tc>
        <w:tc>
          <w:tcPr>
            <w:tcW w:w="42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0.86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1.13</w:t>
            </w:r>
          </w:p>
        </w:tc>
        <w:tc>
          <w:tcPr>
            <w:tcW w:w="4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0.91</w:t>
            </w:r>
          </w:p>
        </w:tc>
      </w:tr>
      <w:tr>
        <w:trPr>
          <w:trHeight w:val="20"/>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ind w:left="20" w:right="220" w:hanging="2"/>
        <w:spacing w:after="0" w:line="217" w:lineRule="auto"/>
        <w:tabs>
          <w:tab w:leader="none" w:pos="131"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impact of 331,104 unvested shares of Common Stock and 175,944 unvested shares of Class B Stock were anti-dilutive therefore not included in the calculation of diluted EPS for the three months ended October 31, 2025. The impact of 263,049 unvested shares of Common Stock and 125,326 unvested shares of Class B Stock were anti-dilutive, and therefore not included in the calculation of diluted EPS for the three months ended October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5"/>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3. INVENTORIES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08"/>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composition of inventories is as follows (in thousands):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8"/>
        </w:trPr>
        <w:tc>
          <w:tcPr>
            <w:tcW w:w="17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July 31,</w:t>
            </w:r>
          </w:p>
        </w:tc>
      </w:tr>
      <w:tr>
        <w:trPr>
          <w:trHeight w:val="204"/>
        </w:trPr>
        <w:tc>
          <w:tcPr>
            <w:tcW w:w="1780" w:type="dxa"/>
            <w:vAlign w:val="bottom"/>
          </w:tcPr>
          <w:p>
            <w:pPr>
              <w:spacing w:after="0"/>
              <w:rPr>
                <w:sz w:val="17"/>
                <w:szCs w:val="17"/>
                <w:color w:val="auto"/>
              </w:rPr>
            </w:pPr>
          </w:p>
        </w:tc>
        <w:tc>
          <w:tcPr>
            <w:tcW w:w="4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178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32,214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29,401</w:t>
            </w:r>
          </w:p>
        </w:tc>
      </w:tr>
      <w:tr>
        <w:trPr>
          <w:trHeight w:val="204"/>
        </w:trPr>
        <w:tc>
          <w:tcPr>
            <w:tcW w:w="178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Packaging</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8,376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8,114</w:t>
            </w:r>
          </w:p>
        </w:tc>
      </w:tr>
      <w:tr>
        <w:trPr>
          <w:trHeight w:val="204"/>
        </w:trPr>
        <w:tc>
          <w:tcPr>
            <w:tcW w:w="178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Spare parts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w:t>
            </w:r>
          </w:p>
        </w:tc>
      </w:tr>
      <w:tr>
        <w:trPr>
          <w:trHeight w:val="204"/>
        </w:trPr>
        <w:tc>
          <w:tcPr>
            <w:tcW w:w="1780" w:type="dxa"/>
            <w:vAlign w:val="bottom"/>
          </w:tcPr>
          <w:p>
            <w:pPr>
              <w:spacing w:after="0"/>
              <w:rPr>
                <w:sz w:val="17"/>
                <w:szCs w:val="17"/>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9,223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7,257</w:t>
            </w:r>
          </w:p>
        </w:tc>
      </w:tr>
      <w:tr>
        <w:trPr>
          <w:trHeight w:val="221"/>
        </w:trPr>
        <w:tc>
          <w:tcPr>
            <w:tcW w:w="178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56,645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51,594</w:t>
            </w:r>
          </w:p>
        </w:tc>
      </w:tr>
      <w:tr>
        <w:trPr>
          <w:trHeight w:val="20"/>
        </w:trPr>
        <w:tc>
          <w:tcPr>
            <w:tcW w:w="178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Inventories are valued at the lower of cost (first-in, first-out) or net realizable value. Inventory costs include the cost of raw materials, packaging supplies, labor, and other overhead costs. The Company maintains reserves against inventory to reduce the carrying value to the expected net realizable value. These reserves are based upon a combination of factors including historical issues and market trends. Inventory reserves were $3.8 million as of October 31, 2025 and $3.7 million as of July 31, 2025.</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FAIR VALUE MEASUREMENTS</w:t>
      </w:r>
    </w:p>
    <w:p>
      <w:pPr>
        <w:spacing w:after="0" w:line="2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Level 1: Quoted market prices in active markets for identical assets or liabilities.</w:t>
      </w: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Level 2: Observable market-based inputs for similar assets or liabilities or valuation models whose inputs are observable, directly or indirectly.</w:t>
      </w:r>
    </w:p>
    <w:p>
      <w:pPr>
        <w:ind w:left="300"/>
        <w:spacing w:after="0"/>
        <w:rPr>
          <w:sz w:val="20"/>
          <w:szCs w:val="20"/>
          <w:color w:val="auto"/>
        </w:rPr>
      </w:pPr>
      <w:r>
        <w:rPr>
          <w:rFonts w:ascii="Times New Roman" w:cs="Times New Roman" w:eastAsia="Times New Roman" w:hAnsi="Times New Roman"/>
          <w:sz w:val="16"/>
          <w:szCs w:val="16"/>
          <w:color w:val="auto"/>
        </w:rPr>
        <w:t>Level 3: Unobservable inputs.</w:t>
      </w:r>
    </w:p>
    <w:p>
      <w:pPr>
        <w:spacing w:after="0" w:line="20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Cash equivalents are classified as Level 1 of the fair value hierarchy because they are valued using quoted market prices in active markets. These cash instruments are primarily money market funds and are included in cash and cash equivalents on the unaudited Condensed Consolidated Balance Sheet. We had $28.6 million in cash equivalents as of October 31, 2025, and $35.3 million in cash equivalents as of July 31, 2025.</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Balances of accounts receivable, short-term investments and accounts payable approximated their fair values as of October 31, 2025, and July 31, 2025, due to the short maturity and nature of those balances.</w:t>
      </w:r>
    </w:p>
    <w:p>
      <w:pPr>
        <w:spacing w:after="0" w:line="19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Debt is reported at outstanding face value, less unamortized debt issuance costs. The estimated fair value of debt, including current maturities, was $40.8 million and $40.3 million as of October 31, 2025, and July 31, 2025, respectively. The fair value was estimated using the exit price notion of fair value and is classified as Level 2. See Note 8 of the Notes to the unaudited Condensed Consolidated Financial Statements for further information about such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5. INTANGIBLE ASSETS AND GOODWILL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intangible assets are mainly comprised of customer lists, patents, trademarks, trade names and goodwill.</w:t>
      </w:r>
    </w:p>
    <w:p>
      <w:pPr>
        <w:spacing w:after="0" w:line="1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We amortize customer lists on a straight-line basis over a useful life of 18 years and patents on a straight-line basis over periods ranging from 7 to 20 years. Estimated intangible amortization for fiscal year 2026 is $1.2 million. Estimated intangible amortization for each of the next five fiscal years is $1.2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Trademarks and trade names acquired via acquisitions, with a carrying value of $5.6 million, were determined to have an indefinite life and are not amortized.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triggering events in fiscal years 2026 or 2025 that would indicate a new impairment analysis is needed.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6. ACCRUED EXPENSES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8"/>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expenses are as follows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8"/>
        </w:trPr>
        <w:tc>
          <w:tcPr>
            <w:tcW w:w="1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July 31,</w:t>
            </w:r>
          </w:p>
        </w:tc>
      </w:tr>
      <w:tr>
        <w:trPr>
          <w:trHeight w:val="204"/>
        </w:trPr>
        <w:tc>
          <w:tcPr>
            <w:tcW w:w="1320" w:type="dxa"/>
            <w:vAlign w:val="bottom"/>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13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10,544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13,036</w:t>
            </w:r>
          </w:p>
        </w:tc>
      </w:tr>
      <w:tr>
        <w:trPr>
          <w:trHeight w:val="204"/>
        </w:trPr>
        <w:tc>
          <w:tcPr>
            <w:tcW w:w="13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Salaries, Wages, Commissions and Employee Benefits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9,175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20,532</w:t>
            </w:r>
          </w:p>
        </w:tc>
      </w:tr>
      <w:tr>
        <w:trPr>
          <w:trHeight w:val="204"/>
        </w:trPr>
        <w:tc>
          <w:tcPr>
            <w:tcW w:w="13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Promotions and Advertising</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3,105</w:t>
            </w:r>
          </w:p>
        </w:tc>
      </w:tr>
      <w:tr>
        <w:trPr>
          <w:trHeight w:val="204"/>
        </w:trPr>
        <w:tc>
          <w:tcPr>
            <w:tcW w:w="13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Taxes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2,249</w:t>
            </w:r>
          </w:p>
        </w:tc>
      </w:tr>
      <w:tr>
        <w:trPr>
          <w:trHeight w:val="204"/>
        </w:trPr>
        <w:tc>
          <w:tcPr>
            <w:tcW w:w="13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Freight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2,700</w:t>
            </w:r>
          </w:p>
        </w:tc>
      </w:tr>
      <w:tr>
        <w:trPr>
          <w:trHeight w:val="204"/>
        </w:trPr>
        <w:tc>
          <w:tcPr>
            <w:tcW w:w="13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Georgia Landfill Modification Reserve</w:t>
            </w:r>
          </w:p>
        </w:tc>
        <w:tc>
          <w:tcPr>
            <w:tcW w:w="22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782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819</w:t>
            </w:r>
          </w:p>
        </w:tc>
      </w:tr>
      <w:tr>
        <w:trPr>
          <w:trHeight w:val="204"/>
        </w:trPr>
        <w:tc>
          <w:tcPr>
            <w:tcW w:w="13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2,423</w:t>
            </w:r>
          </w:p>
        </w:tc>
      </w:tr>
      <w:tr>
        <w:trPr>
          <w:trHeight w:val="196"/>
        </w:trPr>
        <w:tc>
          <w:tcPr>
            <w:tcW w:w="13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29,715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44,864</w:t>
            </w:r>
          </w:p>
        </w:tc>
      </w:tr>
      <w:tr>
        <w:trPr>
          <w:trHeight w:val="20"/>
        </w:trPr>
        <w:tc>
          <w:tcPr>
            <w:tcW w:w="1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OTHER CONTINGENCIES</w:t>
      </w:r>
    </w:p>
    <w:p>
      <w:pPr>
        <w:spacing w:after="0" w:line="2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are party to various legal actions that arise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In fiscal year 2023, we recorded a reserve of $2.5 million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during fiscal year 2024. We increased the total estimated cost by $0.6 million and $0.7 million in fiscal years 2024 and 2025, respectively, resulting in a total $3.8 million expense related to this matter. The modification work is expected to be completed during fiscal year 2026. Inherent uncertainties exist in these estimates primarily due to unknown conditions, changing government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8. DEBT</w:t>
      </w:r>
    </w:p>
    <w:p>
      <w:pPr>
        <w:spacing w:after="0" w:line="2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We are party to an Amended and Restated Note Purchase and Private Shelf Agreement (as amended, the "Note Agreement") with PGIM, Inc. ("Prudential") and certain existing noteholders and purchasers affiliated with Prudential named therein. Pursuant to the Note Agreement, (i) on May 15, 2020, we issued $10 million in aggregate principal amount of our 3.95% Series B Senior Notes due May 15, 2030 (the "Series B Senior Notes"), of which $5 million aggregate principal amount remained outstanding as of October 31, 2025, (ii) on December 16, 2021, we issued an additional $25 million in aggregate principal amount of our 3.25% Series C Senior Notes due December 16, 2031 (the "Series C Senior Notes"), all of which remained outstanding as of October 31, 2025, and (iii) on April 30, 2024 we issued $10 million in aggregate principal amount of our 6.47% Series D Senior Notes due April 30, 2033 (the "Series D Senior Notes"), all of which remained outstanding as of October 31, 2025. The Note Agreement also provides us with the ability to request, from time to time until September 21, 2026, that Prudential affiliate(s) purchase, at Prudential’s discretion and on an uncommitted basis, additional senior unsecured notes of Oil-Dri (the “Shelf Notes,” and collectively with the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w:t>
      </w:r>
    </w:p>
    <w:p>
      <w:pPr>
        <w:spacing w:after="0" w:line="210"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We are party to the Credit Agreement, dated as of January 27, 2006 (as previously amended, the “Credit Agreement”), among us, BMO Harris Bank N.A (“BMO Bank”), and certain of our domestic subsidiaries. The Credit Agreement provides for a $75 million unsecured revolving credit facility, including a maximum of $20 million for letters of credit.</w:t>
      </w:r>
    </w:p>
    <w:p>
      <w:pPr>
        <w:spacing w:after="0" w:line="20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The Credit Agreement contains restrictive covenants that, among other things and under various conditions, limit our ability to incur additional indebtedness or to dispose of assets. These restrictive covenants include certain financial covenants such as a covenant to maintain a maximum debt to earnings ratio and to maintain a certain fixed charge coverage ratio. On September 30, 2024, the Company entered into the Eighth Amendment to Credit Agreement (the “Eighth Amendment”). The Eighth Amendment amends the Credit Agreement to, among other things: (i) increase the amount the Company may borrow from BMO Bank from time to time pursuant to its revolving line of credit from up to $ 45 million to up to $ 75 million; (ii) increase the aggregate maximum amount of letters of credit from up to $10 million to up to $20 million; (iii) add an accordion provision to allow the Company to increase the revolving line of credit by up to an additional $50 million, subject to the terms and conditions set forth in the Eighth Amendment; (iv) extend the termination date to September 30, 2029; and (v) increase certain restrictive covenant thresholds, including but not limited to, an increase to the permitted acquisitions threshold in the restricted covenants from a cumulative total of $45 million to $100 million.</w:t>
      </w:r>
    </w:p>
    <w:p>
      <w:pPr>
        <w:spacing w:after="0" w:line="19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As of October 31, 2025, and July 31, 2025, we were in compliance with the restrictive covenants under the Credit Agreement. There were no new borrowings during the first quarter of fiscal year 2026. As of October 31, 2025, we do not have any outstanding borrowings under the Credit Agreement. We had $3.0 million of letters of credit outstanding under the Credit Agreement as of both October 31, 2025, and July 31, 2025.</w:t>
      </w:r>
    </w:p>
    <w:p>
      <w:pPr>
        <w:spacing w:after="0" w:line="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The Credit Agreement states that we may select a variable interest rate based on either the Bank of Montreal ("BMO") prime rate or an adjusted Secured Overnight Financing ("SOFR")-based rate, plus a margin that varies depending on our debt to earnings ratio, or a fixed rate as agreed between us and BMO. As of October 31, 2025, the variable rates would have been 7.00% for the BMO prime-based rate or 5.29% for the adjusted SOFR-based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2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0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have no material finance leases, and variable costs for operating leases are immaterial for the three months ended October 31, 2025. Operating lease costs are included in Cost of Goods Sold or SG&amp;A expenses in the unaudited Condensed Consolidated Statements of Operations based on the nature of the lease. The following table summarizes total lease costs for our operating leases (in thousands):</w:t>
      </w:r>
    </w:p>
    <w:p>
      <w:pPr>
        <w:spacing w:after="0" w:line="298"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October 31,</w:t>
      </w:r>
    </w:p>
    <w:p>
      <w:pPr>
        <w:spacing w:after="0" w:line="1" w:lineRule="exact"/>
        <w:rPr>
          <w:sz w:val="20"/>
          <w:szCs w:val="20"/>
          <w:color w:val="auto"/>
        </w:rPr>
      </w:pPr>
    </w:p>
    <w:tbl>
      <w:tblPr>
        <w:tblLayout w:type="fixed"/>
        <w:tblInd w:w="2620" w:type="dxa"/>
        <w:tblCellMar>
          <w:top w:w="0" w:type="dxa"/>
          <w:left w:w="0" w:type="dxa"/>
          <w:bottom w:w="0" w:type="dxa"/>
          <w:right w:w="0" w:type="dxa"/>
        </w:tblCellMar>
      </w:tblPr>
      <w:tr>
        <w:trPr>
          <w:trHeight w:val="198"/>
        </w:trPr>
        <w:tc>
          <w:tcPr>
            <w:tcW w:w="30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1,212</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1,370</w:t>
            </w:r>
          </w:p>
        </w:tc>
      </w:tr>
      <w:tr>
        <w:trPr>
          <w:trHeight w:val="238"/>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operating lease cost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359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361</w:t>
            </w: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cash flow information related to leases was as follows (in thousands):</w:t>
      </w:r>
    </w:p>
    <w:p>
      <w:pPr>
        <w:spacing w:after="0" w:line="32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5220"/>
        <w:spacing w:after="0"/>
        <w:rPr>
          <w:sz w:val="20"/>
          <w:szCs w:val="20"/>
          <w:color w:val="auto"/>
        </w:rPr>
      </w:pPr>
      <w:r>
        <w:rPr>
          <w:rFonts w:ascii="Times New Roman" w:cs="Times New Roman" w:eastAsia="Times New Roman" w:hAnsi="Times New Roman"/>
          <w:sz w:val="16"/>
          <w:szCs w:val="16"/>
          <w:b w:val="1"/>
          <w:bCs w:val="1"/>
          <w:color w:val="auto"/>
        </w:rPr>
        <w:t>October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98"/>
        </w:trPr>
        <w:tc>
          <w:tcPr>
            <w:tcW w:w="52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Cash paid for amounts included in the measurement of operating lease liabilities:</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1,053</w:t>
            </w:r>
          </w:p>
        </w:tc>
        <w:tc>
          <w:tcPr>
            <w:tcW w:w="3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1,136</w:t>
            </w:r>
          </w:p>
        </w:tc>
      </w:tr>
      <w:tr>
        <w:trPr>
          <w:trHeight w:val="238"/>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bl>
    <w:p>
      <w:pPr>
        <w:spacing w:after="0" w:line="28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October 31, 2025</w:t>
            </w:r>
          </w:p>
        </w:tc>
        <w:tc>
          <w:tcPr>
            <w:tcW w:w="100" w:type="dxa"/>
            <w:vAlign w:val="bottom"/>
          </w:tcPr>
          <w:p>
            <w:pPr>
              <w:spacing w:after="0"/>
              <w:rPr>
                <w:sz w:val="17"/>
                <w:szCs w:val="17"/>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July 31, 2025</w:t>
            </w:r>
          </w:p>
        </w:tc>
      </w:tr>
      <w:tr>
        <w:trPr>
          <w:trHeight w:val="198"/>
        </w:trPr>
        <w:tc>
          <w:tcPr>
            <w:tcW w:w="640" w:type="dxa"/>
            <w:vAlign w:val="bottom"/>
          </w:tcPr>
          <w:p>
            <w:pPr>
              <w:spacing w:after="0"/>
              <w:rPr>
                <w:sz w:val="17"/>
                <w:szCs w:val="17"/>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Weighted-average remaining lease term - operating leases</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4.8 years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center"/>
              <w:ind w:right="462"/>
              <w:spacing w:after="0"/>
              <w:rPr>
                <w:sz w:val="20"/>
                <w:szCs w:val="20"/>
                <w:color w:val="auto"/>
              </w:rPr>
            </w:pPr>
            <w:r>
              <w:rPr>
                <w:rFonts w:ascii="Times New Roman" w:cs="Times New Roman" w:eastAsia="Times New Roman" w:hAnsi="Times New Roman"/>
                <w:sz w:val="16"/>
                <w:szCs w:val="16"/>
                <w:color w:val="auto"/>
                <w:w w:val="96"/>
              </w:rPr>
              <w:t>4.8 years</w:t>
            </w:r>
          </w:p>
        </w:tc>
      </w:tr>
      <w:tr>
        <w:trPr>
          <w:trHeight w:val="204"/>
        </w:trPr>
        <w:tc>
          <w:tcPr>
            <w:tcW w:w="640" w:type="dxa"/>
            <w:vAlign w:val="bottom"/>
          </w:tcPr>
          <w:p>
            <w:pPr>
              <w:spacing w:after="0"/>
              <w:rPr>
                <w:sz w:val="17"/>
                <w:szCs w:val="17"/>
                <w:color w:val="auto"/>
              </w:rPr>
            </w:pPr>
          </w:p>
        </w:tc>
        <w:tc>
          <w:tcPr>
            <w:tcW w:w="5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1460" w:type="dxa"/>
            <w:vAlign w:val="bottom"/>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b w:val="1"/>
                <w:bCs w:val="1"/>
                <w:color w:val="auto"/>
                <w:w w:val="99"/>
              </w:rPr>
              <w:t>5.13%</w:t>
            </w:r>
          </w:p>
        </w:tc>
        <w:tc>
          <w:tcPr>
            <w:tcW w:w="8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5.12%</w:t>
            </w:r>
          </w:p>
        </w:tc>
      </w:tr>
      <w:tr>
        <w:trPr>
          <w:trHeight w:val="490"/>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Lease liability maturities as of October 31, 2025 are as follows (in thousands):</w:t>
            </w: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6"/>
        </w:trPr>
        <w:tc>
          <w:tcPr>
            <w:tcW w:w="6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gridSpan w:val="2"/>
          </w:tcPr>
          <w:p>
            <w:pPr>
              <w:spacing w:after="0"/>
              <w:rPr>
                <w:sz w:val="7"/>
                <w:szCs w:val="7"/>
                <w:color w:val="auto"/>
              </w:rPr>
            </w:pPr>
          </w:p>
        </w:tc>
        <w:tc>
          <w:tcPr>
            <w:tcW w:w="1380" w:type="dxa"/>
            <w:vAlign w:val="bottom"/>
          </w:tcPr>
          <w:p>
            <w:pPr>
              <w:spacing w:after="0"/>
              <w:rPr>
                <w:sz w:val="7"/>
                <w:szCs w:val="7"/>
                <w:color w:val="auto"/>
              </w:rPr>
            </w:pPr>
          </w:p>
        </w:tc>
      </w:tr>
      <w:tr>
        <w:trPr>
          <w:trHeight w:val="204"/>
        </w:trPr>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2026 (remaining nine months)</w:t>
            </w:r>
          </w:p>
        </w:tc>
        <w:tc>
          <w:tcPr>
            <w:tcW w:w="2280" w:type="dxa"/>
            <w:vAlign w:val="bottom"/>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3,421</w:t>
            </w:r>
          </w:p>
        </w:tc>
        <w:tc>
          <w:tcPr>
            <w:tcW w:w="1380" w:type="dxa"/>
            <w:vAlign w:val="bottom"/>
          </w:tcPr>
          <w:p>
            <w:pPr>
              <w:spacing w:after="0"/>
              <w:rPr>
                <w:sz w:val="17"/>
                <w:szCs w:val="17"/>
                <w:color w:val="auto"/>
              </w:rPr>
            </w:pPr>
          </w:p>
        </w:tc>
      </w:tr>
      <w:tr>
        <w:trPr>
          <w:trHeight w:val="204"/>
        </w:trPr>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2027</w:t>
            </w: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3,802</w:t>
            </w:r>
          </w:p>
        </w:tc>
        <w:tc>
          <w:tcPr>
            <w:tcW w:w="1380" w:type="dxa"/>
            <w:vAlign w:val="bottom"/>
          </w:tcPr>
          <w:p>
            <w:pPr>
              <w:spacing w:after="0"/>
              <w:rPr>
                <w:sz w:val="17"/>
                <w:szCs w:val="17"/>
                <w:color w:val="auto"/>
              </w:rPr>
            </w:pPr>
          </w:p>
        </w:tc>
      </w:tr>
      <w:tr>
        <w:trPr>
          <w:trHeight w:val="204"/>
        </w:trPr>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2028</w:t>
            </w:r>
          </w:p>
        </w:tc>
        <w:tc>
          <w:tcPr>
            <w:tcW w:w="1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3,004</w:t>
            </w:r>
          </w:p>
        </w:tc>
        <w:tc>
          <w:tcPr>
            <w:tcW w:w="1380" w:type="dxa"/>
            <w:vAlign w:val="bottom"/>
          </w:tcPr>
          <w:p>
            <w:pPr>
              <w:spacing w:after="0"/>
              <w:rPr>
                <w:sz w:val="17"/>
                <w:szCs w:val="17"/>
                <w:color w:val="auto"/>
              </w:rPr>
            </w:pPr>
          </w:p>
        </w:tc>
      </w:tr>
      <w:tr>
        <w:trPr>
          <w:trHeight w:val="204"/>
        </w:trPr>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2029</w:t>
            </w: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2,413</w:t>
            </w:r>
          </w:p>
        </w:tc>
        <w:tc>
          <w:tcPr>
            <w:tcW w:w="1380" w:type="dxa"/>
            <w:vAlign w:val="bottom"/>
          </w:tcPr>
          <w:p>
            <w:pPr>
              <w:spacing w:after="0"/>
              <w:rPr>
                <w:sz w:val="17"/>
                <w:szCs w:val="17"/>
                <w:color w:val="auto"/>
              </w:rPr>
            </w:pPr>
          </w:p>
        </w:tc>
      </w:tr>
      <w:tr>
        <w:trPr>
          <w:trHeight w:val="204"/>
        </w:trPr>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2030</w:t>
            </w:r>
          </w:p>
        </w:tc>
        <w:tc>
          <w:tcPr>
            <w:tcW w:w="1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w:t>
            </w:r>
          </w:p>
        </w:tc>
        <w:tc>
          <w:tcPr>
            <w:tcW w:w="1380" w:type="dxa"/>
            <w:vAlign w:val="bottom"/>
          </w:tcPr>
          <w:p>
            <w:pPr>
              <w:spacing w:after="0"/>
              <w:rPr>
                <w:sz w:val="17"/>
                <w:szCs w:val="17"/>
                <w:color w:val="auto"/>
              </w:rPr>
            </w:pPr>
          </w:p>
        </w:tc>
      </w:tr>
      <w:tr>
        <w:trPr>
          <w:trHeight w:val="204"/>
        </w:trPr>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p>
        </w:tc>
        <w:tc>
          <w:tcPr>
            <w:tcW w:w="138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16,149</w:t>
            </w:r>
          </w:p>
        </w:tc>
        <w:tc>
          <w:tcPr>
            <w:tcW w:w="1380" w:type="dxa"/>
            <w:vAlign w:val="bottom"/>
          </w:tcPr>
          <w:p>
            <w:pPr>
              <w:spacing w:after="0"/>
              <w:rPr>
                <w:sz w:val="17"/>
                <w:szCs w:val="17"/>
                <w:color w:val="auto"/>
              </w:rPr>
            </w:pPr>
          </w:p>
        </w:tc>
      </w:tr>
      <w:tr>
        <w:trPr>
          <w:trHeight w:val="204"/>
        </w:trPr>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4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(1,753)</w:t>
            </w:r>
          </w:p>
        </w:tc>
        <w:tc>
          <w:tcPr>
            <w:tcW w:w="1380" w:type="dxa"/>
            <w:vAlign w:val="bottom"/>
          </w:tcPr>
          <w:p>
            <w:pPr>
              <w:spacing w:after="0"/>
              <w:rPr>
                <w:sz w:val="17"/>
                <w:szCs w:val="17"/>
                <w:color w:val="auto"/>
              </w:rPr>
            </w:pPr>
          </w:p>
        </w:tc>
      </w:tr>
      <w:tr>
        <w:trPr>
          <w:trHeight w:val="221"/>
        </w:trPr>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lease obligation</w:t>
            </w:r>
          </w:p>
        </w:tc>
        <w:tc>
          <w:tcPr>
            <w:tcW w:w="14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14,396</w:t>
            </w:r>
          </w:p>
        </w:tc>
        <w:tc>
          <w:tcPr>
            <w:tcW w:w="138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10. OPERATING SEGMENTS</w:t>
      </w:r>
    </w:p>
    <w:p>
      <w:pPr>
        <w:spacing w:after="0" w:line="2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We have two reportable operating segments: (1) Retail and Wholesale Products Group and (2) Business to Business Products Group. The Retail and Wholesale Products Group is comprised of our Cat Litter and Industrial and Sports Products and the Business to Business Products Group is comprised of our Agricultural and Horticultural, Fluids Purification, and Animal Health &amp; Nutrition Products.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sales for our principal products by segment are as follows (in thousands):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16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Business to Business Products Group</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Retail and Wholesale Products Group</w:t>
            </w:r>
          </w:p>
        </w:tc>
        <w:tc>
          <w:tcPr>
            <w:tcW w:w="0" w:type="dxa"/>
            <w:vAlign w:val="bottom"/>
          </w:tcPr>
          <w:p>
            <w:pPr>
              <w:spacing w:after="0"/>
              <w:rPr>
                <w:sz w:val="1"/>
                <w:szCs w:val="1"/>
                <w:color w:val="auto"/>
              </w:rPr>
            </w:pPr>
          </w:p>
        </w:tc>
      </w:tr>
      <w:tr>
        <w:trPr>
          <w:trHeight w:val="197"/>
        </w:trPr>
        <w:tc>
          <w:tcPr>
            <w:tcW w:w="16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October 31,</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1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Cat Litter</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64,566</w:t>
            </w:r>
          </w:p>
        </w:tc>
        <w:tc>
          <w:tcPr>
            <w:tcW w:w="9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67,676</w:t>
            </w:r>
          </w:p>
        </w:tc>
        <w:tc>
          <w:tcPr>
            <w:tcW w:w="0" w:type="dxa"/>
            <w:vAlign w:val="bottom"/>
          </w:tcPr>
          <w:p>
            <w:pPr>
              <w:spacing w:after="0"/>
              <w:rPr>
                <w:sz w:val="1"/>
                <w:szCs w:val="1"/>
                <w:color w:val="auto"/>
              </w:rPr>
            </w:pPr>
          </w:p>
        </w:tc>
      </w:tr>
      <w:tr>
        <w:trPr>
          <w:trHeight w:val="156"/>
        </w:trPr>
        <w:tc>
          <w:tcPr>
            <w:tcW w:w="1620" w:type="dxa"/>
            <w:vAlign w:val="bottom"/>
          </w:tcPr>
          <w:p>
            <w:pPr>
              <w:ind w:left="600"/>
              <w:spacing w:after="0" w:line="156" w:lineRule="exact"/>
              <w:rPr>
                <w:sz w:val="20"/>
                <w:szCs w:val="20"/>
                <w:color w:val="auto"/>
              </w:rPr>
            </w:pPr>
            <w:r>
              <w:rPr>
                <w:rFonts w:ascii="Times New Roman" w:cs="Times New Roman" w:eastAsia="Times New Roman" w:hAnsi="Times New Roman"/>
                <w:sz w:val="16"/>
                <w:szCs w:val="16"/>
                <w:color w:val="auto"/>
              </w:rPr>
              <w:t>Industrial and</w:t>
            </w:r>
          </w:p>
        </w:tc>
        <w:tc>
          <w:tcPr>
            <w:tcW w:w="7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11,634</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11,854</w:t>
            </w:r>
          </w:p>
        </w:tc>
        <w:tc>
          <w:tcPr>
            <w:tcW w:w="0" w:type="dxa"/>
            <w:vAlign w:val="bottom"/>
          </w:tcPr>
          <w:p>
            <w:pPr>
              <w:spacing w:after="0"/>
              <w:rPr>
                <w:sz w:val="1"/>
                <w:szCs w:val="1"/>
                <w:color w:val="auto"/>
              </w:rPr>
            </w:pPr>
          </w:p>
        </w:tc>
      </w:tr>
      <w:tr>
        <w:trPr>
          <w:trHeight w:val="204"/>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Sports</w:t>
            </w:r>
          </w:p>
        </w:tc>
        <w:tc>
          <w:tcPr>
            <w:tcW w:w="7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20" w:type="dxa"/>
            <w:vAlign w:val="bottom"/>
            <w:shd w:val="clear" w:color="auto" w:fill="CCEEFF"/>
          </w:tcPr>
          <w:p>
            <w:pPr>
              <w:ind w:left="600"/>
              <w:spacing w:after="0" w:line="157" w:lineRule="exact"/>
              <w:rPr>
                <w:sz w:val="20"/>
                <w:szCs w:val="20"/>
                <w:color w:val="auto"/>
              </w:rPr>
            </w:pPr>
            <w:r>
              <w:rPr>
                <w:rFonts w:ascii="Times New Roman" w:cs="Times New Roman" w:eastAsia="Times New Roman" w:hAnsi="Times New Roman"/>
                <w:sz w:val="16"/>
                <w:szCs w:val="16"/>
                <w:color w:val="auto"/>
              </w:rPr>
              <w:t>Agricultural</w:t>
            </w:r>
          </w:p>
        </w:tc>
        <w:tc>
          <w:tcPr>
            <w:tcW w:w="7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11,582</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Horticultural</w:t>
            </w:r>
          </w:p>
        </w:tc>
        <w:tc>
          <w:tcPr>
            <w:tcW w:w="7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600"/>
              <w:spacing w:after="0" w:line="156" w:lineRule="exact"/>
              <w:rPr>
                <w:sz w:val="20"/>
                <w:szCs w:val="20"/>
                <w:color w:val="auto"/>
              </w:rPr>
            </w:pPr>
            <w:r>
              <w:rPr>
                <w:rFonts w:ascii="Times New Roman" w:cs="Times New Roman" w:eastAsia="Times New Roman" w:hAnsi="Times New Roman"/>
                <w:sz w:val="16"/>
                <w:szCs w:val="16"/>
                <w:color w:val="auto"/>
              </w:rPr>
              <w:t>Fluids</w:t>
            </w:r>
          </w:p>
        </w:tc>
        <w:tc>
          <w:tcPr>
            <w:tcW w:w="7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26,667</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30,603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Purification</w:t>
            </w:r>
          </w:p>
        </w:tc>
        <w:tc>
          <w:tcPr>
            <w:tcW w:w="7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20" w:type="dxa"/>
            <w:vAlign w:val="bottom"/>
            <w:shd w:val="clear" w:color="auto" w:fill="CCEEFF"/>
          </w:tcPr>
          <w:p>
            <w:pPr>
              <w:ind w:left="600"/>
              <w:spacing w:after="0" w:line="157" w:lineRule="exact"/>
              <w:rPr>
                <w:sz w:val="20"/>
                <w:szCs w:val="20"/>
                <w:color w:val="auto"/>
              </w:rPr>
            </w:pPr>
            <w:r>
              <w:rPr>
                <w:rFonts w:ascii="Times New Roman" w:cs="Times New Roman" w:eastAsia="Times New Roman" w:hAnsi="Times New Roman"/>
                <w:sz w:val="16"/>
                <w:szCs w:val="16"/>
                <w:color w:val="auto"/>
              </w:rPr>
              <w:t>Animal Health</w:t>
            </w:r>
          </w:p>
        </w:tc>
        <w:tc>
          <w:tcPr>
            <w:tcW w:w="7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4,688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&amp; Nutrition</w:t>
            </w:r>
          </w:p>
        </w:tc>
        <w:tc>
          <w:tcPr>
            <w:tcW w:w="7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44,286</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48,415</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79,530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chief operating decision maker (“CODM”) is our President and CEO. The CODM regularly reviews net sales, gross profit, and operating income by segment to assess profitability and assist in the allocation of resources. Net sales and operating income for each segment are provided below, along with the significant segment expense categories that are regularly provided and used by the CODM when assessing segment profitability and the allocation of resources. The significant amounts within the segment operating expenses include cost of goods sold, compensation and benefits, and advertising. The other operating expenses in the table below is comprised of all other SG&amp;A expenses which include but are not limited to travel, research &amp; development, technical service support, and amortization of intangibles. Our CODM reviews the performance of each segment regularly by analyzing financial results in conjunction with our internal financial forecasts.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corporate expenses line in the table below represents certain unallocated expenses, including primarily salaries, wages and benefits, purchased services, rent, utilities and depreciation and amortization associated with corporate functions such as information systems, finance, legal, human resources and customer service. .</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19" w:name="page20"/>
    <w:bookmarkEnd w:id="19"/>
    <w:p>
      <w:pPr>
        <w:spacing w:after="0" w:line="63"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3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October 31, 2025</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5"/>
                <w:szCs w:val="15"/>
                <w:color w:val="auto"/>
              </w:rPr>
            </w:pPr>
          </w:p>
        </w:tc>
        <w:tc>
          <w:tcPr>
            <w:tcW w:w="1780" w:type="dxa"/>
            <w:vAlign w:val="bottom"/>
          </w:tcPr>
          <w:p>
            <w:pPr>
              <w:jc w:val="center"/>
              <w:ind w:right="122"/>
              <w:spacing w:after="0" w:line="173" w:lineRule="exact"/>
              <w:rPr>
                <w:sz w:val="20"/>
                <w:szCs w:val="20"/>
                <w:color w:val="auto"/>
              </w:rPr>
            </w:pPr>
            <w:r>
              <w:rPr>
                <w:rFonts w:ascii="Times New Roman" w:cs="Times New Roman" w:eastAsia="Times New Roman" w:hAnsi="Times New Roman"/>
                <w:sz w:val="16"/>
                <w:szCs w:val="16"/>
                <w:b w:val="1"/>
                <w:bCs w:val="1"/>
                <w:color w:val="auto"/>
                <w:w w:val="96"/>
              </w:rPr>
              <w:t>Business to Business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2"/>
          </w:tcPr>
          <w:p>
            <w:pPr>
              <w:jc w:val="center"/>
              <w:ind w:right="400"/>
              <w:spacing w:after="0" w:line="173" w:lineRule="exact"/>
              <w:rPr>
                <w:sz w:val="20"/>
                <w:szCs w:val="20"/>
                <w:color w:val="auto"/>
              </w:rPr>
            </w:pPr>
            <w:r>
              <w:rPr>
                <w:rFonts w:ascii="Times New Roman" w:cs="Times New Roman" w:eastAsia="Times New Roman" w:hAnsi="Times New Roman"/>
                <w:sz w:val="16"/>
                <w:szCs w:val="16"/>
                <w:b w:val="1"/>
                <w:bCs w:val="1"/>
                <w:color w:val="auto"/>
                <w:w w:val="96"/>
              </w:rPr>
              <w:t>Retail and Wholesale</w:t>
            </w:r>
          </w:p>
        </w:tc>
        <w:tc>
          <w:tcPr>
            <w:tcW w:w="260" w:type="dxa"/>
            <w:vAlign w:val="bottom"/>
          </w:tcPr>
          <w:p>
            <w:pPr>
              <w:spacing w:after="0"/>
              <w:rPr>
                <w:sz w:val="15"/>
                <w:szCs w:val="15"/>
                <w:color w:val="auto"/>
              </w:rPr>
            </w:pPr>
          </w:p>
        </w:tc>
        <w:tc>
          <w:tcPr>
            <w:tcW w:w="94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7"/>
              </w:rPr>
              <w:t>Products Group</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Products Group</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44,286</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76,200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120,486</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(26,545)</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(58,446)</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(84,991)</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17,741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17,754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35,495</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Advertising</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13,634</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12,399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26,033</w:t>
            </w:r>
          </w:p>
        </w:tc>
        <w:tc>
          <w:tcPr>
            <w:tcW w:w="0" w:type="dxa"/>
            <w:vAlign w:val="bottom"/>
          </w:tcPr>
          <w:p>
            <w:pPr>
              <w:spacing w:after="0"/>
              <w:rPr>
                <w:sz w:val="1"/>
                <w:szCs w:val="1"/>
                <w:color w:val="auto"/>
              </w:rPr>
            </w:pPr>
          </w:p>
        </w:tc>
      </w:tr>
      <w:tr>
        <w:trPr>
          <w:trHeight w:val="18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0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(9,079)</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16,954</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Other Income, Net</w:t>
            </w:r>
          </w:p>
        </w:tc>
        <w:tc>
          <w:tcPr>
            <w:tcW w:w="2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17,674</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0" w:type="dxa"/>
            <w:vAlign w:val="bottom"/>
          </w:tcPr>
          <w:p>
            <w:pPr>
              <w:spacing w:after="0"/>
              <w:rPr>
                <w:sz w:val="1"/>
                <w:szCs w:val="1"/>
                <w:color w:val="auto"/>
              </w:rPr>
            </w:pPr>
          </w:p>
        </w:tc>
      </w:tr>
      <w:tr>
        <w:trPr>
          <w:trHeight w:val="222"/>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15,456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gridSpan w:val="5"/>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October 31, 2024</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5"/>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5"/>
                <w:szCs w:val="15"/>
                <w:color w:val="auto"/>
              </w:rPr>
            </w:pPr>
          </w:p>
        </w:tc>
        <w:tc>
          <w:tcPr>
            <w:tcW w:w="1780" w:type="dxa"/>
            <w:vAlign w:val="bottom"/>
          </w:tcPr>
          <w:p>
            <w:pPr>
              <w:jc w:val="center"/>
              <w:ind w:right="122"/>
              <w:spacing w:after="0" w:line="173" w:lineRule="exact"/>
              <w:rPr>
                <w:sz w:val="20"/>
                <w:szCs w:val="20"/>
                <w:color w:val="auto"/>
              </w:rPr>
            </w:pPr>
            <w:r>
              <w:rPr>
                <w:rFonts w:ascii="Times New Roman" w:cs="Times New Roman" w:eastAsia="Times New Roman" w:hAnsi="Times New Roman"/>
                <w:sz w:val="16"/>
                <w:szCs w:val="16"/>
                <w:b w:val="1"/>
                <w:bCs w:val="1"/>
                <w:color w:val="auto"/>
                <w:w w:val="96"/>
              </w:rPr>
              <w:t>Business to Business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2"/>
          </w:tcPr>
          <w:p>
            <w:pPr>
              <w:jc w:val="center"/>
              <w:ind w:right="400"/>
              <w:spacing w:after="0" w:line="173" w:lineRule="exact"/>
              <w:rPr>
                <w:sz w:val="20"/>
                <w:szCs w:val="20"/>
                <w:color w:val="auto"/>
              </w:rPr>
            </w:pPr>
            <w:r>
              <w:rPr>
                <w:rFonts w:ascii="Times New Roman" w:cs="Times New Roman" w:eastAsia="Times New Roman" w:hAnsi="Times New Roman"/>
                <w:sz w:val="16"/>
                <w:szCs w:val="16"/>
                <w:b w:val="1"/>
                <w:bCs w:val="1"/>
                <w:color w:val="auto"/>
                <w:w w:val="96"/>
              </w:rPr>
              <w:t>Retail and Wholesale</w:t>
            </w:r>
          </w:p>
        </w:tc>
        <w:tc>
          <w:tcPr>
            <w:tcW w:w="260" w:type="dxa"/>
            <w:vAlign w:val="bottom"/>
          </w:tcPr>
          <w:p>
            <w:pPr>
              <w:spacing w:after="0"/>
              <w:rPr>
                <w:sz w:val="15"/>
                <w:szCs w:val="15"/>
                <w:color w:val="auto"/>
              </w:rPr>
            </w:pPr>
          </w:p>
        </w:tc>
        <w:tc>
          <w:tcPr>
            <w:tcW w:w="94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7"/>
              </w:rPr>
              <w:t>Products Group</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Products Group</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48,415</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79,530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127,945</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(87,165)</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21,595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19,185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40,780</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Advertising</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17,110</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13,377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30,487</w:t>
            </w:r>
          </w:p>
        </w:tc>
        <w:tc>
          <w:tcPr>
            <w:tcW w:w="0" w:type="dxa"/>
            <w:vAlign w:val="bottom"/>
          </w:tcPr>
          <w:p>
            <w:pPr>
              <w:spacing w:after="0"/>
              <w:rPr>
                <w:sz w:val="1"/>
                <w:szCs w:val="1"/>
                <w:color w:val="auto"/>
              </w:rPr>
            </w:pPr>
          </w:p>
        </w:tc>
      </w:tr>
      <w:tr>
        <w:trPr>
          <w:trHeight w:val="18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0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(9,297)</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21,190</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Other Expense, Net</w:t>
            </w:r>
          </w:p>
        </w:tc>
        <w:tc>
          <w:tcPr>
            <w:tcW w:w="2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20,202</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0" w:type="dxa"/>
            <w:vAlign w:val="bottom"/>
          </w:tcPr>
          <w:p>
            <w:pPr>
              <w:spacing w:after="0"/>
              <w:rPr>
                <w:sz w:val="1"/>
                <w:szCs w:val="1"/>
                <w:color w:val="auto"/>
              </w:rPr>
            </w:pPr>
          </w:p>
        </w:tc>
      </w:tr>
      <w:tr>
        <w:trPr>
          <w:trHeight w:val="222"/>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16,376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10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9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100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 to Business Products Group</w:t>
            </w:r>
          </w:p>
        </w:tc>
        <w:tc>
          <w:tcPr>
            <w:tcW w:w="170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99,577</w:t>
            </w:r>
          </w:p>
        </w:tc>
        <w:tc>
          <w:tcPr>
            <w:tcW w:w="780" w:type="dxa"/>
            <w:vAlign w:val="bottom"/>
            <w:gridSpan w:val="2"/>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104,857</w:t>
            </w:r>
          </w:p>
        </w:tc>
        <w:tc>
          <w:tcPr>
            <w:tcW w:w="960" w:type="dxa"/>
            <w:vAlign w:val="bottom"/>
          </w:tcPr>
          <w:p>
            <w:pPr>
              <w:spacing w:after="0"/>
              <w:rPr>
                <w:sz w:val="17"/>
                <w:szCs w:val="17"/>
                <w:color w:val="auto"/>
              </w:rPr>
            </w:pPr>
          </w:p>
        </w:tc>
      </w:tr>
      <w:tr>
        <w:trPr>
          <w:trHeight w:val="204"/>
        </w:trPr>
        <w:tc>
          <w:tcPr>
            <w:tcW w:w="100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Retail and Wholesale Products Group</w:t>
            </w:r>
          </w:p>
        </w:tc>
        <w:tc>
          <w:tcPr>
            <w:tcW w:w="17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204,899</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200,644</w:t>
            </w:r>
          </w:p>
        </w:tc>
        <w:tc>
          <w:tcPr>
            <w:tcW w:w="960" w:type="dxa"/>
            <w:vAlign w:val="bottom"/>
          </w:tcPr>
          <w:p>
            <w:pPr>
              <w:spacing w:after="0"/>
              <w:rPr>
                <w:sz w:val="17"/>
                <w:szCs w:val="17"/>
                <w:color w:val="auto"/>
              </w:rPr>
            </w:pPr>
          </w:p>
        </w:tc>
      </w:tr>
      <w:tr>
        <w:trPr>
          <w:trHeight w:val="204"/>
        </w:trPr>
        <w:tc>
          <w:tcPr>
            <w:tcW w:w="100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Assets</w:t>
            </w:r>
          </w:p>
        </w:tc>
        <w:tc>
          <w:tcPr>
            <w:tcW w:w="17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76,247</w:t>
            </w: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86,176</w:t>
            </w:r>
          </w:p>
        </w:tc>
        <w:tc>
          <w:tcPr>
            <w:tcW w:w="9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700" w:type="dxa"/>
            <w:vAlign w:val="bottom"/>
            <w:tcBorders>
              <w:bottom w:val="single" w:sz="8" w:color="auto"/>
            </w:tcBorders>
          </w:tcPr>
          <w:p>
            <w:pPr>
              <w:jc w:val="right"/>
              <w:ind w:right="15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380,723</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391,677</w:t>
            </w:r>
          </w:p>
        </w:tc>
        <w:tc>
          <w:tcPr>
            <w:tcW w:w="9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54"/>
        </w:trPr>
        <w:tc>
          <w:tcPr>
            <w:tcW w:w="1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00" w:type="dxa"/>
            <w:vAlign w:val="bottom"/>
          </w:tcPr>
          <w:p>
            <w:pPr>
              <w:jc w:val="right"/>
              <w:ind w:right="1002"/>
              <w:spacing w:after="0"/>
              <w:rPr>
                <w:sz w:val="20"/>
                <w:szCs w:val="20"/>
                <w:color w:val="auto"/>
              </w:rPr>
            </w:pPr>
            <w:r>
              <w:rPr>
                <w:rFonts w:ascii="Times New Roman" w:cs="Times New Roman" w:eastAsia="Times New Roman" w:hAnsi="Times New Roman"/>
                <w:sz w:val="16"/>
                <w:szCs w:val="16"/>
                <w:color w:val="auto"/>
              </w:rPr>
              <w:t>20</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98"/>
        </w:trPr>
        <w:tc>
          <w:tcPr>
            <w:tcW w:w="1000" w:type="dxa"/>
            <w:vAlign w:val="bottom"/>
            <w:tcBorders>
              <w:bottom w:val="single" w:sz="8" w:color="EEEEEE"/>
            </w:tcBorders>
          </w:tcPr>
          <w:p>
            <w:pPr>
              <w:spacing w:after="0"/>
              <w:rPr>
                <w:sz w:val="8"/>
                <w:szCs w:val="8"/>
                <w:color w:val="auto"/>
              </w:rPr>
            </w:pPr>
          </w:p>
        </w:tc>
        <w:tc>
          <w:tcPr>
            <w:tcW w:w="3740" w:type="dxa"/>
            <w:vAlign w:val="bottom"/>
            <w:tcBorders>
              <w:bottom w:val="single" w:sz="8" w:color="EEEEEE"/>
            </w:tcBorders>
          </w:tcPr>
          <w:p>
            <w:pPr>
              <w:spacing w:after="0"/>
              <w:rPr>
                <w:sz w:val="8"/>
                <w:szCs w:val="8"/>
                <w:color w:val="auto"/>
              </w:rPr>
            </w:pPr>
          </w:p>
        </w:tc>
        <w:tc>
          <w:tcPr>
            <w:tcW w:w="1700" w:type="dxa"/>
            <w:vAlign w:val="bottom"/>
            <w:tcBorders>
              <w:bottom w:val="single" w:sz="8" w:color="EEEEEE"/>
            </w:tcBorders>
          </w:tcPr>
          <w:p>
            <w:pPr>
              <w:spacing w:after="0"/>
              <w:rPr>
                <w:sz w:val="8"/>
                <w:szCs w:val="8"/>
                <w:color w:val="auto"/>
              </w:rPr>
            </w:pPr>
          </w:p>
        </w:tc>
        <w:tc>
          <w:tcPr>
            <w:tcW w:w="58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620" w:type="dxa"/>
            <w:vAlign w:val="bottom"/>
            <w:tcBorders>
              <w:bottom w:val="single" w:sz="8" w:color="EEEEEE"/>
            </w:tcBorders>
          </w:tcPr>
          <w:p>
            <w:pPr>
              <w:spacing w:after="0"/>
              <w:rPr>
                <w:sz w:val="8"/>
                <w:szCs w:val="8"/>
                <w:color w:val="auto"/>
              </w:rPr>
            </w:pPr>
          </w:p>
        </w:tc>
        <w:tc>
          <w:tcPr>
            <w:tcW w:w="180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color w:val="auto"/>
        </w:rPr>
        <w:t>11. STOCK-BASED COMPENSATION</w:t>
      </w:r>
    </w:p>
    <w:p>
      <w:pPr>
        <w:spacing w:after="0" w:line="2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2006 Plan permits the grant of stock options, stock appreciation rights, restricted stock, restricted stock units, performance awards and other stock -based and cash-based awards. Our employees and outside directors are eligible to receive grants under the 2006 Plan. The total number of shares of stock subject to grants under the 2006 Plan may not exceed 3,439,000. As of October 31, 2025, there were 1,085,482 shares of Common Stock or Class B Stock available for future grants under this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w:t>
      </w:r>
    </w:p>
    <w:p>
      <w:pPr>
        <w:spacing w:after="0" w:line="226"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4"/>
          <w:szCs w:val="14"/>
          <w:color w:val="auto"/>
        </w:rPr>
        <w:t>All of our non-vested restricted stock as of October 31, 2025 was issued under the 2006 Plan with vesting periods generally betweenone and five years. We determined the fair value of restricted shares as of the grant date. We recognize the related compensation expense over the period from the date of grant to the date the shares vest.</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There were 51,700 and 40,800 restricted shares of Common Stock granted during the three months ended October 31, 2025, and 2024, respectively. There were no restricted shares of Class B Stock granted during the three months ended October 31, 2025, and 2024. Stock-based compensation expense was $1.1 million and $0.9 million for the three months ended October 31, 2025, and 2025,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summary of restricted stock transactions is shown below:</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9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Restricted Shares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right"/>
              <w:ind w:right="182"/>
              <w:spacing w:after="0" w:line="156" w:lineRule="exact"/>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04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gridSpan w:val="2"/>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Non-vested restricted stock outstanding at July 31, 2025</w:t>
            </w:r>
          </w:p>
        </w:tc>
        <w:tc>
          <w:tcPr>
            <w:tcW w:w="1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28.52</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0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Granted</w:t>
            </w:r>
          </w:p>
        </w:tc>
        <w:tc>
          <w:tcPr>
            <w:tcW w:w="1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59.07</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20.47</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0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6"/>
                <w:szCs w:val="16"/>
                <w:color w:val="auto"/>
              </w:rPr>
              <w:t>Forfeitures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31.90</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Non-vested restricted stock outstanding at October 31, 2025</w:t>
            </w:r>
          </w:p>
        </w:tc>
        <w:tc>
          <w:tcPr>
            <w:tcW w:w="1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611</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ACCUMULATED OTHER COMPREHENSIVE INCOME (LOSS)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changes in accumulated other comprehensive income (loss) by component as of October 31, 2025 (in thousands):</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Postretirement Health</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Total Accumulated</w:t>
            </w: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242"/>
              <w:spacing w:after="0" w:line="156"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240" w:type="dxa"/>
            <w:vAlign w:val="bottom"/>
          </w:tcPr>
          <w:p>
            <w:pPr>
              <w:spacing w:after="0"/>
              <w:rPr>
                <w:sz w:val="13"/>
                <w:szCs w:val="13"/>
                <w:color w:val="auto"/>
              </w:rPr>
            </w:pPr>
          </w:p>
        </w:tc>
        <w:tc>
          <w:tcPr>
            <w:tcW w:w="16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Other Comprehensive</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July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1,205</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156"/>
        </w:trPr>
        <w:tc>
          <w:tcPr>
            <w:tcW w:w="384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w w:val="99"/>
              </w:rPr>
              <w:t>Other comprehensive income before reclassifications, net of</w:t>
            </w:r>
          </w:p>
        </w:tc>
        <w:tc>
          <w:tcPr>
            <w:tcW w:w="120" w:type="dxa"/>
            <w:vAlign w:val="bottom"/>
          </w:tcPr>
          <w:p>
            <w:pPr>
              <w:spacing w:after="0"/>
              <w:rPr>
                <w:sz w:val="13"/>
                <w:szCs w:val="13"/>
                <w:color w:val="auto"/>
              </w:rPr>
            </w:pPr>
          </w:p>
        </w:tc>
        <w:tc>
          <w:tcPr>
            <w:tcW w:w="16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1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net of tax</w:t>
            </w:r>
          </w:p>
        </w:tc>
        <w:tc>
          <w:tcPr>
            <w:tcW w:w="1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8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current-period other comprehensive (loss) income, net of</w:t>
            </w:r>
          </w:p>
        </w:tc>
        <w:tc>
          <w:tcPr>
            <w:tcW w:w="12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October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1,183</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9" w:right="68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13. RELATED PARTY TRANSACTIONS</w:t>
      </w:r>
    </w:p>
    <w:p>
      <w:pPr>
        <w:spacing w:after="0" w:line="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One member of our Board is currently the President and Chief Executive Officer of one of our vendors. Total payments to this vendor for fees and cost reimbursements were $ 0.7 million and $ 0.3 million for the first three months of fiscal years 2026 and 2025, respectively. There were $0.1 million and no outstanding accounts payable due to that vendor as of October 31, 2025 and July 31, 2025, respectively.</w:t>
      </w:r>
    </w:p>
    <w:p>
      <w:pPr>
        <w:spacing w:after="0" w:line="20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One member of our Board retired from the role of President and Chief Executive Officer of a customer of ours on September 28, 2019, and was party to a post-employment consulting agreement with the customer until September 30, 2025. Total sales to that customer, including sales to its subsidiaries, were $0.1 million for the first three months of both fiscal years 2026 and 2025. There were no outstanding amounts due from that customer as of either October 31, 2025, or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9" w:right="68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2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2025. This discussion contains forward-looking statements that involve risks and uncertainties. Our actual results may differ materially from the results discussed in the forward-looking statements. Factors that might cause a difference include, but are not limited to, those discussed herein under "Forward-Looking Statements" and "Risk Factors," and those discussed under Part I, Item 1A, "Risk Factors," of our Annual Report on Form 10-K for the fiscal year ended July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OVERVIEW</w:t>
      </w:r>
    </w:p>
    <w:p>
      <w:pPr>
        <w:spacing w:after="0" w:line="2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and the Business to Business Products Group ("Business to Business"), as described in Note 10 of the Notes to the unaudited Condensed Consolidated Financial Statements. Each operating segment is discussed individually below.</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On October 9, 2024, the Company announced that our Board approved a two-for -one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2006 Plan, as well as to the outstanding awards under the 2006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183515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auto"/>
        </w:rPr>
        <w:t>THREE MONTHS ENDED OCTOBER 31, 2025 COMPARED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THREE MONTHS ENDED OCTOBER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RESULTS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October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2"/>
                <w:szCs w:val="12"/>
                <w:color w:val="auto"/>
              </w:rPr>
            </w:pPr>
          </w:p>
        </w:tc>
        <w:tc>
          <w:tcPr>
            <w:tcW w:w="940" w:type="dxa"/>
            <w:vAlign w:val="bottom"/>
            <w:vMerge w:val="restart"/>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782"/>
              <w:spacing w:after="0" w:line="149"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384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4"/>
        </w:trPr>
        <w:tc>
          <w:tcPr>
            <w:tcW w:w="700" w:type="dxa"/>
            <w:vAlign w:val="bottom"/>
          </w:tcPr>
          <w:p>
            <w:pPr>
              <w:spacing w:after="0"/>
              <w:rPr>
                <w:sz w:val="16"/>
                <w:szCs w:val="16"/>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120,486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127,945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(7,459)</w:t>
            </w:r>
          </w:p>
        </w:tc>
        <w:tc>
          <w:tcPr>
            <w:tcW w:w="112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35,495</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40,780</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(5,285)</w:t>
            </w:r>
          </w:p>
        </w:tc>
        <w:tc>
          <w:tcPr>
            <w:tcW w:w="1120" w:type="dxa"/>
            <w:vAlign w:val="bottom"/>
            <w:shd w:val="clear" w:color="auto" w:fill="CCEEFF"/>
          </w:tcPr>
          <w:p>
            <w:pPr>
              <w:jc w:val="center"/>
              <w:ind w:right="202"/>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21,190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(4,236)</w:t>
            </w:r>
          </w:p>
        </w:tc>
        <w:tc>
          <w:tcPr>
            <w:tcW w:w="112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38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15,456</w:t>
            </w:r>
          </w:p>
        </w:tc>
        <w:tc>
          <w:tcPr>
            <w:tcW w:w="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16,376</w:t>
            </w: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(920)</w:t>
            </w:r>
          </w:p>
        </w:tc>
        <w:tc>
          <w:tcPr>
            <w:tcW w:w="1120" w:type="dxa"/>
            <w:vAlign w:val="bottom"/>
            <w:tcBorders>
              <w:bottom w:val="single" w:sz="8" w:color="auto"/>
            </w:tcBorders>
            <w:shd w:val="clear" w:color="auto" w:fill="CCEEFF"/>
          </w:tcPr>
          <w:p>
            <w:pPr>
              <w:jc w:val="center"/>
              <w:ind w:right="202"/>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197"/>
        </w:trPr>
        <w:tc>
          <w:tcPr>
            <w:tcW w:w="700" w:type="dxa"/>
            <w:vAlign w:val="bottom"/>
          </w:tcPr>
          <w:p>
            <w:pPr>
              <w:spacing w:after="0"/>
              <w:rPr>
                <w:sz w:val="17"/>
                <w:szCs w:val="17"/>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to Business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44,286</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48,415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(4,129)</w:t>
            </w:r>
          </w:p>
        </w:tc>
        <w:tc>
          <w:tcPr>
            <w:tcW w:w="1120" w:type="dxa"/>
            <w:vAlign w:val="bottom"/>
            <w:shd w:val="clear" w:color="auto" w:fill="CCEEFF"/>
          </w:tcPr>
          <w:p>
            <w:pPr>
              <w:jc w:val="center"/>
              <w:ind w:right="202"/>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13,634</w:t>
            </w:r>
          </w:p>
        </w:tc>
        <w:tc>
          <w:tcPr>
            <w:tcW w:w="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17,110</w:t>
            </w:r>
          </w:p>
        </w:tc>
        <w:tc>
          <w:tcPr>
            <w:tcW w:w="3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(3,476)</w:t>
            </w:r>
          </w:p>
        </w:tc>
        <w:tc>
          <w:tcPr>
            <w:tcW w:w="112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197"/>
        </w:trPr>
        <w:tc>
          <w:tcPr>
            <w:tcW w:w="700" w:type="dxa"/>
            <w:vAlign w:val="bottom"/>
          </w:tcPr>
          <w:p>
            <w:pPr>
              <w:spacing w:after="0"/>
              <w:rPr>
                <w:sz w:val="17"/>
                <w:szCs w:val="17"/>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Retail &amp; Wholesale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76,200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79,530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(3,330)</w:t>
            </w:r>
          </w:p>
        </w:tc>
        <w:tc>
          <w:tcPr>
            <w:tcW w:w="112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38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12,399</w:t>
            </w:r>
          </w:p>
        </w:tc>
        <w:tc>
          <w:tcPr>
            <w:tcW w:w="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13,377</w:t>
            </w: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(978)</w:t>
            </w:r>
          </w:p>
        </w:tc>
        <w:tc>
          <w:tcPr>
            <w:tcW w:w="1120" w:type="dxa"/>
            <w:vAlign w:val="bottom"/>
            <w:tcBorders>
              <w:bottom w:val="single" w:sz="8" w:color="auto"/>
            </w:tcBorders>
            <w:shd w:val="clear" w:color="auto" w:fill="CCEEFF"/>
          </w:tcPr>
          <w:p>
            <w:pPr>
              <w:jc w:val="center"/>
              <w:ind w:right="202"/>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Oil-Dri experienced strong results in the first quarter of fiscal year 2026. However, since net sales, gross profit and net income reached all-time highs in the first quarter of fiscal year 2025, we experienced a decrease when comparing the three months ended October 31, 2025 to the three months ended October 31, 2024. Consolidated net sales for the three months ended October 31, 2025, were $120.5 million, a 6% decrease compared to net sales of $127.9 million for the three months ended October 31, 2024. The decrease was driven by both our Business to Business and Retail and Wholesale product groups as further discussed below in the segment analysis.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Consolidated gross profit in the three months ended October 31, 2025, was $35.5 million, a decrease of $5.3 million, or 13%, from gross profit of $40.8 million in the three months ended October 31, 2024. Gross margin (defined as gross profit as a percentage of net sales) in the three months ended October 31, 2025, decreased to 29.5% from 31.9% in the three months ended October 31, 2024. This reduction in gross margin was mainly driven by softer volume and higher costs, which led to unfavorable fixed cost coverage. For the three months ended October 31, 2025, the overall domestic per ton cost of goods sold increased 3% compared to the same period of fiscal year 2025. The increase was primarily driven by higher per ton manufacturing costs, including materials, which increased 8% when compared to three months ended October 31, 2024. These increases were slightly offset by a 6% decrease in per ton transportation costs, and 4% decrease in per ton packaging costs for the three months ended October 31, 2025, when compared to the three months ended October 31, 2024.</w:t>
      </w:r>
    </w:p>
    <w:p>
      <w:pPr>
        <w:spacing w:after="0" w:line="20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Total SG&amp;A expenses of $18.5 million for the three months ended October 31, 2025, were $1.1 million, or 5%, lower compared to $ 19.6 million for the three months ended October 31, 2024. The decrease was primarily driven by operating segment SG&amp;A, which decreased by $0.8 million, and to a lesser extent a $0.2 million reduction in corporate unallocated expenses. SG&amp;A expenses at the operating segments level are discussed below.</w:t>
      </w:r>
    </w:p>
    <w:p>
      <w:pPr>
        <w:spacing w:after="0" w:line="200"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6"/>
          <w:szCs w:val="16"/>
          <w:color w:val="auto"/>
        </w:rPr>
        <w:t>Total other income, net was $0.7 million for the three months ended October 31, 2025, compared to other expenses, net of $1.0 million in the same period of fiscal year 2025. The $1.7 million gain was driven in part by the positive outcome of a confidential legal settlement in the matter of Oil-Dri Corporation of America vs. Entera Animal Health, et al.</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Tax expense was $2.2 million for the three months ended October 31, 2025, compared to $3.8 million for the three months ended October 31, 2024. $0.8 million of the decrease was due to a discrete tax benefit as a result of stock based compensation recognized in the first quarter of fiscal year 2026. The remaining decrease was primarily due to the conversion of certain legal entities from corporations to limited liability companies resulting in state tax benefits.</w:t>
      </w:r>
    </w:p>
    <w:p>
      <w:pPr>
        <w:spacing w:after="0" w:line="20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Our unaudited Condensed Consolidated Balance Sheet as of October 31, 2025 and our unaudited Condensed Consolidated Statement of Cash Flows for the three months ended October 31, 2025, show an $8.1 million decrease in total cash and cash equivalents from fiscal year-end 2025. The decrease was driven primarily by financing and investing activities, partially offset by positive cash flow from operations. Refer to the "Liquidity and Capital Resources" section below for more details.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BUSINESS TO BUSINESS PRODUCTS GROUP</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44"/>
        </w:trPr>
        <w:tc>
          <w:tcPr>
            <w:tcW w:w="4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October 31,</w:t>
            </w:r>
          </w:p>
        </w:tc>
        <w:tc>
          <w:tcPr>
            <w:tcW w:w="1200" w:type="dxa"/>
            <w:vAlign w:val="bottom"/>
            <w:tcBorders>
              <w:bottom w:val="single" w:sz="8" w:color="auto"/>
            </w:tcBorders>
          </w:tcPr>
          <w:p>
            <w:pPr>
              <w:spacing w:after="0"/>
              <w:rPr>
                <w:sz w:val="24"/>
                <w:szCs w:val="24"/>
                <w:color w:val="auto"/>
              </w:rPr>
            </w:pPr>
          </w:p>
        </w:tc>
      </w:tr>
      <w:tr>
        <w:trPr>
          <w:trHeight w:val="198"/>
        </w:trPr>
        <w:tc>
          <w:tcPr>
            <w:tcW w:w="40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Business to Business Products Group</w:t>
            </w:r>
          </w:p>
        </w:tc>
        <w:tc>
          <w:tcPr>
            <w:tcW w:w="260" w:type="dxa"/>
            <w:vAlign w:val="bottom"/>
          </w:tcPr>
          <w:p>
            <w:pPr>
              <w:spacing w:after="0"/>
              <w:rPr>
                <w:sz w:val="17"/>
                <w:szCs w:val="17"/>
                <w:color w:val="auto"/>
              </w:rPr>
            </w:pPr>
          </w:p>
        </w:tc>
        <w:tc>
          <w:tcPr>
            <w:tcW w:w="94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00" w:type="dxa"/>
            <w:vAlign w:val="bottom"/>
          </w:tcPr>
          <w:p>
            <w:pPr>
              <w:spacing w:after="0"/>
              <w:rPr>
                <w:sz w:val="17"/>
                <w:szCs w:val="17"/>
                <w:color w:val="auto"/>
              </w:rPr>
            </w:pPr>
          </w:p>
        </w:tc>
        <w:tc>
          <w:tcPr>
            <w:tcW w:w="41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Agricultural and Horticultural</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12,931</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1,349</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4"/>
        </w:trPr>
        <w:tc>
          <w:tcPr>
            <w:tcW w:w="400" w:type="dxa"/>
            <w:vAlign w:val="bottom"/>
          </w:tcPr>
          <w:p>
            <w:pPr>
              <w:spacing w:after="0"/>
              <w:rPr>
                <w:sz w:val="17"/>
                <w:szCs w:val="17"/>
                <w:color w:val="auto"/>
              </w:rPr>
            </w:pPr>
          </w:p>
        </w:tc>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Fluids Purification</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26,667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4"/>
        </w:trPr>
        <w:tc>
          <w:tcPr>
            <w:tcW w:w="400" w:type="dxa"/>
            <w:vAlign w:val="bottom"/>
          </w:tcPr>
          <w:p>
            <w:pPr>
              <w:spacing w:after="0"/>
              <w:rPr>
                <w:sz w:val="17"/>
                <w:szCs w:val="17"/>
                <w:color w:val="auto"/>
              </w:rPr>
            </w:pPr>
          </w:p>
        </w:tc>
        <w:tc>
          <w:tcPr>
            <w:tcW w:w="4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Animal Health &amp; Nutrition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4,688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196"/>
        </w:trPr>
        <w:tc>
          <w:tcPr>
            <w:tcW w:w="400" w:type="dxa"/>
            <w:vAlign w:val="bottom"/>
          </w:tcPr>
          <w:p>
            <w:pPr>
              <w:spacing w:after="0"/>
              <w:rPr>
                <w:sz w:val="17"/>
                <w:szCs w:val="17"/>
                <w:color w:val="auto"/>
              </w:rPr>
            </w:pPr>
          </w:p>
        </w:tc>
        <w:tc>
          <w:tcPr>
            <w:tcW w:w="4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44,286</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48,415</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
        </w:trPr>
        <w:tc>
          <w:tcPr>
            <w:tcW w:w="40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400" w:type="dxa"/>
            <w:vAlign w:val="bottom"/>
          </w:tcPr>
          <w:p>
            <w:pPr>
              <w:spacing w:after="0"/>
              <w:rPr>
                <w:sz w:val="16"/>
                <w:szCs w:val="16"/>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(26,545)</w:t>
            </w: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(26,820)</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275</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196"/>
        </w:trPr>
        <w:tc>
          <w:tcPr>
            <w:tcW w:w="400" w:type="dxa"/>
            <w:vAlign w:val="bottom"/>
          </w:tcPr>
          <w:p>
            <w:pPr>
              <w:spacing w:after="0"/>
              <w:rPr>
                <w:sz w:val="17"/>
                <w:szCs w:val="17"/>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17,741</w:t>
            </w:r>
          </w:p>
        </w:tc>
        <w:tc>
          <w:tcPr>
            <w:tcW w:w="16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21,595</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
        </w:trPr>
        <w:tc>
          <w:tcPr>
            <w:tcW w:w="40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400" w:type="dxa"/>
            <w:vAlign w:val="bottom"/>
          </w:tcPr>
          <w:p>
            <w:pPr>
              <w:spacing w:after="0"/>
              <w:rPr>
                <w:sz w:val="16"/>
                <w:szCs w:val="16"/>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(4,107)</w:t>
            </w: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196"/>
        </w:trPr>
        <w:tc>
          <w:tcPr>
            <w:tcW w:w="400" w:type="dxa"/>
            <w:vAlign w:val="bottom"/>
          </w:tcPr>
          <w:p>
            <w:pPr>
              <w:spacing w:after="0"/>
              <w:rPr>
                <w:sz w:val="17"/>
                <w:szCs w:val="17"/>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13,634</w:t>
            </w:r>
          </w:p>
        </w:tc>
        <w:tc>
          <w:tcPr>
            <w:tcW w:w="16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17,110</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
        </w:trPr>
        <w:tc>
          <w:tcPr>
            <w:tcW w:w="40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Net sales of the Business to Business Products Group for the three months ended October 31, 2025, decreased $ 4.1 million, or 9%, compared to the three months ended October 31, 2024, driven primarily by a reduction in sales of our fluid purification and animal health products, partial offset by an increase in sales of our agricultural and horticultural products. Net sales of our fluids purification products for the three months ended October 31, 2025, decreased $3.9 million, or 13%, compared to the three months ended October 31, 2024. This decrease was due to lower volumes, primarily of our products used in renewable diesel filtration, which were significantly higher in the first quarter of fiscal year 2025 when several new customers began operations in new plants. Net sales of our animal health &amp; nutrition products for the three months ended October 31, 2025, decreased $1.5 million, or 25%, compared to the three months ended October 31, 2024, due to lower volume. Net sales of our agricultural and horticultural chemical carrier products for the three months ended October 31, 2025, increased $1.3 million, or 12%, compared to the three months ended October 31, 2024, evenly due to favorable mix, higher volume and higher prices.</w:t>
      </w:r>
    </w:p>
    <w:p>
      <w:pPr>
        <w:spacing w:after="0" w:line="20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Gross profit decreased 18% in the three months ended October 31, 2025 compared to the three months ended October 31, 2024. This decrease was mainly due to lower sales resulting in unfavorable fixed cost coverage, and higher per ton manufacturing and transportation costs. Per ton manufacturing and transportation costs increased 13% and 2%, respectively, partially offset by a 7% reduction in per ton packaging costs. SG&amp;A expenses decreased by $ 0.4 million, or 8%, for the three months ended October 31, 2025, compared to the three months ended October 31, 2024. The decrease was mainly a result of the foreign value-added tax ("VAT") assessment recognized in the first quarter of fiscal year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RETAIL AND WHOLESALE PRODUCTS GROUP</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44"/>
        </w:trPr>
        <w:tc>
          <w:tcPr>
            <w:tcW w:w="4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October 31,</w:t>
            </w: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98"/>
        </w:trPr>
        <w:tc>
          <w:tcPr>
            <w:tcW w:w="40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Retail and Wholesale Products Group</w:t>
            </w:r>
          </w:p>
        </w:tc>
        <w:tc>
          <w:tcPr>
            <w:tcW w:w="280" w:type="dxa"/>
            <w:vAlign w:val="bottom"/>
          </w:tcPr>
          <w:p>
            <w:pPr>
              <w:spacing w:after="0"/>
              <w:rPr>
                <w:sz w:val="17"/>
                <w:szCs w:val="17"/>
                <w:color w:val="auto"/>
              </w:rPr>
            </w:pPr>
          </w:p>
        </w:tc>
        <w:tc>
          <w:tcPr>
            <w:tcW w:w="94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40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Cat Litter</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64,566</w:t>
            </w:r>
          </w:p>
        </w:tc>
        <w:tc>
          <w:tcPr>
            <w:tcW w:w="440" w:type="dxa"/>
            <w:vAlign w:val="bottom"/>
            <w:tcBorders>
              <w:top w:val="single" w:sz="8" w:color="auto"/>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67,676</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00" w:type="dxa"/>
            <w:vAlign w:val="bottom"/>
          </w:tcPr>
          <w:p>
            <w:pPr>
              <w:spacing w:after="0"/>
              <w:rPr>
                <w:sz w:val="17"/>
                <w:szCs w:val="17"/>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Industrial and Sports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11,634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400" w:type="dxa"/>
            <w:vAlign w:val="bottom"/>
          </w:tcPr>
          <w:p>
            <w:pPr>
              <w:spacing w:after="0"/>
              <w:rPr>
                <w:sz w:val="18"/>
                <w:szCs w:val="18"/>
                <w:color w:val="auto"/>
              </w:rPr>
            </w:pPr>
          </w:p>
        </w:tc>
        <w:tc>
          <w:tcPr>
            <w:tcW w:w="4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0" w:type="dxa"/>
            <w:vAlign w:val="bottom"/>
          </w:tcPr>
          <w:p>
            <w:pPr>
              <w:spacing w:after="0" w:line="20" w:lineRule="exact"/>
              <w:rPr>
                <w:sz w:val="1"/>
                <w:szCs w:val="1"/>
                <w:color w:val="auto"/>
              </w:rPr>
            </w:pPr>
          </w:p>
        </w:tc>
        <w:tc>
          <w:tcPr>
            <w:tcW w:w="42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172"/>
        </w:trPr>
        <w:tc>
          <w:tcPr>
            <w:tcW w:w="400" w:type="dxa"/>
            <w:vAlign w:val="bottom"/>
          </w:tcPr>
          <w:p>
            <w:pPr>
              <w:spacing w:after="0"/>
              <w:rPr>
                <w:sz w:val="14"/>
                <w:szCs w:val="14"/>
                <w:color w:val="auto"/>
              </w:rPr>
            </w:pPr>
          </w:p>
        </w:tc>
        <w:tc>
          <w:tcPr>
            <w:tcW w:w="4040" w:type="dxa"/>
            <w:vAlign w:val="bottom"/>
            <w:tcBorders>
              <w:top w:val="single" w:sz="8" w:color="auto"/>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2"/>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(58,446)</w:t>
            </w:r>
          </w:p>
        </w:tc>
        <w:tc>
          <w:tcPr>
            <w:tcW w:w="16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(60,345)</w:t>
            </w:r>
          </w:p>
        </w:tc>
        <w:tc>
          <w:tcPr>
            <w:tcW w:w="1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center"/>
              <w:ind w:right="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rPr>
              <w:t>1,899</w:t>
            </w:r>
          </w:p>
        </w:tc>
        <w:tc>
          <w:tcPr>
            <w:tcW w:w="1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221"/>
        </w:trPr>
        <w:tc>
          <w:tcPr>
            <w:tcW w:w="400" w:type="dxa"/>
            <w:vAlign w:val="bottom"/>
          </w:tcPr>
          <w:p>
            <w:pPr>
              <w:spacing w:after="0"/>
              <w:rPr>
                <w:sz w:val="18"/>
                <w:szCs w:val="18"/>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17,754</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0" w:type="dxa"/>
            <w:vAlign w:val="bottom"/>
          </w:tcPr>
          <w:p>
            <w:pPr>
              <w:spacing w:after="0" w:line="20" w:lineRule="exact"/>
              <w:rPr>
                <w:sz w:val="1"/>
                <w:szCs w:val="1"/>
                <w:color w:val="auto"/>
              </w:rPr>
            </w:pPr>
          </w:p>
        </w:tc>
        <w:tc>
          <w:tcPr>
            <w:tcW w:w="42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172"/>
        </w:trPr>
        <w:tc>
          <w:tcPr>
            <w:tcW w:w="400" w:type="dxa"/>
            <w:vAlign w:val="bottom"/>
          </w:tcPr>
          <w:p>
            <w:pPr>
              <w:spacing w:after="0"/>
              <w:rPr>
                <w:sz w:val="14"/>
                <w:szCs w:val="14"/>
                <w:color w:val="auto"/>
              </w:rPr>
            </w:pPr>
          </w:p>
        </w:tc>
        <w:tc>
          <w:tcPr>
            <w:tcW w:w="4040" w:type="dxa"/>
            <w:vAlign w:val="bottom"/>
            <w:tcBorders>
              <w:top w:val="single" w:sz="8" w:color="auto"/>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SG&amp;A</w:t>
            </w:r>
          </w:p>
        </w:tc>
        <w:tc>
          <w:tcPr>
            <w:tcW w:w="16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2"/>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(5,355)</w:t>
            </w:r>
          </w:p>
        </w:tc>
        <w:tc>
          <w:tcPr>
            <w:tcW w:w="16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(5,808)</w:t>
            </w:r>
          </w:p>
        </w:tc>
        <w:tc>
          <w:tcPr>
            <w:tcW w:w="1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center"/>
              <w:ind w:right="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rPr>
              <w:t>453</w:t>
            </w:r>
          </w:p>
        </w:tc>
        <w:tc>
          <w:tcPr>
            <w:tcW w:w="1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w:t>
            </w:r>
          </w:p>
        </w:tc>
        <w:tc>
          <w:tcPr>
            <w:tcW w:w="1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221"/>
        </w:trPr>
        <w:tc>
          <w:tcPr>
            <w:tcW w:w="400" w:type="dxa"/>
            <w:vAlign w:val="bottom"/>
          </w:tcPr>
          <w:p>
            <w:pPr>
              <w:spacing w:after="0"/>
              <w:rPr>
                <w:sz w:val="18"/>
                <w:szCs w:val="18"/>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12,399</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0" w:type="dxa"/>
            <w:vAlign w:val="bottom"/>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Net sales of the Retail and Wholesale Products Group for the three months ended October 31, 2025, decreased $3.3 million, or 4%, compared to the three months ended October 31, 2024, mainly due to decrease in cat litter sales. Domestic cat litter net sales, excluding co-packaged cat litter, were $56.2 million for the three months ended October 31, 2025, a decrease of $3.6 million, or 6%, when compared to the three months ended October 31, 2024. $2.5 million of the decrease was tied to high demand in the first quarter of fiscal year 2025 due to a large promotion at a key account, and $1.2 million was due to a private label account that was lost in the second quarter of fiscal year 2025. Net sales of co -packaged cat litter products increased 8% in the three months ended October 31, 2025, compared to the three months ended October 31, 2024. This increase was driven primarily by higher volumes. Net sales of our domestic industrial and sports products were $10.9 million for the three months ended October 31, 2025, a decrease of $0.1 million, or 1%, when compared to the three months ended October 31, 2024, mainly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25" w:name="page26"/>
    <w:bookmarkEnd w:id="25"/>
    <w:p>
      <w:pPr>
        <w:ind w:right="40"/>
        <w:spacing w:after="0" w:line="259" w:lineRule="auto"/>
        <w:rPr>
          <w:sz w:val="20"/>
          <w:szCs w:val="20"/>
          <w:color w:val="auto"/>
        </w:rPr>
      </w:pPr>
      <w:r>
        <w:rPr>
          <w:rFonts w:ascii="Times New Roman" w:cs="Times New Roman" w:eastAsia="Times New Roman" w:hAnsi="Times New Roman"/>
          <w:sz w:val="16"/>
          <w:szCs w:val="16"/>
          <w:color w:val="auto"/>
        </w:rPr>
        <w:t>driven by volume. Net sales by our subsidiary in Canada, which include both our cat litter and industrial products, remained relatively flat for the three months ended October 31, 2025, when compared to the three months ended October 31, 2024.</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Gross profit decreased 7% in the three months ended October 31, 2025 compared to the three months ended October 31, 2024. This decrease was mainly due to lower sales resulting in unfavorable fixed cost coverage, and higher per ton manufacturing costs. Per ton manufacturing costs, including purchased materials, increased 6%, this increase was partially offset by a 13% reduction in transportation and 5% reduction in per ton packaging costs. Certain key customers shifting terms from delivery to pick-up was the primary driver of the reduction of transportation costs. SG&amp;A expenses decreased $0.5 million, or 8%, during the three months ended October 31, 2025, compared to the three months ended October 31, 2024, primarily due to less bad debt expense related to customer bankruptcies.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OPERATIONS</w:t>
      </w:r>
    </w:p>
    <w:p>
      <w:pPr>
        <w:spacing w:after="0" w:line="22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Foreign operations include our subsidiaries in Canada and Netherlands, which are reported in the Retail and Wholesale Products Group, and our subsidiaries in the United Kingdom ("UK"), Mexico, China and Indonesia, which are reported in the Business to Business Products Group. Net sales by our foreign subsidiaries were $ 5.1 million for both the three months ended October 31, 2025, and October 31, 2024. Net sales by our foreign subsidiaries represented 4% of our consolidated net sales for both the three months ended October 31, 2025, and October 31, 2024.</w:t>
      </w:r>
    </w:p>
    <w:p>
      <w:pPr>
        <w:spacing w:after="0" w:line="203" w:lineRule="exact"/>
        <w:rPr>
          <w:sz w:val="20"/>
          <w:szCs w:val="20"/>
          <w:color w:val="auto"/>
        </w:rPr>
      </w:pPr>
    </w:p>
    <w:p>
      <w:pPr>
        <w:jc w:val="both"/>
        <w:ind w:right="40"/>
        <w:spacing w:after="0" w:line="331" w:lineRule="auto"/>
        <w:rPr>
          <w:sz w:val="20"/>
          <w:szCs w:val="20"/>
          <w:color w:val="auto"/>
        </w:rPr>
      </w:pPr>
      <w:r>
        <w:rPr>
          <w:rFonts w:ascii="Times New Roman" w:cs="Times New Roman" w:eastAsia="Times New Roman" w:hAnsi="Times New Roman"/>
          <w:sz w:val="14"/>
          <w:szCs w:val="14"/>
          <w:color w:val="auto"/>
        </w:rPr>
        <w:t>Our foreign subsidiaries reported net income of $0.2 million for the three months ended October 31, 2025, compared to net loss of $0.2 million in the three months ended October 31, 2024. The increase in net income was primarily driven by the preliminary foreign VAT assessment recognized in the first quarter of fiscal year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Identifiable assets of our foreign subsidiaries as of October 31, 2025, were $8.9 million, compared to $9.0 million as of July 31,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LIQUIDITY AND CAPITAL RESOURCES</w:t>
      </w:r>
    </w:p>
    <w:p>
      <w:pPr>
        <w:spacing w:after="0" w:line="22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the three months ended October 31, 2025, we principally funded these short and long-term capital requirements using cash from current operations as well as cash generated from previous borrowings under our Credit Agreement and Series B, C and D Senior Notes issued under the Note Agreement. See Note 8 of the Notes to the unaudited Condensed Consolidated Financial Statements in this Quarterly Report on Form 10-Q for further information relating to our existing borrowings.</w:t>
      </w:r>
    </w:p>
    <w:p>
      <w:pPr>
        <w:spacing w:after="0" w:line="209"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the foreseeable future.</w:t>
      </w:r>
    </w:p>
    <w:p>
      <w:pPr>
        <w:spacing w:after="0" w:line="20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4"/>
          <w:szCs w:val="14"/>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41" w:right="640" w:bottom="1440" w:gutter="0" w:footer="0" w:header="0"/>
        </w:sectPr>
      </w:pPr>
    </w:p>
    <w:bookmarkStart w:id="26" w:name="page27"/>
    <w:bookmarkEnd w:id="26"/>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Cash and cash equivalents, including restricted cash, totaled $42.4 million and $13.5 million as of October 31, 2025, and 2024, respectively. The following table sets forth certain elements of our unaudited Condensed Consolidated Statements of Cash Flows (in thousands):</w:t>
      </w:r>
    </w:p>
    <w:p>
      <w:pPr>
        <w:spacing w:after="0" w:line="61"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6"/>
          <w:szCs w:val="16"/>
          <w:b w:val="1"/>
          <w:bCs w:val="1"/>
          <w:color w:val="auto"/>
        </w:rPr>
        <w:t>For the Three Months Ended October</w:t>
      </w:r>
    </w:p>
    <w:p>
      <w:pPr>
        <w:jc w:val="center"/>
        <w:ind w:left="622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198"/>
        </w:trPr>
        <w:tc>
          <w:tcPr>
            <w:tcW w:w="62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10,919</w:t>
            </w:r>
          </w:p>
        </w:tc>
      </w:tr>
      <w:tr>
        <w:trPr>
          <w:trHeight w:val="204"/>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(12,817)</w:t>
            </w:r>
          </w:p>
        </w:tc>
      </w:tr>
      <w:tr>
        <w:trPr>
          <w:trHeight w:val="20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by financing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r>
      <w:tr>
        <w:trPr>
          <w:trHeight w:val="204"/>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1"/>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(8,074)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provided by operating activities</w:t>
      </w:r>
    </w:p>
    <w:p>
      <w:pPr>
        <w:spacing w:after="0" w:line="22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addition to net income, as adjusted for depreciation and amortization and other non-cash operating activities, the primary sources and uses of operating cash flows for the three months ended October 31, 2025, were as follows: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net of allowances decreased by $3.1 million in the three months ended October 31, 2025, as compared to the three months ended October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decrease in accounts receivable was driven primarily by a decrease in net sales and timing of collections due to payment terms.</w:t>
      </w:r>
    </w:p>
    <w:p>
      <w:pPr>
        <w:spacing w:after="0" w:line="2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Inventory increased by $5.1 million in the three months ended October 31, 2025, as compared to the three months ended October 31, 2024, mainly due to the building of finished goods inventory and other additives to meet anticipated demand.</w:t>
      </w:r>
    </w:p>
    <w:p>
      <w:pPr>
        <w:spacing w:after="0" w:line="19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Prepaid expenses decreased by $1.4 million in the three months ended October 31, 2025, as compared to the three months ended October 31, 2024, mainly due to the timing of tax and insurance payments.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Excluding the impact of payments related to capital expenditures, accounts payable increased by $0.3 million in the three months ended October 31, 2025, as compared to the three months ended October 31, 2024. The increase was mainly due to the timing of payments, cost of goods and services we purchase, production volume levels and vendor payment terms. In the three months ended October 31, 2025, there was a $3.2 million decrease in accounts payable related to capital expenditures recognized as cash used in investing activities as compared to the three months ended October 31, 2024.</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Excluding the impact of payments made related to capital expenditures, accrued expenses decreased $13.8 million in the three months ended October 31, 2025, as compared to the three months ended October 31, 2024. The decrease was mainly due to the payout of annual bonuses and other miscellaneous expenses which fluctuate due to timing of payments, changes in the cost of goods and services we purchase, production volume levels, and vendor payment terms, including freight. In the three months ended October 31, 2025, there was a $1.3 million decrease in accrued expenses related to capital expenditures recognized as cash used in investing activities as compared to the three months ended October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investing activities</w:t>
      </w:r>
    </w:p>
    <w:p>
      <w:pPr>
        <w:spacing w:after="0" w:line="2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Cash used in investing activities of $9.1 million in the three months ended October 31, 2025, was driven by capital expenditures. During the three months ended October 31, 2025, we continued to expand our plant equipment and improve our facilities to improve efficiency of our manufacturing process and meet customer demands.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financing activities</w:t>
      </w:r>
    </w:p>
    <w:p>
      <w:pPr>
        <w:spacing w:after="0" w:line="22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Cash used in financing activities of $9.4 million in the three months ended October 31, 2025, included $7.0 million for stock repurchases and $2.4 million for dividend payments.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color w:val="auto"/>
        </w:rPr>
        <w:t>Other</w:t>
      </w:r>
    </w:p>
    <w:p>
      <w:pPr>
        <w:spacing w:after="0" w:line="226"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Total cash balances held by our foreign subsidiaries of $4.8 million as of October 31, 2025, compared to $4.7 million as of July 31, 2025. See further discussion in "Foreign Operations" above.</w:t>
      </w:r>
    </w:p>
    <w:p>
      <w:pPr>
        <w:spacing w:after="0" w:line="19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As of October 31, 2025, we had remaining authority to repurchase 279,623 shares of Common Stock and 208,197 shares of Class B Stock under a repurchase plan approved by our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CRITICAL ACCOUNTING POLICIES AND ESTIMATES</w:t>
      </w:r>
    </w:p>
    <w:p>
      <w:pPr>
        <w:spacing w:after="0" w:line="226"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4"/>
          <w:szCs w:val="14"/>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10 -Q and Article 10 of Regulation S- 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2025.</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been no material change in our exposure to market risk from that discussed in our Annual Report on Form 10-K for the fiscal year ended July 31,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26"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Management conducted an evaluation of the effectiveness of the design and operation of our disclosure controls and procedures (as defined in Rule 13a -15(e)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defined in Rule 13a-15(f) under the Exchange Act) that occurred during the fiscal quarter ended October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39" w:right="6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Inherent Limitations on Effectiveness of Controls</w:t>
      </w:r>
    </w:p>
    <w:p>
      <w:pPr>
        <w:spacing w:after="0" w:line="2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 -making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Items 1, 3, and 5 of this Part II are either inapplicable or are answered in the negative and are omitted pursuant to the instructions to Part II of Form 10-Q.</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Our operations and financial results are subject to various risks and uncertainties, including those described in Part I, Item 1A, "Risk Factors," of our Annual Report on Form 10-K for the fiscal year ended July 31, 2025. There have been no material changes to our risk factors since our Annual Report on Form 10-K for the fiscal year ended July 31, 2025.</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During the three months ended October 31, 2025, we did not sell any equity securities which were not registered under the Securities Act of 1933, as amended. The following table summarizes our Common Stock purchases by or on behalf of the Company or any affiliated purchaser (as defined in Rule 10b-18(a)(3) under the Exchange Act) during this period.</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r>
        <w:rPr>
          <w:rFonts w:ascii="Times New Roman" w:cs="Times New Roman" w:eastAsia="Times New Roman" w:hAnsi="Times New Roman"/>
          <w:sz w:val="21"/>
          <w:szCs w:val="21"/>
          <w:b w:val="1"/>
          <w:bCs w:val="1"/>
          <w:color w:val="auto"/>
          <w:vertAlign w:val="superscript"/>
        </w:rPr>
        <w:t>1, 2</w:t>
      </w:r>
    </w:p>
    <w:tbl>
      <w:tblPr>
        <w:tblLayout w:type="fixed"/>
        <w:tblInd w:w="0" w:type="dxa"/>
        <w:tblCellMar>
          <w:top w:w="0" w:type="dxa"/>
          <w:left w:w="0" w:type="dxa"/>
          <w:bottom w:w="0" w:type="dxa"/>
          <w:right w:w="0" w:type="dxa"/>
        </w:tblCellMar>
      </w:tblPr>
      <w:tr>
        <w:trPr>
          <w:trHeight w:val="193"/>
        </w:trPr>
        <w:tc>
          <w:tcPr>
            <w:tcW w:w="20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020" w:type="dxa"/>
            <w:vAlign w:val="bottom"/>
            <w:tcBorders>
              <w:top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2300" w:type="dxa"/>
            <w:vAlign w:val="bottom"/>
            <w:tcBorders>
              <w:top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b w:val="1"/>
                <w:bCs w:val="1"/>
                <w:color w:val="auto"/>
              </w:rPr>
              <w:t>(c)</w:t>
            </w:r>
          </w:p>
        </w:tc>
        <w:tc>
          <w:tcPr>
            <w:tcW w:w="2120" w:type="dxa"/>
            <w:vAlign w:val="bottom"/>
            <w:tcBorders>
              <w:top w:val="single" w:sz="8" w:color="auto"/>
            </w:tcBorders>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1"/>
              </w:rPr>
              <w:t>(d)</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300" w:type="dxa"/>
            <w:vAlign w:val="bottom"/>
          </w:tcPr>
          <w:p>
            <w:pPr>
              <w:jc w:val="center"/>
              <w:ind w:left="2"/>
              <w:spacing w:after="0" w:line="159" w:lineRule="exact"/>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120" w:type="dxa"/>
            <w:vAlign w:val="bottom"/>
            <w:vMerge w:val="restart"/>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7"/>
              </w:rPr>
              <w:t>Maximum Number of Shares</w:t>
            </w: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20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2020" w:type="dxa"/>
            <w:vAlign w:val="bottom"/>
            <w:vMerge w:val="restart"/>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7"/>
              </w:rPr>
              <w:t>Average Price Paid per</w:t>
            </w:r>
          </w:p>
        </w:tc>
        <w:tc>
          <w:tcPr>
            <w:tcW w:w="23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Purchased as Part of Publicly</w:t>
            </w: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8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3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8"/>
              </w:rPr>
              <w:t>Announced Plans or</w:t>
            </w:r>
          </w:p>
        </w:tc>
        <w:tc>
          <w:tcPr>
            <w:tcW w:w="2120" w:type="dxa"/>
            <w:vAlign w:val="bottom"/>
          </w:tcPr>
          <w:p>
            <w:pPr>
              <w:jc w:val="center"/>
              <w:ind w:left="22"/>
              <w:spacing w:after="0" w:line="156" w:lineRule="exact"/>
              <w:rPr>
                <w:sz w:val="20"/>
                <w:szCs w:val="20"/>
                <w:color w:val="auto"/>
              </w:rPr>
            </w:pPr>
            <w:r>
              <w:rPr>
                <w:rFonts w:ascii="Times New Roman" w:cs="Times New Roman" w:eastAsia="Times New Roman" w:hAnsi="Times New Roman"/>
                <w:sz w:val="16"/>
                <w:szCs w:val="16"/>
                <w:b w:val="1"/>
                <w:bCs w:val="1"/>
                <w:color w:val="auto"/>
                <w:w w:val="98"/>
              </w:rPr>
              <w:t>that may yet be Purchased</w:t>
            </w:r>
          </w:p>
        </w:tc>
        <w:tc>
          <w:tcPr>
            <w:tcW w:w="0" w:type="dxa"/>
            <w:vAlign w:val="bottom"/>
          </w:tcPr>
          <w:p>
            <w:pPr>
              <w:spacing w:after="0"/>
              <w:rPr>
                <w:sz w:val="1"/>
                <w:szCs w:val="1"/>
                <w:color w:val="auto"/>
              </w:rPr>
            </w:pPr>
          </w:p>
        </w:tc>
      </w:tr>
      <w:tr>
        <w:trPr>
          <w:trHeight w:val="204"/>
        </w:trPr>
        <w:tc>
          <w:tcPr>
            <w:tcW w:w="204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tcPr>
          <w:p>
            <w:pPr>
              <w:jc w:val="center"/>
              <w:ind w:right="2"/>
              <w:spacing w:after="0" w:line="204" w:lineRule="exact"/>
              <w:rPr>
                <w:sz w:val="20"/>
                <w:szCs w:val="20"/>
                <w:color w:val="auto"/>
              </w:rPr>
            </w:pPr>
            <w:r>
              <w:rPr>
                <w:rFonts w:ascii="Times New Roman" w:cs="Times New Roman" w:eastAsia="Times New Roman" w:hAnsi="Times New Roman"/>
                <w:sz w:val="16"/>
                <w:szCs w:val="16"/>
                <w:b w:val="1"/>
                <w:bCs w:val="1"/>
                <w:color w:val="auto"/>
                <w:w w:val="96"/>
              </w:rPr>
              <w:t>Purchased</w:t>
            </w:r>
            <w:r>
              <w:rPr>
                <w:rFonts w:ascii="Times New Roman" w:cs="Times New Roman" w:eastAsia="Times New Roman" w:hAnsi="Times New Roman"/>
                <w:sz w:val="21"/>
                <w:szCs w:val="21"/>
                <w:b w:val="1"/>
                <w:bCs w:val="1"/>
                <w:color w:val="auto"/>
                <w:w w:val="96"/>
                <w:vertAlign w:val="superscript"/>
              </w:rPr>
              <w:t>3</w:t>
            </w:r>
          </w:p>
        </w:tc>
        <w:tc>
          <w:tcPr>
            <w:tcW w:w="202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30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2120" w:type="dxa"/>
            <w:vAlign w:val="bottom"/>
            <w:tcBorders>
              <w:bottom w:val="single" w:sz="8" w:color="auto"/>
            </w:tcBorders>
          </w:tcPr>
          <w:p>
            <w:pPr>
              <w:jc w:val="center"/>
              <w:ind w:left="22"/>
              <w:spacing w:after="0" w:line="204" w:lineRule="exact"/>
              <w:rPr>
                <w:sz w:val="20"/>
                <w:szCs w:val="20"/>
                <w:color w:val="auto"/>
              </w:rPr>
            </w:pPr>
            <w:r>
              <w:rPr>
                <w:rFonts w:ascii="Times New Roman" w:cs="Times New Roman" w:eastAsia="Times New Roman" w:hAnsi="Times New Roman"/>
                <w:sz w:val="16"/>
                <w:szCs w:val="16"/>
                <w:b w:val="1"/>
                <w:bCs w:val="1"/>
                <w:color w:val="auto"/>
                <w:w w:val="97"/>
              </w:rPr>
              <w:t>Under Plans or Programs</w:t>
            </w:r>
            <w:r>
              <w:rPr>
                <w:rFonts w:ascii="Times New Roman" w:cs="Times New Roman" w:eastAsia="Times New Roman" w:hAnsi="Times New Roman"/>
                <w:sz w:val="21"/>
                <w:szCs w:val="21"/>
                <w:b w:val="1"/>
                <w:bCs w:val="1"/>
                <w:color w:val="auto"/>
                <w:w w:val="97"/>
                <w:vertAlign w:val="superscript"/>
              </w:rPr>
              <w:t>4</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23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August 1, 2025 to August 31,</w:t>
            </w:r>
          </w:p>
        </w:tc>
        <w:tc>
          <w:tcPr>
            <w:tcW w:w="2080" w:type="dxa"/>
            <w:vAlign w:val="bottom"/>
            <w:vMerge w:val="restart"/>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1"/>
              </w:rPr>
              <w:t>$—</w:t>
            </w:r>
          </w:p>
        </w:tc>
        <w:tc>
          <w:tcPr>
            <w:tcW w:w="230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87"/>
              </w:rPr>
              <w:t>—</w:t>
            </w:r>
          </w:p>
        </w:tc>
        <w:tc>
          <w:tcPr>
            <w:tcW w:w="2120" w:type="dxa"/>
            <w:vAlign w:val="bottom"/>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360,946</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80" w:type="dxa"/>
            <w:vAlign w:val="bottom"/>
            <w:vMerge w:val="continue"/>
            <w:shd w:val="clear" w:color="auto" w:fill="CCEEFF"/>
          </w:tcPr>
          <w:p>
            <w:pPr>
              <w:spacing w:after="0"/>
              <w:rPr>
                <w:sz w:val="17"/>
                <w:szCs w:val="17"/>
                <w:color w:val="auto"/>
              </w:rPr>
            </w:pPr>
          </w:p>
        </w:tc>
        <w:tc>
          <w:tcPr>
            <w:tcW w:w="2020" w:type="dxa"/>
            <w:vAlign w:val="bottom"/>
            <w:vMerge w:val="continue"/>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2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September 1, 2025 to</w:t>
            </w:r>
          </w:p>
        </w:tc>
        <w:tc>
          <w:tcPr>
            <w:tcW w:w="20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vMerge w:val="restart"/>
          </w:tcPr>
          <w:p>
            <w:pPr>
              <w:jc w:val="center"/>
              <w:ind w:left="2"/>
              <w:spacing w:after="0"/>
              <w:rPr>
                <w:sz w:val="20"/>
                <w:szCs w:val="20"/>
                <w:color w:val="auto"/>
              </w:rPr>
            </w:pPr>
            <w:r>
              <w:rPr>
                <w:rFonts w:ascii="Times New Roman" w:cs="Times New Roman" w:eastAsia="Times New Roman" w:hAnsi="Times New Roman"/>
                <w:sz w:val="16"/>
                <w:szCs w:val="16"/>
                <w:color w:val="auto"/>
                <w:w w:val="91"/>
              </w:rPr>
              <w:t>$—</w:t>
            </w:r>
          </w:p>
        </w:tc>
        <w:tc>
          <w:tcPr>
            <w:tcW w:w="2300" w:type="dxa"/>
            <w:vAlign w:val="bottom"/>
            <w:vMerge w:val="restart"/>
          </w:tcPr>
          <w:p>
            <w:pPr>
              <w:jc w:val="center"/>
              <w:ind w:left="2"/>
              <w:spacing w:after="0"/>
              <w:rPr>
                <w:sz w:val="20"/>
                <w:szCs w:val="20"/>
                <w:color w:val="auto"/>
              </w:rPr>
            </w:pPr>
            <w:r>
              <w:rPr>
                <w:rFonts w:ascii="Times New Roman" w:cs="Times New Roman" w:eastAsia="Times New Roman" w:hAnsi="Times New Roman"/>
                <w:sz w:val="16"/>
                <w:szCs w:val="16"/>
                <w:color w:val="auto"/>
                <w:w w:val="87"/>
              </w:rPr>
              <w:t>—</w:t>
            </w:r>
          </w:p>
        </w:tc>
        <w:tc>
          <w:tcPr>
            <w:tcW w:w="2120" w:type="dxa"/>
            <w:vAlign w:val="bottom"/>
            <w:vMerge w:val="restart"/>
          </w:tcPr>
          <w:p>
            <w:pPr>
              <w:jc w:val="center"/>
              <w:ind w:left="22"/>
              <w:spacing w:after="0"/>
              <w:rPr>
                <w:sz w:val="20"/>
                <w:szCs w:val="20"/>
                <w:color w:val="auto"/>
              </w:rPr>
            </w:pPr>
            <w:r>
              <w:rPr>
                <w:rFonts w:ascii="Times New Roman" w:cs="Times New Roman" w:eastAsia="Times New Roman" w:hAnsi="Times New Roman"/>
                <w:sz w:val="16"/>
                <w:szCs w:val="16"/>
                <w:color w:val="auto"/>
                <w:w w:val="96"/>
              </w:rPr>
              <w:t>360,946</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208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October 1, 2025 to October</w:t>
            </w:r>
          </w:p>
        </w:tc>
        <w:tc>
          <w:tcPr>
            <w:tcW w:w="2080" w:type="dxa"/>
            <w:vAlign w:val="bottom"/>
            <w:vMerge w:val="restart"/>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81,323</w:t>
            </w:r>
          </w:p>
        </w:tc>
        <w:tc>
          <w:tcPr>
            <w:tcW w:w="202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5"/>
              </w:rPr>
              <w:t>$59.47</w:t>
            </w:r>
          </w:p>
        </w:tc>
        <w:tc>
          <w:tcPr>
            <w:tcW w:w="230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5"/>
              </w:rPr>
              <w:t>54,677</w:t>
            </w:r>
          </w:p>
        </w:tc>
        <w:tc>
          <w:tcPr>
            <w:tcW w:w="2120" w:type="dxa"/>
            <w:vAlign w:val="bottom"/>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279,623</w:t>
            </w:r>
          </w:p>
        </w:tc>
        <w:tc>
          <w:tcPr>
            <w:tcW w:w="0" w:type="dxa"/>
            <w:vAlign w:val="bottom"/>
          </w:tcPr>
          <w:p>
            <w:pPr>
              <w:spacing w:after="0"/>
              <w:rPr>
                <w:sz w:val="1"/>
                <w:szCs w:val="1"/>
                <w:color w:val="auto"/>
              </w:rPr>
            </w:pPr>
          </w:p>
        </w:tc>
      </w:tr>
      <w:tr>
        <w:trPr>
          <w:trHeight w:val="204"/>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31, 2025</w:t>
            </w:r>
          </w:p>
        </w:tc>
        <w:tc>
          <w:tcPr>
            <w:tcW w:w="2080" w:type="dxa"/>
            <w:vAlign w:val="bottom"/>
            <w:tcBorders>
              <w:bottom w:val="single" w:sz="8" w:color="auto"/>
            </w:tcBorders>
            <w:vMerge w:val="continue"/>
            <w:shd w:val="clear" w:color="auto" w:fill="CCEEFF"/>
          </w:tcPr>
          <w:p>
            <w:pPr>
              <w:spacing w:after="0"/>
              <w:rPr>
                <w:sz w:val="17"/>
                <w:szCs w:val="17"/>
                <w:color w:val="auto"/>
              </w:rPr>
            </w:pPr>
          </w:p>
        </w:tc>
        <w:tc>
          <w:tcPr>
            <w:tcW w:w="2020" w:type="dxa"/>
            <w:vAlign w:val="bottom"/>
            <w:tcBorders>
              <w:bottom w:val="single" w:sz="8" w:color="auto"/>
            </w:tcBorders>
            <w:vMerge w:val="continue"/>
            <w:shd w:val="clear" w:color="auto" w:fill="CCEEFF"/>
          </w:tcPr>
          <w:p>
            <w:pPr>
              <w:spacing w:after="0"/>
              <w:rPr>
                <w:sz w:val="17"/>
                <w:szCs w:val="17"/>
                <w:color w:val="auto"/>
              </w:rPr>
            </w:pPr>
          </w:p>
        </w:tc>
        <w:tc>
          <w:tcPr>
            <w:tcW w:w="2300" w:type="dxa"/>
            <w:vAlign w:val="bottom"/>
            <w:tcBorders>
              <w:bottom w:val="single" w:sz="8" w:color="auto"/>
            </w:tcBorders>
            <w:vMerge w:val="continue"/>
            <w:shd w:val="clear" w:color="auto" w:fill="CCEEFF"/>
          </w:tcPr>
          <w:p>
            <w:pPr>
              <w:spacing w:after="0"/>
              <w:rPr>
                <w:sz w:val="17"/>
                <w:szCs w:val="17"/>
                <w:color w:val="auto"/>
              </w:rPr>
            </w:pPr>
          </w:p>
        </w:tc>
        <w:tc>
          <w:tcPr>
            <w:tcW w:w="2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6"/>
                <w:szCs w:val="16"/>
                <w:b w:val="1"/>
                <w:bCs w:val="1"/>
                <w:color w:val="auto"/>
                <w:w w:val="96"/>
              </w:rPr>
              <w:t>Class B Stock</w:t>
            </w:r>
          </w:p>
        </w:tc>
        <w:tc>
          <w:tcPr>
            <w:tcW w:w="23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August 1, 2025 to August 31,</w:t>
            </w:r>
          </w:p>
        </w:tc>
        <w:tc>
          <w:tcPr>
            <w:tcW w:w="2080" w:type="dxa"/>
            <w:vAlign w:val="bottom"/>
            <w:vMerge w:val="restart"/>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1"/>
              </w:rPr>
              <w:t>$—</w:t>
            </w:r>
          </w:p>
        </w:tc>
        <w:tc>
          <w:tcPr>
            <w:tcW w:w="230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87"/>
              </w:rPr>
              <w:t>—</w:t>
            </w:r>
          </w:p>
        </w:tc>
        <w:tc>
          <w:tcPr>
            <w:tcW w:w="2120" w:type="dxa"/>
            <w:vAlign w:val="bottom"/>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244,113</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80" w:type="dxa"/>
            <w:vAlign w:val="bottom"/>
            <w:vMerge w:val="continue"/>
            <w:shd w:val="clear" w:color="auto" w:fill="CCEEFF"/>
          </w:tcPr>
          <w:p>
            <w:pPr>
              <w:spacing w:after="0"/>
              <w:rPr>
                <w:sz w:val="17"/>
                <w:szCs w:val="17"/>
                <w:color w:val="auto"/>
              </w:rPr>
            </w:pPr>
          </w:p>
        </w:tc>
        <w:tc>
          <w:tcPr>
            <w:tcW w:w="2020" w:type="dxa"/>
            <w:vAlign w:val="bottom"/>
            <w:vMerge w:val="continue"/>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2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September 1, 2025 to</w:t>
            </w:r>
          </w:p>
        </w:tc>
        <w:tc>
          <w:tcPr>
            <w:tcW w:w="20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vMerge w:val="restart"/>
          </w:tcPr>
          <w:p>
            <w:pPr>
              <w:jc w:val="center"/>
              <w:ind w:left="2"/>
              <w:spacing w:after="0"/>
              <w:rPr>
                <w:sz w:val="20"/>
                <w:szCs w:val="20"/>
                <w:color w:val="auto"/>
              </w:rPr>
            </w:pPr>
            <w:r>
              <w:rPr>
                <w:rFonts w:ascii="Times New Roman" w:cs="Times New Roman" w:eastAsia="Times New Roman" w:hAnsi="Times New Roman"/>
                <w:sz w:val="16"/>
                <w:szCs w:val="16"/>
                <w:color w:val="auto"/>
                <w:w w:val="91"/>
              </w:rPr>
              <w:t>$—</w:t>
            </w:r>
          </w:p>
        </w:tc>
        <w:tc>
          <w:tcPr>
            <w:tcW w:w="2300" w:type="dxa"/>
            <w:vAlign w:val="bottom"/>
            <w:vMerge w:val="restart"/>
          </w:tcPr>
          <w:p>
            <w:pPr>
              <w:jc w:val="center"/>
              <w:ind w:left="2"/>
              <w:spacing w:after="0"/>
              <w:rPr>
                <w:sz w:val="20"/>
                <w:szCs w:val="20"/>
                <w:color w:val="auto"/>
              </w:rPr>
            </w:pPr>
            <w:r>
              <w:rPr>
                <w:rFonts w:ascii="Times New Roman" w:cs="Times New Roman" w:eastAsia="Times New Roman" w:hAnsi="Times New Roman"/>
                <w:sz w:val="16"/>
                <w:szCs w:val="16"/>
                <w:color w:val="auto"/>
                <w:w w:val="87"/>
              </w:rPr>
              <w:t>—</w:t>
            </w:r>
          </w:p>
        </w:tc>
        <w:tc>
          <w:tcPr>
            <w:tcW w:w="2120" w:type="dxa"/>
            <w:vAlign w:val="bottom"/>
            <w:vMerge w:val="restart"/>
          </w:tcPr>
          <w:p>
            <w:pPr>
              <w:jc w:val="center"/>
              <w:ind w:left="22"/>
              <w:spacing w:after="0"/>
              <w:rPr>
                <w:sz w:val="20"/>
                <w:szCs w:val="20"/>
                <w:color w:val="auto"/>
              </w:rPr>
            </w:pPr>
            <w:r>
              <w:rPr>
                <w:rFonts w:ascii="Times New Roman" w:cs="Times New Roman" w:eastAsia="Times New Roman" w:hAnsi="Times New Roman"/>
                <w:sz w:val="16"/>
                <w:szCs w:val="16"/>
                <w:color w:val="auto"/>
                <w:w w:val="96"/>
              </w:rPr>
              <w:t>244,113</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208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October 1, 2025 to October</w:t>
            </w:r>
          </w:p>
        </w:tc>
        <w:tc>
          <w:tcPr>
            <w:tcW w:w="2080" w:type="dxa"/>
            <w:vAlign w:val="bottom"/>
            <w:vMerge w:val="restart"/>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35,916</w:t>
            </w:r>
          </w:p>
        </w:tc>
        <w:tc>
          <w:tcPr>
            <w:tcW w:w="202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5"/>
              </w:rPr>
              <w:t>$59.07</w:t>
            </w:r>
          </w:p>
        </w:tc>
        <w:tc>
          <w:tcPr>
            <w:tcW w:w="2300" w:type="dxa"/>
            <w:vAlign w:val="bottom"/>
            <w:vMerge w:val="restart"/>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87"/>
              </w:rPr>
              <w:t>—</w:t>
            </w:r>
          </w:p>
        </w:tc>
        <w:tc>
          <w:tcPr>
            <w:tcW w:w="2120" w:type="dxa"/>
            <w:vAlign w:val="bottom"/>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208,197</w:t>
            </w:r>
          </w:p>
        </w:tc>
        <w:tc>
          <w:tcPr>
            <w:tcW w:w="0" w:type="dxa"/>
            <w:vAlign w:val="bottom"/>
          </w:tcPr>
          <w:p>
            <w:pPr>
              <w:spacing w:after="0"/>
              <w:rPr>
                <w:sz w:val="1"/>
                <w:szCs w:val="1"/>
                <w:color w:val="auto"/>
              </w:rPr>
            </w:pPr>
          </w:p>
        </w:tc>
      </w:tr>
      <w:tr>
        <w:trPr>
          <w:trHeight w:val="204"/>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31, 2025</w:t>
            </w:r>
          </w:p>
        </w:tc>
        <w:tc>
          <w:tcPr>
            <w:tcW w:w="2080" w:type="dxa"/>
            <w:vAlign w:val="bottom"/>
            <w:tcBorders>
              <w:bottom w:val="single" w:sz="8" w:color="auto"/>
            </w:tcBorders>
            <w:vMerge w:val="continue"/>
            <w:shd w:val="clear" w:color="auto" w:fill="CCEEFF"/>
          </w:tcPr>
          <w:p>
            <w:pPr>
              <w:spacing w:after="0"/>
              <w:rPr>
                <w:sz w:val="17"/>
                <w:szCs w:val="17"/>
                <w:color w:val="auto"/>
              </w:rPr>
            </w:pPr>
          </w:p>
        </w:tc>
        <w:tc>
          <w:tcPr>
            <w:tcW w:w="2020" w:type="dxa"/>
            <w:vAlign w:val="bottom"/>
            <w:tcBorders>
              <w:bottom w:val="single" w:sz="8" w:color="auto"/>
            </w:tcBorders>
            <w:vMerge w:val="continue"/>
            <w:shd w:val="clear" w:color="auto" w:fill="CCEEFF"/>
          </w:tcPr>
          <w:p>
            <w:pPr>
              <w:spacing w:after="0"/>
              <w:rPr>
                <w:sz w:val="17"/>
                <w:szCs w:val="17"/>
                <w:color w:val="auto"/>
              </w:rPr>
            </w:pPr>
          </w:p>
        </w:tc>
        <w:tc>
          <w:tcPr>
            <w:tcW w:w="2300" w:type="dxa"/>
            <w:vAlign w:val="bottom"/>
            <w:tcBorders>
              <w:bottom w:val="single" w:sz="8" w:color="auto"/>
            </w:tcBorders>
            <w:vMerge w:val="continue"/>
            <w:shd w:val="clear" w:color="auto" w:fill="CCEEFF"/>
          </w:tcPr>
          <w:p>
            <w:pPr>
              <w:spacing w:after="0"/>
              <w:rPr>
                <w:sz w:val="17"/>
                <w:szCs w:val="17"/>
                <w:color w:val="auto"/>
              </w:rPr>
            </w:pPr>
          </w:p>
        </w:tc>
        <w:tc>
          <w:tcPr>
            <w:tcW w:w="2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40" w:firstLine="6"/>
        <w:spacing w:after="0" w:line="217" w:lineRule="auto"/>
        <w:tabs>
          <w:tab w:leader="none" w:pos="96"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table summarizes repurchases of (and remaining authority to repurchase) shares of our Common Stock and Class B Stock. No shares of our Class A Common Stock are currently outstanding. Descriptions of our Common Stock, Class B Stock and Class A Common Stock are contained in Exhibit 4.1 of our Annual Report on Form 10-K for the fiscal year ended July 31, 2025.</w:t>
      </w:r>
    </w:p>
    <w:p>
      <w:pPr>
        <w:spacing w:after="0" w:line="207" w:lineRule="exact"/>
        <w:rPr>
          <w:sz w:val="20"/>
          <w:szCs w:val="20"/>
          <w:color w:val="auto"/>
        </w:rPr>
      </w:pPr>
    </w:p>
    <w:p>
      <w:pPr>
        <w:ind w:firstLine="6"/>
        <w:spacing w:after="0" w:line="210" w:lineRule="auto"/>
        <w:tabs>
          <w:tab w:leader="none" w:pos="84"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figures in the table reflect transactions according to the settlement dates. For the purposes of our unaudited Condensed Consolidated Financial Statements included in this report, the impact of repurchases are recorded according to the settlement dates.</w:t>
      </w:r>
    </w:p>
    <w:p>
      <w:pPr>
        <w:spacing w:after="0" w:line="206" w:lineRule="exact"/>
        <w:rPr>
          <w:sz w:val="20"/>
          <w:szCs w:val="20"/>
          <w:color w:val="auto"/>
        </w:rPr>
      </w:pPr>
    </w:p>
    <w:p>
      <w:pPr>
        <w:ind w:right="20" w:firstLine="6"/>
        <w:spacing w:after="0" w:line="210" w:lineRule="auto"/>
        <w:tabs>
          <w:tab w:leader="none" w:pos="84"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26,646 shares of Common Stock and 35,916 shares of Class B Stock which were surrendered by employees during the period of October 1, 2025 to October 31, 2025 to pay taxes related to restricted stock awards.</w:t>
      </w:r>
    </w:p>
    <w:p>
      <w:pPr>
        <w:spacing w:after="0" w:line="206" w:lineRule="exact"/>
        <w:rPr>
          <w:sz w:val="20"/>
          <w:szCs w:val="20"/>
          <w:color w:val="auto"/>
        </w:rPr>
      </w:pPr>
    </w:p>
    <w:p>
      <w:pPr>
        <w:jc w:val="both"/>
        <w:ind w:right="20" w:firstLine="6"/>
        <w:spacing w:after="0" w:line="221" w:lineRule="auto"/>
        <w:tabs>
          <w:tab w:leader="none" w:pos="84"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Board authorized the repurchase of 750,000 shares of Common Stock on March 11, 2019. This authorization, which was announced on March 11, 2019,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number and manner of share repurchases will be determined by management.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2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are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5"/>
        </w:trPr>
        <w:tc>
          <w:tcPr>
            <w:tcW w:w="73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160" w:type="dxa"/>
            <w:vAlign w:val="bottom"/>
          </w:tcPr>
          <w:p>
            <w:pPr>
              <w:jc w:val="right"/>
              <w:ind w:right="262"/>
              <w:spacing w:after="0" w:line="170" w:lineRule="exact"/>
              <w:rPr>
                <w:sz w:val="20"/>
                <w:szCs w:val="20"/>
                <w:color w:val="auto"/>
              </w:rPr>
            </w:pPr>
            <w:r>
              <w:rPr>
                <w:rFonts w:ascii="Times New Roman" w:cs="Times New Roman" w:eastAsia="Times New Roman" w:hAnsi="Times New Roman"/>
                <w:sz w:val="16"/>
                <w:szCs w:val="16"/>
                <w:color w:val="auto"/>
              </w:rPr>
              <w:t>Exhibit</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Description</w:t>
            </w:r>
          </w:p>
        </w:tc>
        <w:tc>
          <w:tcPr>
            <w:tcW w:w="100" w:type="dxa"/>
            <w:vAlign w:val="bottom"/>
          </w:tcPr>
          <w:p>
            <w:pPr>
              <w:spacing w:after="0"/>
              <w:rPr>
                <w:sz w:val="14"/>
                <w:szCs w:val="14"/>
                <w:color w:val="auto"/>
              </w:rPr>
            </w:pPr>
          </w:p>
        </w:tc>
        <w:tc>
          <w:tcPr>
            <w:tcW w:w="310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SEC Document Reference</w:t>
            </w:r>
          </w:p>
        </w:tc>
        <w:tc>
          <w:tcPr>
            <w:tcW w:w="0" w:type="dxa"/>
            <w:vAlign w:val="bottom"/>
          </w:tcPr>
          <w:p>
            <w:pPr>
              <w:spacing w:after="0"/>
              <w:rPr>
                <w:sz w:val="1"/>
                <w:szCs w:val="1"/>
                <w:color w:val="auto"/>
              </w:rPr>
            </w:pPr>
          </w:p>
        </w:tc>
      </w:tr>
      <w:tr>
        <w:trPr>
          <w:trHeight w:val="204"/>
        </w:trPr>
        <w:tc>
          <w:tcPr>
            <w:tcW w:w="11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rPr>
              <w:t>No.</w:t>
            </w:r>
          </w:p>
        </w:tc>
        <w:tc>
          <w:tcPr>
            <w:tcW w:w="1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6080" w:type="dxa"/>
            <w:vAlign w:val="bottom"/>
            <w:gridSpan w:val="5"/>
          </w:tcPr>
          <w:p>
            <w:pPr>
              <w:spacing w:after="0"/>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Certifications pursuant to Rule 13a–14(a) or Rule 15d-14(a) under the Securities Exchange Act</w:t>
              </w:r>
            </w:hyperlink>
          </w:p>
        </w:tc>
        <w:tc>
          <w:tcPr>
            <w:tcW w:w="10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0000FF"/>
              <w:bottom w:val="single" w:sz="8" w:color="0000FF"/>
            </w:tcBorders>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of 1934, as amended.</w:t>
              </w:r>
            </w:hyperlink>
          </w:p>
        </w:tc>
        <w:tc>
          <w:tcPr>
            <w:tcW w:w="472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6080" w:type="dxa"/>
            <w:vAlign w:val="bottom"/>
            <w:gridSpan w:val="5"/>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Certifications pursuant to 18 U.S.C. Section 1350 as adopted pursuant to Section 906 of the</w:t>
              </w:r>
            </w:hyperlink>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Furnished herewith.</w:t>
            </w: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Sarbanes-Oxley Act of 2002.</w:t>
              </w:r>
            </w:hyperlink>
          </w:p>
        </w:tc>
        <w:tc>
          <w:tcPr>
            <w:tcW w:w="4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6080" w:type="dxa"/>
            <w:vAlign w:val="bottom"/>
            <w:gridSpan w:val="5"/>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Mine Safety Disclosures</w:t>
              </w:r>
            </w:hyperlink>
            <w:r>
              <w:rPr>
                <w:rFonts w:ascii="Times New Roman" w:cs="Times New Roman" w:eastAsia="Times New Roman" w:hAnsi="Times New Roman"/>
                <w:sz w:val="16"/>
                <w:szCs w:val="16"/>
                <w:color w:val="000000"/>
              </w:rPr>
              <w:t>.</w:t>
            </w: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23"/>
                <w:szCs w:val="23"/>
                <w:color w:val="auto"/>
              </w:rPr>
            </w:pPr>
          </w:p>
        </w:tc>
        <w:tc>
          <w:tcPr>
            <w:tcW w:w="6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100" w:type="dxa"/>
            <w:vAlign w:val="bottom"/>
          </w:tcPr>
          <w:p>
            <w:pPr>
              <w:spacing w:after="0"/>
              <w:rPr>
                <w:sz w:val="23"/>
                <w:szCs w:val="23"/>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52"/>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101.CAL</w:t>
            </w:r>
          </w:p>
        </w:tc>
        <w:tc>
          <w:tcPr>
            <w:tcW w:w="100" w:type="dxa"/>
            <w:vAlign w:val="bottom"/>
          </w:tcPr>
          <w:p>
            <w:pPr>
              <w:spacing w:after="0"/>
              <w:rPr>
                <w:sz w:val="21"/>
                <w:szCs w:val="21"/>
                <w:color w:val="auto"/>
              </w:rPr>
            </w:pPr>
          </w:p>
        </w:tc>
        <w:tc>
          <w:tcPr>
            <w:tcW w:w="6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10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52"/>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101.DEF</w:t>
            </w:r>
          </w:p>
        </w:tc>
        <w:tc>
          <w:tcPr>
            <w:tcW w:w="100" w:type="dxa"/>
            <w:vAlign w:val="bottom"/>
          </w:tcPr>
          <w:p>
            <w:pPr>
              <w:spacing w:after="0"/>
              <w:rPr>
                <w:sz w:val="21"/>
                <w:szCs w:val="21"/>
                <w:color w:val="auto"/>
              </w:rPr>
            </w:pPr>
          </w:p>
        </w:tc>
        <w:tc>
          <w:tcPr>
            <w:tcW w:w="6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10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52"/>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101.LAB</w:t>
            </w:r>
          </w:p>
        </w:tc>
        <w:tc>
          <w:tcPr>
            <w:tcW w:w="100" w:type="dxa"/>
            <w:vAlign w:val="bottom"/>
          </w:tcPr>
          <w:p>
            <w:pPr>
              <w:spacing w:after="0"/>
              <w:rPr>
                <w:sz w:val="21"/>
                <w:szCs w:val="21"/>
                <w:color w:val="auto"/>
              </w:rPr>
            </w:pPr>
          </w:p>
        </w:tc>
        <w:tc>
          <w:tcPr>
            <w:tcW w:w="6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c>
          <w:tcPr>
            <w:tcW w:w="10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52"/>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101.PRE</w:t>
            </w:r>
          </w:p>
        </w:tc>
        <w:tc>
          <w:tcPr>
            <w:tcW w:w="100" w:type="dxa"/>
            <w:vAlign w:val="bottom"/>
          </w:tcPr>
          <w:p>
            <w:pPr>
              <w:spacing w:after="0"/>
              <w:rPr>
                <w:sz w:val="21"/>
                <w:szCs w:val="21"/>
                <w:color w:val="auto"/>
              </w:rPr>
            </w:pPr>
          </w:p>
        </w:tc>
        <w:tc>
          <w:tcPr>
            <w:tcW w:w="6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10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52"/>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1"/>
                <w:szCs w:val="21"/>
                <w:color w:val="auto"/>
              </w:rPr>
            </w:pPr>
          </w:p>
        </w:tc>
        <w:tc>
          <w:tcPr>
            <w:tcW w:w="6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10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9" w:right="68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auto"/>
        </w:rPr>
        <w:t>SIGNATURES</w:t>
      </w:r>
    </w:p>
    <w:p>
      <w:pPr>
        <w:spacing w:after="0" w:line="224"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OIL-DRI CORPORATION OF AMERICA</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(Registrant)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-8890</wp:posOffset>
            </wp:positionV>
            <wp:extent cx="138747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7475" cy="762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6"/>
          <w:szCs w:val="16"/>
          <w:color w:val="auto"/>
        </w:rPr>
        <w:t>Daniel S. Jaffee</w:t>
      </w:r>
    </w:p>
    <w:p>
      <w:pPr>
        <w:ind w:left="58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-8890</wp:posOffset>
            </wp:positionV>
            <wp:extent cx="132651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6"/>
          <w:szCs w:val="16"/>
          <w:color w:val="auto"/>
        </w:rPr>
        <w:t>Susan M. Kreh</w:t>
      </w:r>
    </w:p>
    <w:p>
      <w:pPr>
        <w:ind w:left="5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December 8, 2025</w:t>
      </w:r>
    </w:p>
    <w:p>
      <w:pPr>
        <w:spacing w:after="0" w:line="200" w:lineRule="exact"/>
        <w:rPr>
          <w:sz w:val="20"/>
          <w:szCs w:val="20"/>
          <w:color w:val="auto"/>
        </w:rPr>
      </w:pPr>
    </w:p>
    <w:p>
      <w:pPr>
        <w:spacing w:after="0" w:line="30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10060"/>
          </w:cols>
          <w:pgMar w:left="660" w:top="1241" w:right="118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CERTIFICATIONS PURSUANT TO RULE 13A-14(A)/15D-14(A) UNDER THE SECURITIES EXCHANGE ACT OF 1934, AS AMENDED</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00" w:lineRule="exact"/>
        <w:rPr>
          <w:sz w:val="20"/>
          <w:szCs w:val="20"/>
          <w:color w:val="auto"/>
        </w:rPr>
      </w:pPr>
    </w:p>
    <w:p>
      <w:pPr>
        <w:spacing w:after="0" w:line="294" w:lineRule="exact"/>
        <w:rPr>
          <w:sz w:val="20"/>
          <w:szCs w:val="20"/>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Daniel S. Jaffee, certify that:</w:t>
      </w:r>
    </w:p>
    <w:p>
      <w:pPr>
        <w:spacing w:after="0" w:line="140" w:lineRule="exact"/>
        <w:rPr>
          <w:rFonts w:ascii="Times New Roman" w:cs="Times New Roman" w:eastAsia="Times New Roman" w:hAnsi="Times New Roman"/>
          <w:sz w:val="16"/>
          <w:szCs w:val="16"/>
          <w:color w:val="auto"/>
        </w:rPr>
      </w:pPr>
    </w:p>
    <w:p>
      <w:pPr>
        <w:ind w:left="1140" w:hanging="270"/>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Oil-Dri Corporation of America (the “registrant”);</w:t>
      </w:r>
    </w:p>
    <w:p>
      <w:pPr>
        <w:spacing w:after="0" w:line="140" w:lineRule="exact"/>
        <w:rPr>
          <w:rFonts w:ascii="Times New Roman" w:cs="Times New Roman" w:eastAsia="Times New Roman" w:hAnsi="Times New Roman"/>
          <w:sz w:val="16"/>
          <w:szCs w:val="16"/>
          <w:color w:val="auto"/>
        </w:rPr>
      </w:pPr>
    </w:p>
    <w:p>
      <w:pPr>
        <w:jc w:val="both"/>
        <w:ind w:left="1160" w:right="20" w:hanging="290"/>
        <w:spacing w:after="0" w:line="247" w:lineRule="auto"/>
        <w:tabs>
          <w:tab w:leader="none" w:pos="116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6"/>
          <w:szCs w:val="16"/>
          <w:color w:val="auto"/>
        </w:rPr>
      </w:pPr>
    </w:p>
    <w:p>
      <w:pPr>
        <w:ind w:left="1160" w:right="20" w:hanging="290"/>
        <w:spacing w:after="0" w:line="259" w:lineRule="auto"/>
        <w:tabs>
          <w:tab w:leader="none" w:pos="1148"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6"/>
          <w:szCs w:val="16"/>
          <w:color w:val="auto"/>
        </w:rPr>
      </w:pPr>
    </w:p>
    <w:p>
      <w:pPr>
        <w:jc w:val="both"/>
        <w:ind w:left="1160" w:hanging="290"/>
        <w:spacing w:after="0" w:line="247" w:lineRule="auto"/>
        <w:tabs>
          <w:tab w:leader="none" w:pos="116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Times New Roman" w:cs="Times New Roman" w:eastAsia="Times New Roman" w:hAnsi="Times New Roman"/>
          <w:sz w:val="16"/>
          <w:szCs w:val="16"/>
          <w:color w:val="auto"/>
        </w:rPr>
      </w:pPr>
    </w:p>
    <w:p>
      <w:pPr>
        <w:jc w:val="both"/>
        <w:ind w:left="1740" w:right="40" w:hanging="378"/>
        <w:spacing w:after="0" w:line="247" w:lineRule="auto"/>
        <w:tabs>
          <w:tab w:leader="none" w:pos="174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740" w:right="20" w:hanging="414"/>
        <w:spacing w:after="0" w:line="247" w:lineRule="auto"/>
        <w:tabs>
          <w:tab w:leader="none" w:pos="174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740" w:right="40" w:hanging="462"/>
        <w:spacing w:after="0" w:line="259" w:lineRule="auto"/>
        <w:tabs>
          <w:tab w:leader="none" w:pos="174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6"/>
          <w:szCs w:val="16"/>
          <w:color w:val="auto"/>
        </w:rPr>
      </w:pPr>
    </w:p>
    <w:p>
      <w:pPr>
        <w:jc w:val="both"/>
        <w:ind w:left="1740" w:right="40" w:hanging="450"/>
        <w:spacing w:after="0" w:line="247" w:lineRule="auto"/>
        <w:tabs>
          <w:tab w:leader="none" w:pos="174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6"/>
          <w:szCs w:val="16"/>
          <w:color w:val="auto"/>
        </w:rPr>
      </w:pPr>
    </w:p>
    <w:p>
      <w:pPr>
        <w:ind w:left="1160" w:right="40" w:hanging="290"/>
        <w:spacing w:after="0" w:line="259" w:lineRule="auto"/>
        <w:tabs>
          <w:tab w:leader="none" w:pos="1148"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6"/>
          <w:szCs w:val="16"/>
          <w:color w:val="auto"/>
        </w:rPr>
      </w:pPr>
    </w:p>
    <w:p>
      <w:pPr>
        <w:ind w:left="1740" w:right="40" w:hanging="378"/>
        <w:spacing w:after="0" w:line="259" w:lineRule="auto"/>
        <w:tabs>
          <w:tab w:leader="none" w:pos="174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6"/>
          <w:szCs w:val="16"/>
          <w:color w:val="auto"/>
        </w:rPr>
      </w:pPr>
    </w:p>
    <w:p>
      <w:pPr>
        <w:ind w:left="1740" w:right="40" w:hanging="414"/>
        <w:spacing w:after="0" w:line="258" w:lineRule="auto"/>
        <w:tabs>
          <w:tab w:leader="none" w:pos="174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December 8, 2025</w:t>
            </w:r>
          </w:p>
        </w:tc>
      </w:tr>
      <w:tr>
        <w:trPr>
          <w:trHeight w:val="19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S. Jaffee</w:t>
            </w:r>
          </w:p>
        </w:tc>
      </w:tr>
      <w:tr>
        <w:trPr>
          <w:trHeight w:val="149"/>
        </w:trPr>
        <w:tc>
          <w:tcPr>
            <w:tcW w:w="900" w:type="dxa"/>
            <w:vAlign w:val="bottom"/>
          </w:tcPr>
          <w:p>
            <w:pPr>
              <w:spacing w:after="0"/>
              <w:rPr>
                <w:sz w:val="12"/>
                <w:szCs w:val="12"/>
                <w:color w:val="auto"/>
              </w:rPr>
            </w:pPr>
          </w:p>
        </w:tc>
        <w:tc>
          <w:tcPr>
            <w:tcW w:w="38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Daniel S. Jaffee</w:t>
            </w:r>
          </w:p>
        </w:tc>
      </w:tr>
      <w:tr>
        <w:trPr>
          <w:trHeight w:val="203"/>
        </w:trPr>
        <w:tc>
          <w:tcPr>
            <w:tcW w:w="90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tc>
      </w:tr>
    </w:tbl>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600"/>
          </w:cols>
          <w:pgMar w:left="660" w:top="1239" w:right="6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Exhibit 31 (continued):</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a Principal Financial Officer</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00" w:lineRule="exact"/>
        <w:rPr>
          <w:sz w:val="20"/>
          <w:szCs w:val="20"/>
          <w:color w:val="auto"/>
        </w:rPr>
      </w:pPr>
    </w:p>
    <w:p>
      <w:pPr>
        <w:spacing w:after="0" w:line="294" w:lineRule="exact"/>
        <w:rPr>
          <w:sz w:val="20"/>
          <w:szCs w:val="20"/>
          <w:color w:val="auto"/>
        </w:rPr>
      </w:pPr>
    </w:p>
    <w:p>
      <w:pPr>
        <w:ind w:left="580" w:hanging="286"/>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Susan M. Kreh, certify that:</w:t>
      </w:r>
    </w:p>
    <w:p>
      <w:pPr>
        <w:spacing w:after="0" w:line="140"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Oil-Dri Corporation of America (the “registrant”);</w:t>
      </w:r>
    </w:p>
    <w:p>
      <w:pPr>
        <w:spacing w:after="0" w:line="140" w:lineRule="exact"/>
        <w:rPr>
          <w:rFonts w:ascii="Times New Roman" w:cs="Times New Roman" w:eastAsia="Times New Roman" w:hAnsi="Times New Roman"/>
          <w:sz w:val="16"/>
          <w:szCs w:val="16"/>
          <w:color w:val="auto"/>
        </w:rPr>
      </w:pPr>
    </w:p>
    <w:p>
      <w:pPr>
        <w:jc w:val="both"/>
        <w:ind w:left="1160" w:right="20" w:hanging="290"/>
        <w:spacing w:after="0" w:line="247" w:lineRule="auto"/>
        <w:tabs>
          <w:tab w:leader="none" w:pos="116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6"/>
          <w:szCs w:val="16"/>
          <w:color w:val="auto"/>
        </w:rPr>
      </w:pPr>
    </w:p>
    <w:p>
      <w:pPr>
        <w:ind w:left="1160" w:right="20" w:hanging="290"/>
        <w:spacing w:after="0" w:line="259" w:lineRule="auto"/>
        <w:tabs>
          <w:tab w:leader="none" w:pos="116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6"/>
          <w:szCs w:val="16"/>
          <w:color w:val="auto"/>
        </w:rPr>
      </w:pPr>
    </w:p>
    <w:p>
      <w:pPr>
        <w:jc w:val="both"/>
        <w:ind w:left="1160" w:hanging="290"/>
        <w:spacing w:after="0" w:line="247" w:lineRule="auto"/>
        <w:tabs>
          <w:tab w:leader="none" w:pos="116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Times New Roman" w:cs="Times New Roman" w:eastAsia="Times New Roman" w:hAnsi="Times New Roman"/>
          <w:sz w:val="16"/>
          <w:szCs w:val="16"/>
          <w:color w:val="auto"/>
        </w:rPr>
      </w:pPr>
    </w:p>
    <w:p>
      <w:pPr>
        <w:jc w:val="both"/>
        <w:ind w:left="1740" w:right="20" w:hanging="294"/>
        <w:spacing w:after="0" w:line="247" w:lineRule="auto"/>
        <w:tabs>
          <w:tab w:leader="none" w:pos="1728"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740" w:right="20" w:hanging="294"/>
        <w:spacing w:after="0" w:line="247" w:lineRule="auto"/>
        <w:tabs>
          <w:tab w:leader="none" w:pos="174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740" w:right="40" w:hanging="294"/>
        <w:spacing w:after="0" w:line="259" w:lineRule="auto"/>
        <w:tabs>
          <w:tab w:leader="none" w:pos="1728"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6"/>
          <w:szCs w:val="16"/>
          <w:color w:val="auto"/>
        </w:rPr>
      </w:pPr>
    </w:p>
    <w:p>
      <w:pPr>
        <w:jc w:val="both"/>
        <w:ind w:left="1740" w:right="40" w:hanging="294"/>
        <w:spacing w:after="0" w:line="247" w:lineRule="auto"/>
        <w:tabs>
          <w:tab w:leader="none" w:pos="174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6"/>
          <w:szCs w:val="16"/>
          <w:color w:val="auto"/>
        </w:rPr>
      </w:pPr>
    </w:p>
    <w:p>
      <w:pPr>
        <w:ind w:left="1160" w:right="40" w:hanging="290"/>
        <w:spacing w:after="0" w:line="259" w:lineRule="auto"/>
        <w:tabs>
          <w:tab w:leader="none" w:pos="116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6"/>
          <w:szCs w:val="16"/>
          <w:color w:val="auto"/>
        </w:rPr>
      </w:pPr>
    </w:p>
    <w:p>
      <w:pPr>
        <w:ind w:left="1740" w:right="40" w:hanging="294"/>
        <w:spacing w:after="0" w:line="259" w:lineRule="auto"/>
        <w:tabs>
          <w:tab w:leader="none" w:pos="1728"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6"/>
          <w:szCs w:val="16"/>
          <w:color w:val="auto"/>
        </w:rPr>
      </w:pPr>
    </w:p>
    <w:p>
      <w:pPr>
        <w:ind w:left="1740" w:right="40" w:hanging="294"/>
        <w:spacing w:after="0" w:line="259" w:lineRule="auto"/>
        <w:tabs>
          <w:tab w:leader="none" w:pos="174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December 8, 2025</w:t>
            </w:r>
          </w:p>
        </w:tc>
      </w:tr>
      <w:tr>
        <w:trPr>
          <w:trHeight w:val="198"/>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Susan M. Kreh</w:t>
            </w:r>
          </w:p>
        </w:tc>
      </w:tr>
      <w:tr>
        <w:trPr>
          <w:trHeight w:val="149"/>
        </w:trPr>
        <w:tc>
          <w:tcPr>
            <w:tcW w:w="940" w:type="dxa"/>
            <w:vAlign w:val="bottom"/>
          </w:tcPr>
          <w:p>
            <w:pPr>
              <w:spacing w:after="0"/>
              <w:rPr>
                <w:sz w:val="12"/>
                <w:szCs w:val="12"/>
                <w:color w:val="auto"/>
              </w:rPr>
            </w:pPr>
          </w:p>
        </w:tc>
        <w:tc>
          <w:tcPr>
            <w:tcW w:w="45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Susan M. Kreh</w:t>
            </w:r>
          </w:p>
        </w:tc>
      </w:tr>
      <w:tr>
        <w:trPr>
          <w:trHeight w:val="203"/>
        </w:trPr>
        <w:tc>
          <w:tcPr>
            <w:tcW w:w="940" w:type="dxa"/>
            <w:vAlign w:val="bottom"/>
          </w:tcPr>
          <w:p>
            <w:pPr>
              <w:spacing w:after="0"/>
              <w:rPr>
                <w:sz w:val="17"/>
                <w:szCs w:val="17"/>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600"/>
          </w:cols>
          <w:pgMar w:left="660" w:top="555" w:right="640" w:bottom="1440" w:gutter="0" w:footer="0" w:header="0"/>
        </w:sectPr>
      </w:pPr>
    </w:p>
    <w:bookmarkStart w:id="34" w:name="page35"/>
    <w:bookmarkEnd w:id="34"/>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CERTIFICATIONS PURSUANT TO 18 U.S.C. SECTION 1350 AS ADOPTED PURSUANT TO</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THE SARBANES-OXLEY ACT OF 2002 CERTIFICATION</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October 31, 2025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December 8, 2025</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3686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8675" cy="762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Daniel S. Jaffee</w:t>
      </w:r>
    </w:p>
    <w:p>
      <w:pPr>
        <w:ind w:left="20"/>
        <w:spacing w:after="0"/>
        <w:rPr>
          <w:sz w:val="20"/>
          <w:szCs w:val="20"/>
          <w:color w:val="auto"/>
        </w:rPr>
      </w:pPr>
      <w:r>
        <w:rPr>
          <w:rFonts w:ascii="Times New Roman" w:cs="Times New Roman" w:eastAsia="Times New Roman" w:hAnsi="Times New Roman"/>
          <w:sz w:val="16"/>
          <w:szCs w:val="16"/>
          <w:color w:val="auto"/>
        </w:rPr>
        <w:t>Title: Chairman, President and Chief Executive Officer</w:t>
      </w:r>
    </w:p>
    <w:p>
      <w:pPr>
        <w:spacing w:after="0" w:line="29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October 31, 2025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December 8, 2025</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36867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8675" cy="762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Susan M. Kreh</w:t>
      </w:r>
    </w:p>
    <w:p>
      <w:pPr>
        <w:ind w:left="2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29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600"/>
          </w:cols>
          <w:pgMar w:left="660" w:top="1440" w:right="6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Exhibit 95</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MINE SAFETY DISCLOSURES</w:t>
      </w:r>
    </w:p>
    <w:p>
      <w:pPr>
        <w:spacing w:after="0" w:line="20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2025. Due to timing and other factors, our data may not agree with the mine data retrieval system maintained by the Mine Safety and Health Administration (“MSHA”) .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1"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6"/>
          <w:szCs w:val="16"/>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91" w:lineRule="exact"/>
        <w:rPr>
          <w:sz w:val="20"/>
          <w:szCs w:val="20"/>
          <w:color w:val="auto"/>
        </w:rPr>
      </w:pPr>
    </w:p>
    <w:p>
      <w:pPr>
        <w:jc w:val="both"/>
        <w:ind w:left="120" w:right="20"/>
        <w:spacing w:after="0" w:line="259" w:lineRule="auto"/>
        <w:rPr>
          <w:sz w:val="20"/>
          <w:szCs w:val="20"/>
          <w:color w:val="auto"/>
        </w:rPr>
      </w:pPr>
      <w:r>
        <w:rPr>
          <w:rFonts w:ascii="Times New Roman" w:cs="Times New Roman" w:eastAsia="Times New Roman" w:hAnsi="Times New Roman"/>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91" w:lineRule="exact"/>
        <w:rPr>
          <w:sz w:val="20"/>
          <w:szCs w:val="20"/>
          <w:color w:val="auto"/>
        </w:rPr>
      </w:pPr>
    </w:p>
    <w:p>
      <w:pPr>
        <w:jc w:val="both"/>
        <w:ind w:left="120"/>
        <w:spacing w:after="0" w:line="247" w:lineRule="auto"/>
        <w:rPr>
          <w:sz w:val="20"/>
          <w:szCs w:val="20"/>
          <w:color w:val="auto"/>
        </w:rPr>
      </w:pPr>
      <w:r>
        <w:rPr>
          <w:rFonts w:ascii="Times New Roman" w:cs="Times New Roman" w:eastAsia="Times New Roman" w:hAnsi="Times New Roman"/>
          <w:sz w:val="16"/>
          <w:szCs w:val="16"/>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0" w:lineRule="exact"/>
        <w:rPr>
          <w:sz w:val="20"/>
          <w:szCs w:val="20"/>
          <w:color w:val="auto"/>
        </w:rPr>
      </w:pPr>
    </w:p>
    <w:p>
      <w:pPr>
        <w:jc w:val="both"/>
        <w:ind w:left="120" w:right="20"/>
        <w:spacing w:after="0" w:line="247" w:lineRule="auto"/>
        <w:rPr>
          <w:sz w:val="20"/>
          <w:szCs w:val="20"/>
          <w:color w:val="auto"/>
        </w:rPr>
      </w:pPr>
      <w:r>
        <w:rPr>
          <w:rFonts w:ascii="Times New Roman" w:cs="Times New Roman" w:eastAsia="Times New Roman" w:hAnsi="Times New Roman"/>
          <w:sz w:val="16"/>
          <w:szCs w:val="16"/>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0" w:lineRule="exact"/>
        <w:rPr>
          <w:sz w:val="20"/>
          <w:szCs w:val="20"/>
          <w:color w:val="auto"/>
        </w:rPr>
      </w:pPr>
    </w:p>
    <w:p>
      <w:pPr>
        <w:jc w:val="both"/>
        <w:ind w:left="120" w:right="20"/>
        <w:spacing w:after="0" w:line="259" w:lineRule="auto"/>
        <w:rPr>
          <w:sz w:val="20"/>
          <w:szCs w:val="20"/>
          <w:color w:val="auto"/>
        </w:rPr>
      </w:pPr>
      <w:r>
        <w:rPr>
          <w:rFonts w:ascii="Times New Roman" w:cs="Times New Roman" w:eastAsia="Times New Roman" w:hAnsi="Times New Roman"/>
          <w:sz w:val="16"/>
          <w:szCs w:val="16"/>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91" w:lineRule="exact"/>
        <w:rPr>
          <w:sz w:val="20"/>
          <w:szCs w:val="20"/>
          <w:color w:val="auto"/>
        </w:rPr>
      </w:pPr>
    </w:p>
    <w:p>
      <w:pPr>
        <w:jc w:val="both"/>
        <w:ind w:left="120" w:right="20"/>
        <w:spacing w:after="0" w:line="259" w:lineRule="auto"/>
        <w:rPr>
          <w:sz w:val="20"/>
          <w:szCs w:val="20"/>
          <w:color w:val="auto"/>
        </w:rPr>
      </w:pPr>
      <w:r>
        <w:rPr>
          <w:rFonts w:ascii="Times New Roman" w:cs="Times New Roman" w:eastAsia="Times New Roman" w:hAnsi="Times New Roman"/>
          <w:sz w:val="16"/>
          <w:szCs w:val="16"/>
          <w:color w:val="auto"/>
        </w:rPr>
        <w:t>Total Dollar Value of Proposed MSHA Assessments: Each issuance of a citation or order by MSHA results in the assessment of a monetary penalty. The total dollar value presented includes any contested penalties.</w:t>
      </w:r>
    </w:p>
    <w:p>
      <w:pPr>
        <w:spacing w:after="0" w:line="191" w:lineRule="exact"/>
        <w:rPr>
          <w:sz w:val="20"/>
          <w:szCs w:val="20"/>
          <w:color w:val="auto"/>
        </w:rPr>
      </w:pPr>
    </w:p>
    <w:p>
      <w:pPr>
        <w:jc w:val="both"/>
        <w:ind w:left="120" w:right="20"/>
        <w:spacing w:after="0" w:line="259" w:lineRule="auto"/>
        <w:rPr>
          <w:sz w:val="20"/>
          <w:szCs w:val="20"/>
          <w:color w:val="auto"/>
        </w:rPr>
      </w:pPr>
      <w:r>
        <w:rPr>
          <w:rFonts w:ascii="Times New Roman" w:cs="Times New Roman" w:eastAsia="Times New Roman" w:hAnsi="Times New Roman"/>
          <w:sz w:val="16"/>
          <w:szCs w:val="16"/>
          <w:color w:val="auto"/>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Legal Actions</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color w:val="auto"/>
              </w:rPr>
              <w:t>Section 104</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Section</w:t>
            </w: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Section 104(d) Section 110(b)(2)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Section 107(a)</w:t>
            </w:r>
          </w:p>
        </w:tc>
        <w:tc>
          <w:tcPr>
            <w:tcW w:w="11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color w:val="auto"/>
                <w:w w:val="99"/>
              </w:rPr>
              <w:t>Total Dollar Value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Mining</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Pending as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“Significant and</w:t>
            </w:r>
          </w:p>
        </w:tc>
        <w:tc>
          <w:tcPr>
            <w:tcW w:w="620" w:type="dxa"/>
            <w:vAlign w:val="bottom"/>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40" w:type="dxa"/>
            <w:vAlign w:val="bottom"/>
          </w:tcPr>
          <w:p>
            <w:pPr>
              <w:jc w:val="center"/>
              <w:ind w:right="14"/>
              <w:spacing w:after="0" w:line="132" w:lineRule="exact"/>
              <w:rPr>
                <w:sz w:val="20"/>
                <w:szCs w:val="20"/>
                <w:color w:val="auto"/>
              </w:rPr>
            </w:pPr>
            <w:r>
              <w:rPr>
                <w:rFonts w:ascii="Times New Roman" w:cs="Times New Roman" w:eastAsia="Times New Roman" w:hAnsi="Times New Roman"/>
                <w:sz w:val="13"/>
                <w:szCs w:val="13"/>
                <w:color w:val="auto"/>
                <w:w w:val="99"/>
              </w:rPr>
              <w:t>of Proposed</w:t>
            </w:r>
          </w:p>
        </w:tc>
        <w:tc>
          <w:tcPr>
            <w:tcW w:w="7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Initiated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Resolved</w:t>
            </w:r>
          </w:p>
        </w:tc>
        <w:tc>
          <w:tcPr>
            <w:tcW w:w="0" w:type="dxa"/>
            <w:vAlign w:val="bottom"/>
          </w:tcPr>
          <w:p>
            <w:pPr>
              <w:spacing w:after="0"/>
              <w:rPr>
                <w:sz w:val="1"/>
                <w:szCs w:val="1"/>
                <w:color w:val="auto"/>
              </w:rPr>
            </w:pPr>
          </w:p>
        </w:tc>
      </w:tr>
      <w:tr>
        <w:trPr>
          <w:trHeight w:val="132"/>
        </w:trPr>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Mine ID</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Mine Location</w:t>
            </w: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Substantial”</w:t>
            </w: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104(b)</w:t>
            </w: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Citations and</w:t>
            </w:r>
          </w:p>
        </w:tc>
        <w:tc>
          <w:tcPr>
            <w:tcW w:w="940" w:type="dxa"/>
            <w:vAlign w:val="bottom"/>
          </w:tcPr>
          <w:p>
            <w:pPr>
              <w:jc w:val="center"/>
              <w:ind w:right="34"/>
              <w:spacing w:after="0" w:line="132" w:lineRule="exact"/>
              <w:rPr>
                <w:sz w:val="20"/>
                <w:szCs w:val="20"/>
                <w:color w:val="auto"/>
              </w:rPr>
            </w:pPr>
            <w:r>
              <w:rPr>
                <w:rFonts w:ascii="Times New Roman" w:cs="Times New Roman" w:eastAsia="Times New Roman" w:hAnsi="Times New Roman"/>
                <w:sz w:val="13"/>
                <w:szCs w:val="13"/>
                <w:color w:val="auto"/>
              </w:rPr>
              <w:t>Flagrant</w:t>
            </w: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8"/>
              </w:rPr>
              <w:t>Imminent</w:t>
            </w:r>
          </w:p>
        </w:tc>
        <w:tc>
          <w:tcPr>
            <w:tcW w:w="1140" w:type="dxa"/>
            <w:vAlign w:val="bottom"/>
          </w:tcPr>
          <w:p>
            <w:pPr>
              <w:jc w:val="center"/>
              <w:ind w:right="14"/>
              <w:spacing w:after="0" w:line="132" w:lineRule="exact"/>
              <w:rPr>
                <w:sz w:val="20"/>
                <w:szCs w:val="20"/>
                <w:color w:val="auto"/>
              </w:rPr>
            </w:pPr>
            <w:r>
              <w:rPr>
                <w:rFonts w:ascii="Times New Roman" w:cs="Times New Roman" w:eastAsia="Times New Roman" w:hAnsi="Times New Roman"/>
                <w:sz w:val="13"/>
                <w:szCs w:val="13"/>
                <w:color w:val="auto"/>
              </w:rPr>
              <w:t>MSHA</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Related</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of Last Day</w:t>
            </w:r>
          </w:p>
        </w:tc>
        <w:tc>
          <w:tcPr>
            <w:tcW w:w="9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Violations</w:t>
            </w: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Orders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Orders</w:t>
            </w:r>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9"/>
              </w:rPr>
              <w:t>Violations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Danger Orders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Assessments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Fatalities</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of Period</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During Period</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During Period</w:t>
            </w:r>
          </w:p>
        </w:tc>
        <w:tc>
          <w:tcPr>
            <w:tcW w:w="0" w:type="dxa"/>
            <w:vAlign w:val="bottom"/>
          </w:tcPr>
          <w:p>
            <w:pPr>
              <w:spacing w:after="0"/>
              <w:rPr>
                <w:sz w:val="1"/>
                <w:szCs w:val="1"/>
                <w:color w:val="auto"/>
              </w:rPr>
            </w:pPr>
          </w:p>
        </w:tc>
      </w:tr>
      <w:tr>
        <w:trPr>
          <w:trHeight w:val="184"/>
        </w:trPr>
        <w:tc>
          <w:tcPr>
            <w:tcW w:w="7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9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color w:val="auto"/>
                <w:w w:val="92"/>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116"/>
        </w:trPr>
        <w:tc>
          <w:tcPr>
            <w:tcW w:w="70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0900114</w:t>
            </w:r>
          </w:p>
        </w:tc>
        <w:tc>
          <w:tcPr>
            <w:tcW w:w="108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3"/>
                <w:szCs w:val="13"/>
                <w:color w:val="auto"/>
              </w:rPr>
              <w:t>Ochlocknee,</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2"/>
        </w:trPr>
        <w:tc>
          <w:tcPr>
            <w:tcW w:w="700" w:type="dxa"/>
            <w:vAlign w:val="bottom"/>
            <w:vMerge w:val="continue"/>
            <w:shd w:val="clear" w:color="auto" w:fill="CCEEFF"/>
          </w:tcPr>
          <w:p>
            <w:pPr>
              <w:spacing w:after="0"/>
              <w:rPr>
                <w:sz w:val="9"/>
                <w:szCs w:val="9"/>
                <w:color w:val="auto"/>
              </w:rPr>
            </w:pPr>
          </w:p>
        </w:tc>
        <w:tc>
          <w:tcPr>
            <w:tcW w:w="10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Georgia</w:t>
            </w:r>
          </w:p>
        </w:tc>
        <w:tc>
          <w:tcPr>
            <w:tcW w:w="1060" w:type="dxa"/>
            <w:vAlign w:val="bottom"/>
            <w:vMerge w:val="continue"/>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70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auto"/>
              </w:rPr>
              <w:t>2200035</w:t>
            </w:r>
          </w:p>
        </w:tc>
        <w:tc>
          <w:tcPr>
            <w:tcW w:w="10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Ripley,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0"/>
        </w:trPr>
        <w:tc>
          <w:tcPr>
            <w:tcW w:w="700" w:type="dxa"/>
            <w:vAlign w:val="bottom"/>
            <w:vMerge w:val="continue"/>
          </w:tcPr>
          <w:p>
            <w:pPr>
              <w:spacing w:after="0"/>
              <w:rPr>
                <w:sz w:val="8"/>
                <w:szCs w:val="8"/>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Mississippi</w:t>
            </w:r>
          </w:p>
        </w:tc>
        <w:tc>
          <w:tcPr>
            <w:tcW w:w="10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1102403</w:t>
            </w:r>
          </w:p>
        </w:tc>
        <w:tc>
          <w:tcPr>
            <w:tcW w:w="1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Mounds, Illinois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70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auto"/>
              </w:rPr>
              <w:t>2200582</w:t>
            </w:r>
          </w:p>
        </w:tc>
        <w:tc>
          <w:tcPr>
            <w:tcW w:w="10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Blue Mountain,</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0"/>
        </w:trPr>
        <w:tc>
          <w:tcPr>
            <w:tcW w:w="700" w:type="dxa"/>
            <w:vAlign w:val="bottom"/>
            <w:vMerge w:val="continue"/>
          </w:tcPr>
          <w:p>
            <w:pPr>
              <w:spacing w:after="0"/>
              <w:rPr>
                <w:sz w:val="8"/>
                <w:szCs w:val="8"/>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Mississippi</w:t>
            </w:r>
          </w:p>
        </w:tc>
        <w:tc>
          <w:tcPr>
            <w:tcW w:w="10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0402964</w:t>
            </w:r>
          </w:p>
        </w:tc>
        <w:tc>
          <w:tcPr>
            <w:tcW w:w="1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Taft, California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rPr>
              <w:t>7,372</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580"/>
          </w:cols>
          <w:pgMar w:left="660" w:top="1239" w:right="660" w:bottom="1440" w:gutter="0" w:footer="0" w:header="0"/>
        </w:sectPr>
      </w:pPr>
    </w:p>
    <w:bookmarkStart w:id="36" w:name="page37"/>
    <w:bookmarkEnd w:id="36"/>
    <w:p>
      <w:pPr>
        <w:jc w:val="both"/>
        <w:spacing w:after="0" w:line="234" w:lineRule="auto"/>
        <w:rPr>
          <w:sz w:val="20"/>
          <w:szCs w:val="20"/>
          <w:color w:val="auto"/>
        </w:rPr>
      </w:pPr>
      <w:r>
        <w:rPr>
          <w:rFonts w:ascii="Times New Roman" w:cs="Times New Roman" w:eastAsia="Times New Roman" w:hAnsi="Times New Roman"/>
          <w:sz w:val="16"/>
          <w:szCs w:val="16"/>
          <w:color w:val="auto"/>
        </w:rPr>
        <w:t>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182"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6"/>
          <w:szCs w:val="16"/>
          <w:color w:val="auto"/>
        </w:rPr>
        <w:t>Legal actions pending before the Commission may involve, among other questions, challenges by operators to citations, orders and penalties they have received from MSHA or complaints of discrimination by miners under section 105 of the Mine Act. The following is a brief description of the types of legal actions that may be brought before the Commission.</w:t>
      </w:r>
    </w:p>
    <w:p>
      <w:pPr>
        <w:spacing w:after="0" w:line="195" w:lineRule="exact"/>
        <w:rPr>
          <w:sz w:val="20"/>
          <w:szCs w:val="20"/>
          <w:color w:val="auto"/>
        </w:rPr>
      </w:pPr>
    </w:p>
    <w:p>
      <w:pPr>
        <w:ind w:left="120" w:right="80"/>
        <w:spacing w:after="0" w:line="244" w:lineRule="auto"/>
        <w:rPr>
          <w:sz w:val="20"/>
          <w:szCs w:val="20"/>
          <w:color w:val="auto"/>
        </w:rPr>
      </w:pPr>
      <w:r>
        <w:rPr>
          <w:rFonts w:ascii="Times New Roman" w:cs="Times New Roman" w:eastAsia="Times New Roman" w:hAnsi="Times New Roman"/>
          <w:sz w:val="16"/>
          <w:szCs w:val="16"/>
          <w:color w:val="auto"/>
        </w:rPr>
        <w:t>Contests of Citations and Orders: A contest proceeding may be filed with the Commission by operators, miners or miners’ representatives to challenge the issuance of a citation or order issued by MSHA.</w:t>
      </w:r>
    </w:p>
    <w:p>
      <w:pPr>
        <w:spacing w:after="0" w:line="190" w:lineRule="exact"/>
        <w:rPr>
          <w:sz w:val="20"/>
          <w:szCs w:val="20"/>
          <w:color w:val="auto"/>
        </w:rPr>
      </w:pPr>
    </w:p>
    <w:p>
      <w:pPr>
        <w:ind w:left="120" w:right="20"/>
        <w:spacing w:after="0" w:line="234" w:lineRule="auto"/>
        <w:rPr>
          <w:sz w:val="20"/>
          <w:szCs w:val="20"/>
          <w:color w:val="auto"/>
        </w:rPr>
      </w:pPr>
      <w:r>
        <w:rPr>
          <w:rFonts w:ascii="Times New Roman" w:cs="Times New Roman" w:eastAsia="Times New Roman" w:hAnsi="Times New Roman"/>
          <w:sz w:val="16"/>
          <w:szCs w:val="16"/>
          <w:color w:val="auto"/>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spacing w:after="0" w:line="194" w:lineRule="exact"/>
        <w:rPr>
          <w:sz w:val="20"/>
          <w:szCs w:val="20"/>
          <w:color w:val="auto"/>
        </w:rPr>
      </w:pPr>
    </w:p>
    <w:p>
      <w:pPr>
        <w:ind w:left="120" w:right="80"/>
        <w:spacing w:after="0" w:line="244" w:lineRule="auto"/>
        <w:rPr>
          <w:sz w:val="20"/>
          <w:szCs w:val="20"/>
          <w:color w:val="auto"/>
        </w:rPr>
      </w:pPr>
      <w:r>
        <w:rPr>
          <w:rFonts w:ascii="Times New Roman" w:cs="Times New Roman" w:eastAsia="Times New Roman" w:hAnsi="Times New Roman"/>
          <w:sz w:val="16"/>
          <w:szCs w:val="16"/>
          <w:color w:val="auto"/>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spacing w:after="0" w:line="190" w:lineRule="exact"/>
        <w:rPr>
          <w:sz w:val="20"/>
          <w:szCs w:val="20"/>
          <w:color w:val="auto"/>
        </w:rPr>
      </w:pPr>
    </w:p>
    <w:p>
      <w:pPr>
        <w:ind w:left="120" w:right="160"/>
        <w:spacing w:after="0" w:line="244" w:lineRule="auto"/>
        <w:rPr>
          <w:sz w:val="20"/>
          <w:szCs w:val="20"/>
          <w:color w:val="auto"/>
        </w:rPr>
      </w:pPr>
      <w:r>
        <w:rPr>
          <w:rFonts w:ascii="Times New Roman" w:cs="Times New Roman" w:eastAsia="Times New Roman" w:hAnsi="Times New Roman"/>
          <w:sz w:val="16"/>
          <w:szCs w:val="16"/>
          <w:color w:val="auto"/>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spacing w:after="0" w:line="190" w:lineRule="exact"/>
        <w:rPr>
          <w:sz w:val="20"/>
          <w:szCs w:val="20"/>
          <w:color w:val="auto"/>
        </w:rPr>
      </w:pPr>
    </w:p>
    <w:p>
      <w:pPr>
        <w:ind w:left="120" w:right="120"/>
        <w:spacing w:after="0" w:line="244" w:lineRule="auto"/>
        <w:rPr>
          <w:sz w:val="20"/>
          <w:szCs w:val="20"/>
          <w:color w:val="auto"/>
        </w:rPr>
      </w:pPr>
      <w:r>
        <w:rPr>
          <w:rFonts w:ascii="Times New Roman" w:cs="Times New Roman" w:eastAsia="Times New Roman" w:hAnsi="Times New Roman"/>
          <w:sz w:val="16"/>
          <w:szCs w:val="16"/>
          <w:color w:val="auto"/>
        </w:rPr>
        <w:t>Applications for Temporary Relief: An application for temporary relief from any modification or termination of any order or from any order issued under section 104 of the Mine Act.</w:t>
      </w:r>
    </w:p>
    <w:p>
      <w:pPr>
        <w:spacing w:after="0" w:line="178" w:lineRule="exact"/>
        <w:rPr>
          <w:sz w:val="20"/>
          <w:szCs w:val="20"/>
          <w:color w:val="auto"/>
        </w:rPr>
      </w:pPr>
    </w:p>
    <w:p>
      <w:pPr>
        <w:ind w:left="120" w:right="280"/>
        <w:spacing w:after="0" w:line="234" w:lineRule="auto"/>
        <w:rPr>
          <w:sz w:val="20"/>
          <w:szCs w:val="20"/>
          <w:color w:val="auto"/>
        </w:rPr>
      </w:pPr>
      <w:r>
        <w:rPr>
          <w:rFonts w:ascii="Times New Roman" w:cs="Times New Roman" w:eastAsia="Times New Roman" w:hAnsi="Times New Roman"/>
          <w:sz w:val="16"/>
          <w:szCs w:val="16"/>
          <w:color w:val="auto"/>
        </w:rPr>
        <w:t>Appeals of Judges’ Decisions or Orders to the Commission: A filing with the Commission of a petition for discretionary review of a Judge’s decision or order by a person who has been adversely affected or aggrieved by such decision or order.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Contests of Citations</w:t>
            </w: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auto"/>
              </w:rPr>
              <w:t>Contests of</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Complaints for</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Complaints of Discharge,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Applications for</w:t>
            </w:r>
          </w:p>
        </w:tc>
        <w:tc>
          <w:tcPr>
            <w:tcW w:w="164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auto"/>
              </w:rPr>
              <w:t>Appeals of Judges Decisions</w:t>
            </w:r>
          </w:p>
        </w:tc>
        <w:tc>
          <w:tcPr>
            <w:tcW w:w="0" w:type="dxa"/>
            <w:vAlign w:val="bottom"/>
          </w:tcPr>
          <w:p>
            <w:pPr>
              <w:spacing w:after="0"/>
              <w:rPr>
                <w:sz w:val="1"/>
                <w:szCs w:val="1"/>
                <w:color w:val="auto"/>
              </w:rPr>
            </w:pPr>
          </w:p>
        </w:tc>
      </w:tr>
      <w:tr>
        <w:trPr>
          <w:trHeight w:val="132"/>
        </w:trPr>
        <w:tc>
          <w:tcPr>
            <w:tcW w:w="82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Mine ID</w:t>
            </w: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Mine location</w:t>
            </w:r>
          </w:p>
        </w:tc>
        <w:tc>
          <w:tcPr>
            <w:tcW w:w="1280" w:type="dxa"/>
            <w:vAlign w:val="bottom"/>
            <w:vMerge w:val="continue"/>
          </w:tcPr>
          <w:p>
            <w:pPr>
              <w:spacing w:after="0"/>
              <w:rPr>
                <w:sz w:val="11"/>
                <w:szCs w:val="11"/>
                <w:color w:val="auto"/>
              </w:rPr>
            </w:pPr>
          </w:p>
        </w:tc>
        <w:tc>
          <w:tcPr>
            <w:tcW w:w="980" w:type="dxa"/>
            <w:vAlign w:val="bottom"/>
          </w:tcPr>
          <w:p>
            <w:pPr>
              <w:jc w:val="center"/>
              <w:ind w:right="54"/>
              <w:spacing w:after="0" w:line="132" w:lineRule="exact"/>
              <w:rPr>
                <w:sz w:val="20"/>
                <w:szCs w:val="20"/>
                <w:color w:val="auto"/>
              </w:rPr>
            </w:pPr>
            <w:r>
              <w:rPr>
                <w:rFonts w:ascii="Times New Roman" w:cs="Times New Roman" w:eastAsia="Times New Roman" w:hAnsi="Times New Roman"/>
                <w:sz w:val="13"/>
                <w:szCs w:val="13"/>
                <w:color w:val="auto"/>
              </w:rPr>
              <w:t>Proposed</w:t>
            </w:r>
          </w:p>
        </w:tc>
        <w:tc>
          <w:tcPr>
            <w:tcW w:w="1220" w:type="dxa"/>
            <w:vAlign w:val="bottom"/>
            <w:vMerge w:val="continue"/>
          </w:tcPr>
          <w:p>
            <w:pPr>
              <w:spacing w:after="0"/>
              <w:rPr>
                <w:sz w:val="11"/>
                <w:szCs w:val="11"/>
                <w:color w:val="auto"/>
              </w:rPr>
            </w:pPr>
          </w:p>
        </w:tc>
        <w:tc>
          <w:tcPr>
            <w:tcW w:w="16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Discrimination or</w:t>
            </w:r>
          </w:p>
        </w:tc>
        <w:tc>
          <w:tcPr>
            <w:tcW w:w="114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20" w:type="dxa"/>
            <w:vAlign w:val="bottom"/>
            <w:tcBorders>
              <w:bottom w:val="single" w:sz="8" w:color="CCEEFF"/>
            </w:tcBorders>
            <w:vMerge w:val="continue"/>
          </w:tcPr>
          <w:p>
            <w:pPr>
              <w:spacing w:after="0"/>
              <w:rPr>
                <w:sz w:val="15"/>
                <w:szCs w:val="15"/>
                <w:color w:val="auto"/>
              </w:rPr>
            </w:pPr>
          </w:p>
        </w:tc>
        <w:tc>
          <w:tcPr>
            <w:tcW w:w="1500" w:type="dxa"/>
            <w:vAlign w:val="bottom"/>
            <w:tcBorders>
              <w:bottom w:val="single" w:sz="8" w:color="CCEEFF"/>
            </w:tcBorders>
            <w:vMerge w:val="continue"/>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and Orders</w:t>
            </w:r>
          </w:p>
        </w:tc>
        <w:tc>
          <w:tcPr>
            <w:tcW w:w="9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color w:val="auto"/>
              </w:rPr>
              <w:t>Penalties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Compensation</w:t>
            </w:r>
          </w:p>
        </w:tc>
        <w:tc>
          <w:tcPr>
            <w:tcW w:w="168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3"/>
                <w:szCs w:val="13"/>
                <w:color w:val="auto"/>
              </w:rPr>
              <w:t>Interference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Temporary Relief</w:t>
            </w:r>
          </w:p>
        </w:tc>
        <w:tc>
          <w:tcPr>
            <w:tcW w:w="164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3"/>
                <w:szCs w:val="13"/>
                <w:color w:val="auto"/>
              </w:rPr>
              <w:t>or Orders to the Commission</w:t>
            </w:r>
          </w:p>
        </w:tc>
        <w:tc>
          <w:tcPr>
            <w:tcW w:w="0" w:type="dxa"/>
            <w:vAlign w:val="bottom"/>
          </w:tcPr>
          <w:p>
            <w:pPr>
              <w:spacing w:after="0"/>
              <w:rPr>
                <w:sz w:val="1"/>
                <w:szCs w:val="1"/>
                <w:color w:val="auto"/>
              </w:rPr>
            </w:pPr>
          </w:p>
        </w:tc>
      </w:tr>
      <w:tr>
        <w:trPr>
          <w:trHeight w:val="176"/>
        </w:trPr>
        <w:tc>
          <w:tcPr>
            <w:tcW w:w="8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0900114</w:t>
            </w:r>
          </w:p>
        </w:tc>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Ochlocknee, Georgia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6"/>
        </w:trPr>
        <w:tc>
          <w:tcPr>
            <w:tcW w:w="8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2200035</w:t>
            </w:r>
          </w:p>
        </w:tc>
        <w:tc>
          <w:tcPr>
            <w:tcW w:w="1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Ripley, Mississippi</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4"/>
        </w:trPr>
        <w:tc>
          <w:tcPr>
            <w:tcW w:w="8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1102403</w:t>
            </w:r>
          </w:p>
        </w:tc>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Mounds, Illinois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2"/>
        </w:trPr>
        <w:tc>
          <w:tcPr>
            <w:tcW w:w="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3"/>
                <w:szCs w:val="13"/>
                <w:color w:val="auto"/>
              </w:rPr>
              <w:t>2200582</w:t>
            </w:r>
          </w:p>
        </w:tc>
        <w:tc>
          <w:tcPr>
            <w:tcW w:w="1500" w:type="dxa"/>
            <w:vAlign w:val="bottom"/>
          </w:tcPr>
          <w:p>
            <w:pPr>
              <w:ind w:left="140"/>
              <w:spacing w:after="0" w:line="133" w:lineRule="exact"/>
              <w:rPr>
                <w:sz w:val="20"/>
                <w:szCs w:val="20"/>
                <w:color w:val="auto"/>
              </w:rPr>
            </w:pPr>
            <w:r>
              <w:rPr>
                <w:rFonts w:ascii="Times New Roman" w:cs="Times New Roman" w:eastAsia="Times New Roman" w:hAnsi="Times New Roman"/>
                <w:sz w:val="13"/>
                <w:szCs w:val="13"/>
                <w:color w:val="auto"/>
              </w:rPr>
              <w:t>Blue Mountain,</w:t>
            </w: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820" w:type="dxa"/>
            <w:vAlign w:val="bottom"/>
            <w:vMerge w:val="continue"/>
          </w:tcPr>
          <w:p>
            <w:pPr>
              <w:spacing w:after="0"/>
              <w:rPr>
                <w:sz w:val="8"/>
                <w:szCs w:val="8"/>
                <w:color w:val="auto"/>
              </w:rPr>
            </w:pP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Mississippi</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8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0402964</w:t>
            </w:r>
          </w:p>
        </w:tc>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Taft, California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560"/>
          </w:cols>
          <w:pgMar w:left="660" w:top="1241" w:right="680" w:bottom="1440" w:gutter="0" w:footer="0" w:header="0"/>
        </w:sectPr>
      </w:pPr>
    </w:p>
    <w:bookmarkStart w:id="37" w:name="page38"/>
    <w:bookmarkEnd w:id="3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4"/>
      <w:numFmt w:val="bullet"/>
      <w:start w:val="1"/>
    </w:lvl>
  </w:abstractNum>
  <w:abstractNum w:abstractNumId="6">
    <w:nsid w:val="79E2A9E3"/>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7">
    <w:nsid w:val="7545E146"/>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2025-12-08T16:44:21Z</dcterms:created>
  <dcterms:modified xsi:type="dcterms:W3CDTF">2025-12-08T16:44:21Z</dcterms:modified>
</cp:coreProperties>
</file>