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v325855_8k.htm"/>
      <w:bookmarkStart w:id="1" w:name="ksv325855_8k"/>
      <w:bookmarkEnd w:id="0"/>
      <w:bookmarkEnd w:id="1"/>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831" w:type="dxa"/>
        <w:jc w:val="center"/>
        <w:tblInd w:w="0" w:type="dxa"/>
        <w:tblCellMar>
          <w:top w:w="0" w:type="dxa"/>
          <w:left w:w="0" w:type="dxa"/>
          <w:bottom w:w="0" w:type="dxa"/>
          <w:right w:w="0" w:type="dxa"/>
        </w:tblCellMar>
      </w:tblPr>
      <w:tblGrid>
        <w:gridCol w:w="3413"/>
        <w:gridCol w:w="1418"/>
      </w:tblGrid>
      <w:tr>
        <w:trPr/>
        <w:tc>
          <w:tcPr>
            <w:tcW w:w="3413" w:type="dxa"/>
            <w:tcBorders/>
            <w:shd w:fill="auto" w:val="clear"/>
            <w:vAlign w:val="center"/>
          </w:tcPr>
          <w:p>
            <w:pPr>
              <w:pStyle w:val="TableContents"/>
              <w:spacing w:before="0" w:after="283"/>
              <w:ind w:left="0" w:right="0" w:firstLine="108"/>
              <w:rPr>
                <w:sz w:val="17"/>
              </w:rPr>
            </w:pPr>
            <w:r>
              <w:rPr>
                <w:sz w:val="17"/>
              </w:rPr>
              <w:t>Date of Report (Date of earliest event reported)</w:t>
            </w:r>
          </w:p>
        </w:tc>
        <w:tc>
          <w:tcPr>
            <w:tcW w:w="1418" w:type="dxa"/>
            <w:tcBorders>
              <w:bottom w:val="single" w:sz="8" w:space="0" w:color="000000"/>
            </w:tcBorders>
            <w:shd w:fill="auto" w:val="clear"/>
            <w:tcMar>
              <w:bottom w:w="28" w:type="dxa"/>
            </w:tcMar>
            <w:vAlign w:val="center"/>
          </w:tcPr>
          <w:p>
            <w:pPr>
              <w:pStyle w:val="TableContents"/>
              <w:spacing w:before="0" w:after="283"/>
              <w:ind w:left="0" w:right="0" w:firstLine="108"/>
              <w:rPr>
                <w:b/>
                <w:sz w:val="17"/>
              </w:rPr>
            </w:pPr>
            <w:r>
              <w:rPr>
                <w:b/>
                <w:sz w:val="17"/>
              </w:rPr>
              <w:t>October 16, 2012</w:t>
            </w:r>
          </w:p>
        </w:tc>
      </w:tr>
      <w:tr>
        <w:trPr/>
        <w:tc>
          <w:tcPr>
            <w:tcW w:w="4831" w:type="dxa"/>
            <w:gridSpan w:val="2"/>
            <w:tcBorders/>
            <w:shd w:fill="auto" w:val="clear"/>
            <w:vAlign w:val="center"/>
          </w:tcPr>
          <w:p>
            <w:pPr>
              <w:pStyle w:val="TableContents"/>
              <w:spacing w:before="0" w:after="0"/>
              <w:ind w:left="0" w:right="0" w:firstLine="108"/>
              <w:rPr>
                <w:caps w:val="false"/>
                <w:smallCaps w:val="false"/>
              </w:rPr>
            </w:pPr>
            <w:r>
              <w:rPr>
                <w:caps w:val="false"/>
                <w:smallCaps w:val="false"/>
              </w:rPr>
              <w:t> </w:t>
            </w:r>
          </w:p>
          <w:p>
            <w:pPr>
              <w:pStyle w:val="TableContents"/>
              <w:spacing w:before="0" w:after="0"/>
              <w:ind w:left="0" w:right="0" w:firstLine="108"/>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4283" w:type="dxa"/>
        <w:jc w:val="center"/>
        <w:tblInd w:w="0" w:type="dxa"/>
        <w:tblCellMar>
          <w:top w:w="0" w:type="dxa"/>
          <w:left w:w="0" w:type="dxa"/>
          <w:bottom w:w="28" w:type="dxa"/>
          <w:right w:w="0" w:type="dxa"/>
        </w:tblCellMar>
      </w:tblPr>
      <w:tblGrid>
        <w:gridCol w:w="4283"/>
      </w:tblGrid>
      <w:tr>
        <w:trPr/>
        <w:tc>
          <w:tcPr>
            <w:tcW w:w="4283" w:type="dxa"/>
            <w:tcBorders>
              <w:bottom w:val="single" w:sz="8" w:space="0" w:color="000000"/>
            </w:tcBorders>
            <w:shd w:fill="auto" w:val="clear"/>
            <w:vAlign w:val="center"/>
          </w:tcPr>
          <w:p>
            <w:pPr>
              <w:pStyle w:val="TableContents"/>
              <w:spacing w:before="0" w:after="283"/>
              <w:ind w:left="0" w:right="0" w:firstLine="108"/>
              <w:jc w:val="center"/>
              <w:rPr>
                <w:b/>
                <w:sz w:val="17"/>
              </w:rPr>
            </w:pPr>
            <w:r>
              <w:rPr>
                <w:b/>
                <w:sz w:val="17"/>
              </w:rPr>
              <w:t>Oil-Dri Corporation of America</w:t>
            </w:r>
          </w:p>
        </w:tc>
      </w:tr>
      <w:tr>
        <w:trPr/>
        <w:tc>
          <w:tcPr>
            <w:tcW w:w="4283" w:type="dxa"/>
            <w:tcBorders/>
            <w:shd w:fill="auto" w:val="clear"/>
            <w:tcMar>
              <w:bottom w:w="0" w:type="dxa"/>
            </w:tcMar>
            <w:vAlign w:val="center"/>
          </w:tcPr>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ableContents"/>
              <w:spacing w:before="0" w:after="0"/>
              <w:ind w:left="0" w:right="0" w:firstLine="108"/>
              <w:jc w:val="center"/>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10205" w:type="dxa"/>
        <w:jc w:val="center"/>
        <w:tblInd w:w="0" w:type="dxa"/>
        <w:tblCellMar>
          <w:top w:w="0" w:type="dxa"/>
          <w:left w:w="0" w:type="dxa"/>
          <w:bottom w:w="28" w:type="dxa"/>
          <w:right w:w="0" w:type="dxa"/>
        </w:tblCellMar>
      </w:tblPr>
      <w:tblGrid>
        <w:gridCol w:w="4069"/>
        <w:gridCol w:w="168"/>
        <w:gridCol w:w="2643"/>
        <w:gridCol w:w="168"/>
        <w:gridCol w:w="3157"/>
      </w:tblGrid>
      <w:tr>
        <w:trPr/>
        <w:tc>
          <w:tcPr>
            <w:tcW w:w="4069" w:type="dxa"/>
            <w:tcBorders>
              <w:bottom w:val="single" w:sz="8" w:space="0" w:color="000000"/>
            </w:tcBorders>
            <w:shd w:fill="auto" w:val="clear"/>
            <w:vAlign w:val="center"/>
          </w:tcPr>
          <w:p>
            <w:pPr>
              <w:pStyle w:val="TableContents"/>
              <w:spacing w:before="0" w:after="283"/>
              <w:ind w:left="0" w:right="0" w:firstLine="108"/>
              <w:jc w:val="center"/>
              <w:rPr>
                <w:b/>
              </w:rPr>
            </w:pPr>
            <w:r>
              <w:rPr>
                <w:b/>
              </w:rPr>
              <w:t>Delaware</w:t>
            </w:r>
          </w:p>
        </w:tc>
        <w:tc>
          <w:tcPr>
            <w:tcW w:w="168" w:type="dxa"/>
            <w:tcBorders>
              <w:bottom w:val="single" w:sz="8" w:space="0" w:color="000000"/>
            </w:tcBorders>
            <w:shd w:fill="auto" w:val="clear"/>
            <w:vAlign w:val="center"/>
          </w:tcPr>
          <w:p>
            <w:pPr>
              <w:pStyle w:val="TableContents"/>
              <w:spacing w:before="0" w:after="283"/>
              <w:ind w:left="0" w:right="0" w:firstLine="108"/>
              <w:jc w:val="center"/>
              <w:rPr/>
            </w:pPr>
            <w:r>
              <w:rPr/>
              <w:t> </w:t>
            </w:r>
          </w:p>
        </w:tc>
        <w:tc>
          <w:tcPr>
            <w:tcW w:w="2643" w:type="dxa"/>
            <w:tcBorders>
              <w:bottom w:val="single" w:sz="8" w:space="0" w:color="000000"/>
            </w:tcBorders>
            <w:shd w:fill="auto" w:val="clear"/>
            <w:vAlign w:val="center"/>
          </w:tcPr>
          <w:p>
            <w:pPr>
              <w:pStyle w:val="TableContents"/>
              <w:spacing w:before="0" w:after="283"/>
              <w:ind w:left="0" w:right="0" w:firstLine="108"/>
              <w:jc w:val="center"/>
              <w:rPr>
                <w:b/>
              </w:rPr>
            </w:pPr>
            <w:r>
              <w:rPr>
                <w:b/>
              </w:rPr>
              <w:t>001-12622</w:t>
            </w:r>
          </w:p>
        </w:tc>
        <w:tc>
          <w:tcPr>
            <w:tcW w:w="168" w:type="dxa"/>
            <w:tcBorders>
              <w:bottom w:val="single" w:sz="8" w:space="0" w:color="000000"/>
            </w:tcBorders>
            <w:shd w:fill="auto" w:val="clear"/>
            <w:vAlign w:val="center"/>
          </w:tcPr>
          <w:p>
            <w:pPr>
              <w:pStyle w:val="TableContents"/>
              <w:spacing w:before="0" w:after="283"/>
              <w:ind w:left="0" w:right="0" w:firstLine="108"/>
              <w:jc w:val="center"/>
              <w:rPr/>
            </w:pPr>
            <w:r>
              <w:rPr/>
              <w:t> </w:t>
            </w:r>
          </w:p>
        </w:tc>
        <w:tc>
          <w:tcPr>
            <w:tcW w:w="3157" w:type="dxa"/>
            <w:tcBorders>
              <w:bottom w:val="single" w:sz="8" w:space="0" w:color="000000"/>
            </w:tcBorders>
            <w:shd w:fill="auto" w:val="clear"/>
            <w:vAlign w:val="center"/>
          </w:tcPr>
          <w:p>
            <w:pPr>
              <w:pStyle w:val="TableContents"/>
              <w:spacing w:before="0" w:after="283"/>
              <w:ind w:left="0" w:right="0" w:firstLine="108"/>
              <w:jc w:val="center"/>
              <w:rPr>
                <w:b/>
              </w:rPr>
            </w:pPr>
            <w:r>
              <w:rPr>
                <w:b/>
              </w:rPr>
              <w:t>36-2048898</w:t>
            </w:r>
          </w:p>
        </w:tc>
      </w:tr>
      <w:tr>
        <w:trPr/>
        <w:tc>
          <w:tcPr>
            <w:tcW w:w="4069" w:type="dxa"/>
            <w:tcBorders/>
            <w:shd w:fill="auto" w:val="clear"/>
            <w:tcMar>
              <w:bottom w:w="0" w:type="dxa"/>
            </w:tcMar>
            <w:vAlign w:val="center"/>
          </w:tcPr>
          <w:p>
            <w:pPr>
              <w:pStyle w:val="TableContents"/>
              <w:spacing w:before="0" w:after="283"/>
              <w:ind w:left="0" w:right="0" w:firstLine="108"/>
              <w:jc w:val="center"/>
              <w:rPr/>
            </w:pPr>
            <w:r>
              <w:rPr/>
              <w:t>(State or other jurisdiction of incorporation)</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2643" w:type="dxa"/>
            <w:tcBorders/>
            <w:shd w:fill="auto" w:val="clear"/>
            <w:tcMar>
              <w:bottom w:w="0" w:type="dxa"/>
            </w:tcMar>
            <w:vAlign w:val="center"/>
          </w:tcPr>
          <w:p>
            <w:pPr>
              <w:pStyle w:val="TableContents"/>
              <w:spacing w:before="0" w:after="283"/>
              <w:ind w:left="0" w:right="0" w:firstLine="108"/>
              <w:jc w:val="center"/>
              <w:rPr/>
            </w:pPr>
            <w:r>
              <w:rPr/>
              <w:t>(Commission File Number)</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3157" w:type="dxa"/>
            <w:tcBorders/>
            <w:shd w:fill="auto" w:val="clear"/>
            <w:tcMar>
              <w:bottom w:w="0" w:type="dxa"/>
            </w:tcMar>
            <w:vAlign w:val="center"/>
          </w:tcPr>
          <w:p>
            <w:pPr>
              <w:pStyle w:val="TableContents"/>
              <w:spacing w:before="0" w:after="283"/>
              <w:jc w:val="center"/>
              <w:rPr/>
            </w:pPr>
            <w:r>
              <w:rPr/>
              <w:t>(IRS Employer 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tbl>
      <w:tblPr>
        <w:tblW w:w="4036" w:type="dxa"/>
        <w:jc w:val="center"/>
        <w:tblInd w:w="0" w:type="dxa"/>
        <w:tblCellMar>
          <w:top w:w="0" w:type="dxa"/>
          <w:left w:w="0" w:type="dxa"/>
          <w:bottom w:w="28" w:type="dxa"/>
          <w:right w:w="0" w:type="dxa"/>
        </w:tblCellMar>
      </w:tblPr>
      <w:tblGrid>
        <w:gridCol w:w="2888"/>
        <w:gridCol w:w="1148"/>
      </w:tblGrid>
      <w:tr>
        <w:trPr/>
        <w:tc>
          <w:tcPr>
            <w:tcW w:w="2888" w:type="dxa"/>
            <w:tcBorders>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148" w:type="dxa"/>
            <w:tcBorders>
              <w:bottom w:val="single" w:sz="8" w:space="0" w:color="000000"/>
            </w:tcBorders>
            <w:shd w:fill="auto" w:val="clear"/>
            <w:vAlign w:val="center"/>
          </w:tcPr>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2888" w:type="dxa"/>
            <w:tcBorders/>
            <w:shd w:fill="auto" w:val="clear"/>
            <w:tcMar>
              <w:bottom w:w="0" w:type="dxa"/>
            </w:tcMar>
            <w:vAlign w:val="center"/>
          </w:tcPr>
          <w:p>
            <w:pPr>
              <w:pStyle w:val="TableContents"/>
              <w:spacing w:before="0" w:after="283"/>
              <w:ind w:left="0" w:right="0" w:firstLine="108"/>
              <w:jc w:val="center"/>
              <w:rPr>
                <w:sz w:val="17"/>
              </w:rPr>
            </w:pPr>
            <w:r>
              <w:rPr>
                <w:sz w:val="17"/>
              </w:rPr>
              <w:t>(Address of principal executive offices)</w:t>
            </w:r>
          </w:p>
        </w:tc>
        <w:tc>
          <w:tcPr>
            <w:tcW w:w="1148" w:type="dxa"/>
            <w:tcBorders/>
            <w:shd w:fill="auto" w:val="clear"/>
            <w:tcMar>
              <w:bottom w:w="0" w:type="dxa"/>
            </w:tcMar>
            <w:vAlign w:val="center"/>
          </w:tcPr>
          <w:p>
            <w:pPr>
              <w:pStyle w:val="TableContents"/>
              <w:spacing w:before="0" w:after="283"/>
              <w:jc w:val="right"/>
              <w:rPr>
                <w:sz w:val="17"/>
              </w:rPr>
            </w:pPr>
            <w:r>
              <w:rPr>
                <w:sz w:val="17"/>
              </w:rPr>
              <w:t>(Zip Code)</w:t>
            </w:r>
          </w:p>
        </w:tc>
      </w:tr>
    </w:tbl>
    <w:p>
      <w:pPr>
        <w:pStyle w:val="TextBody"/>
        <w:spacing w:before="0" w:after="0"/>
        <w:ind w:left="0" w:right="0" w:hanging="0"/>
        <w:rPr>
          <w:caps w:val="false"/>
          <w:smallCaps w:val="false"/>
        </w:rPr>
      </w:pPr>
      <w:r>
        <w:rPr>
          <w:caps w:val="false"/>
          <w:smallCaps w:val="false"/>
        </w:rPr>
        <w:t> </w:t>
      </w:r>
    </w:p>
    <w:tbl>
      <w:tblPr>
        <w:tblW w:w="5062" w:type="dxa"/>
        <w:jc w:val="center"/>
        <w:tblInd w:w="0" w:type="dxa"/>
        <w:tblCellMar>
          <w:top w:w="0" w:type="dxa"/>
          <w:left w:w="0" w:type="dxa"/>
          <w:bottom w:w="0" w:type="dxa"/>
          <w:right w:w="0" w:type="dxa"/>
        </w:tblCellMar>
      </w:tblPr>
      <w:tblGrid>
        <w:gridCol w:w="3774"/>
        <w:gridCol w:w="1288"/>
      </w:tblGrid>
      <w:tr>
        <w:trPr/>
        <w:tc>
          <w:tcPr>
            <w:tcW w:w="3774" w:type="dxa"/>
            <w:tcBorders/>
            <w:shd w:fill="auto" w:val="clear"/>
            <w:vAlign w:val="center"/>
          </w:tcPr>
          <w:p>
            <w:pPr>
              <w:pStyle w:val="TableContents"/>
              <w:spacing w:before="0" w:after="283"/>
              <w:ind w:left="0" w:right="0" w:firstLine="108"/>
              <w:rPr>
                <w:sz w:val="17"/>
              </w:rPr>
            </w:pPr>
            <w:r>
              <w:rPr>
                <w:sz w:val="17"/>
              </w:rPr>
              <w:t>Registrant’s telephone number, including area code</w:t>
            </w:r>
          </w:p>
        </w:tc>
        <w:tc>
          <w:tcPr>
            <w:tcW w:w="1288" w:type="dxa"/>
            <w:tcBorders>
              <w:bottom w:val="single" w:sz="8" w:space="0" w:color="000000"/>
            </w:tcBorders>
            <w:shd w:fill="auto" w:val="clear"/>
            <w:tcMar>
              <w:bottom w:w="28" w:type="dxa"/>
            </w:tcMar>
            <w:vAlign w:val="center"/>
          </w:tcPr>
          <w:p>
            <w:pPr>
              <w:pStyle w:val="TableContents"/>
              <w:spacing w:before="0" w:after="283"/>
              <w:ind w:left="0" w:right="0" w:firstLine="108"/>
              <w:rPr>
                <w:b/>
                <w:sz w:val="17"/>
              </w:rPr>
            </w:pPr>
            <w:r>
              <w:rPr>
                <w:b/>
                <w:sz w:val="17"/>
              </w:rPr>
              <w:t>(312) 321-1515</w:t>
            </w:r>
          </w:p>
        </w:tc>
      </w:tr>
      <w:tr>
        <w:trPr/>
        <w:tc>
          <w:tcPr>
            <w:tcW w:w="5062" w:type="dxa"/>
            <w:gridSpan w:val="2"/>
            <w:tcBorders/>
            <w:shd w:fill="auto" w:val="clear"/>
            <w:vAlign w:val="center"/>
          </w:tcPr>
          <w:p>
            <w:pPr>
              <w:pStyle w:val="TableContents"/>
              <w:spacing w:before="0" w:after="0"/>
              <w:ind w:left="0" w:right="0" w:firstLine="108"/>
              <w:rPr>
                <w:caps w:val="false"/>
                <w:smallCaps w:val="false"/>
              </w:rPr>
            </w:pPr>
            <w:r>
              <w:rPr>
                <w:caps w:val="false"/>
                <w:smallCaps w:val="false"/>
              </w:rPr>
              <w:t> </w:t>
            </w:r>
          </w:p>
          <w:p>
            <w:pPr>
              <w:pStyle w:val="TableContents"/>
              <w:spacing w:before="0" w:after="0"/>
              <w:ind w:left="0" w:right="0" w:firstLine="108"/>
              <w:rPr>
                <w:caps w:val="false"/>
                <w:smallCaps w:val="false"/>
              </w:rPr>
            </w:pPr>
            <w:r>
              <w:rPr>
                <w:caps w:val="false"/>
                <w:smallCaps w:val="false"/>
              </w:rPr>
              <w:t> </w:t>
            </w:r>
          </w:p>
        </w:tc>
      </w:tr>
      <w:tr>
        <w:trPr/>
        <w:tc>
          <w:tcPr>
            <w:tcW w:w="5062" w:type="dxa"/>
            <w:gridSpan w:val="2"/>
            <w:tcBorders>
              <w:bottom w:val="single" w:sz="8" w:space="0" w:color="000000"/>
            </w:tcBorders>
            <w:shd w:fill="auto" w:val="clear"/>
            <w:tcMar>
              <w:bottom w:w="28" w:type="dxa"/>
            </w:tcMar>
            <w:vAlign w:val="center"/>
          </w:tcPr>
          <w:p>
            <w:pPr>
              <w:pStyle w:val="TableContents"/>
              <w:spacing w:before="0" w:after="283"/>
              <w:ind w:left="0" w:right="0" w:firstLine="108"/>
              <w:rPr/>
            </w:pPr>
            <w:r>
              <w:rPr/>
              <w:t> </w:t>
            </w:r>
          </w:p>
        </w:tc>
      </w:tr>
      <w:tr>
        <w:trPr/>
        <w:tc>
          <w:tcPr>
            <w:tcW w:w="5062" w:type="dxa"/>
            <w:gridSpan w:val="2"/>
            <w:tcBorders/>
            <w:shd w:fill="auto" w:val="clear"/>
            <w:vAlign w:val="center"/>
          </w:tcPr>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ableContents"/>
              <w:spacing w:before="0" w:after="0"/>
              <w:ind w:left="0" w:right="0" w:firstLine="108"/>
              <w:jc w:val="center"/>
              <w:rPr>
                <w:caps w:val="false"/>
                <w:smallCaps w:val="false"/>
              </w:rPr>
            </w:pPr>
            <w:r>
              <w:rPr>
                <w:caps w:val="false"/>
                <w:smallCaps w:val="false"/>
              </w:rPr>
              <w:t> </w:t>
            </w:r>
          </w:p>
        </w:tc>
      </w:tr>
    </w:tbl>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8.01</w:t>
      </w:r>
      <w:r>
        <w:rPr>
          <w:rFonts w:ascii="Times New Roman;Times;Serif" w:hAnsi="Times New Roman;Times;Serif"/>
          <w:b/>
          <w:i w:val="false"/>
          <w:caps w:val="false"/>
          <w:smallCaps w:val="false"/>
          <w:sz w:val="20"/>
        </w:rPr>
        <w:t xml:space="preserve"> </w:t>
        <w:tab/>
        <w:t>  Other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regular meeting on October 16, 2012, the Registrant’s Board of Directors declared quarterly cash dividends of $0.18 per share of the Registrant’s Common Stock and $0.135 per share of the Registrant’s Class B Stock. The dividends will be payable on November 30, 2012, to stockholders of record at the close of business on November 16, 2012. A copy of the Registrant’s press release announcing these matters is attached as Exhibit 99.1 and the information contained therein is incorporated herein by reference.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9.01</w:t>
      </w:r>
      <w:r>
        <w:rPr>
          <w:rFonts w:ascii="Times New Roman;Times;Serif" w:hAnsi="Times New Roman;Times;Serif"/>
          <w:b/>
          <w:i w:val="false"/>
          <w:caps w:val="false"/>
          <w:smallCaps w:val="false"/>
          <w:sz w:val="20"/>
        </w:rPr>
        <w:tab/>
        <w:t>   Financial Statements and Exhibits.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tab/>
        <w:t>Exhibit</w:t>
      </w:r>
    </w:p>
    <w:p>
      <w:pPr>
        <w:pStyle w:val="TextBody"/>
        <w:spacing w:before="0" w:after="0"/>
        <w:ind w:left="0" w:right="0" w:hanging="0"/>
        <w:rPr>
          <w:caps w:val="false"/>
          <w:smallCaps w:val="false"/>
        </w:rPr>
      </w:pPr>
      <w:r>
        <w:rPr>
          <w:caps w:val="false"/>
          <w:smallCaps w:val="false"/>
        </w:rPr>
        <w:t> </w:t>
      </w:r>
    </w:p>
    <w:tbl>
      <w:tblPr>
        <w:tblW w:w="3295" w:type="dxa"/>
        <w:jc w:val="left"/>
        <w:tblInd w:w="0" w:type="dxa"/>
        <w:tblCellMar>
          <w:top w:w="0" w:type="dxa"/>
          <w:left w:w="0" w:type="dxa"/>
          <w:bottom w:w="0" w:type="dxa"/>
          <w:right w:w="0" w:type="dxa"/>
        </w:tblCellMar>
      </w:tblPr>
      <w:tblGrid>
        <w:gridCol w:w="605"/>
        <w:gridCol w:w="60"/>
        <w:gridCol w:w="2630"/>
      </w:tblGrid>
      <w:tr>
        <w:trPr/>
        <w:tc>
          <w:tcPr>
            <w:tcW w:w="605" w:type="dxa"/>
            <w:tcBorders/>
            <w:shd w:fill="auto" w:val="clear"/>
            <w:vAlign w:val="center"/>
          </w:tcPr>
          <w:p>
            <w:pPr>
              <w:pStyle w:val="TableContents"/>
              <w:spacing w:before="0" w:after="283"/>
              <w:rPr>
                <w:sz w:val="17"/>
              </w:rPr>
            </w:pPr>
            <w:r>
              <w:rPr>
                <w:sz w:val="17"/>
              </w:rPr>
              <w:t>Exhibit</w:t>
            </w:r>
          </w:p>
        </w:tc>
        <w:tc>
          <w:tcPr>
            <w:tcW w:w="60" w:type="dxa"/>
            <w:tcBorders/>
            <w:shd w:fill="auto" w:val="clear"/>
            <w:vAlign w:val="center"/>
          </w:tcPr>
          <w:p>
            <w:pPr>
              <w:pStyle w:val="TableContents"/>
              <w:spacing w:before="0" w:after="283"/>
              <w:rPr/>
            </w:pPr>
            <w:r>
              <w:rPr/>
              <w:t> </w:t>
            </w:r>
          </w:p>
        </w:tc>
        <w:tc>
          <w:tcPr>
            <w:tcW w:w="2630" w:type="dxa"/>
            <w:tcBorders/>
            <w:shd w:fill="auto" w:val="clear"/>
            <w:vAlign w:val="center"/>
          </w:tcPr>
          <w:p>
            <w:pPr>
              <w:pStyle w:val="TableContents"/>
              <w:spacing w:before="0" w:after="283"/>
              <w:rPr/>
            </w:pPr>
            <w:r>
              <w:rPr/>
              <w:t> </w:t>
            </w:r>
          </w:p>
        </w:tc>
      </w:tr>
      <w:tr>
        <w:trPr/>
        <w:tc>
          <w:tcPr>
            <w:tcW w:w="605" w:type="dxa"/>
            <w:tcBorders>
              <w:bottom w:val="single" w:sz="8" w:space="0" w:color="000000"/>
            </w:tcBorders>
            <w:shd w:fill="auto" w:val="clear"/>
            <w:tcMar>
              <w:bottom w:w="28" w:type="dxa"/>
            </w:tcMar>
            <w:vAlign w:val="center"/>
          </w:tcPr>
          <w:p>
            <w:pPr>
              <w:pStyle w:val="TableContents"/>
              <w:spacing w:before="0" w:after="283"/>
              <w:rPr>
                <w:sz w:val="17"/>
              </w:rPr>
            </w:pPr>
            <w:r>
              <w:rPr>
                <w:sz w:val="17"/>
              </w:rPr>
              <w:t>Number</w:t>
            </w:r>
          </w:p>
        </w:tc>
        <w:tc>
          <w:tcPr>
            <w:tcW w:w="60" w:type="dxa"/>
            <w:tcBorders/>
            <w:shd w:fill="auto" w:val="clear"/>
            <w:vAlign w:val="center"/>
          </w:tcPr>
          <w:p>
            <w:pPr>
              <w:pStyle w:val="TableContents"/>
              <w:spacing w:before="0" w:after="283"/>
              <w:rPr/>
            </w:pPr>
            <w:r>
              <w:rPr/>
              <w:t> </w:t>
            </w:r>
          </w:p>
        </w:tc>
        <w:tc>
          <w:tcPr>
            <w:tcW w:w="2630" w:type="dxa"/>
            <w:tcBorders>
              <w:bottom w:val="single" w:sz="8" w:space="0" w:color="000000"/>
            </w:tcBorders>
            <w:shd w:fill="auto" w:val="clear"/>
            <w:tcMar>
              <w:bottom w:w="28" w:type="dxa"/>
            </w:tcMar>
            <w:vAlign w:val="center"/>
          </w:tcPr>
          <w:p>
            <w:pPr>
              <w:pStyle w:val="TableContents"/>
              <w:spacing w:before="0" w:after="283"/>
              <w:jc w:val="center"/>
              <w:rPr>
                <w:sz w:val="17"/>
              </w:rPr>
            </w:pPr>
            <w:r>
              <w:rPr>
                <w:sz w:val="17"/>
              </w:rPr>
              <w:t>Description of Exhibits</w:t>
            </w:r>
            <w:r>
              <w:rPr>
                <w:sz w:val="17"/>
                <w:u w:val="single"/>
              </w:rPr>
              <w:t xml:space="preserve"> </w:t>
            </w:r>
          </w:p>
        </w:tc>
      </w:tr>
      <w:tr>
        <w:trPr/>
        <w:tc>
          <w:tcPr>
            <w:tcW w:w="6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30" w:type="dxa"/>
            <w:tcBorders/>
            <w:shd w:fill="auto" w:val="cle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17"/>
              </w:rPr>
            </w:pPr>
            <w:r>
              <w:rPr>
                <w:sz w:val="17"/>
              </w:rPr>
              <w:t>99.1</w:t>
            </w:r>
          </w:p>
        </w:tc>
        <w:tc>
          <w:tcPr>
            <w:tcW w:w="60" w:type="dxa"/>
            <w:tcBorders/>
            <w:shd w:fill="auto" w:val="clear"/>
            <w:vAlign w:val="center"/>
          </w:tcPr>
          <w:p>
            <w:pPr>
              <w:pStyle w:val="TableContents"/>
              <w:spacing w:before="0" w:after="283"/>
              <w:rPr/>
            </w:pPr>
            <w:r>
              <w:rPr/>
              <w:t> </w:t>
            </w:r>
          </w:p>
        </w:tc>
        <w:tc>
          <w:tcPr>
            <w:tcW w:w="2630" w:type="dxa"/>
            <w:tcBorders/>
            <w:shd w:fill="auto" w:val="clear"/>
            <w:vAlign w:val="center"/>
          </w:tcPr>
          <w:p>
            <w:pPr>
              <w:pStyle w:val="TableContents"/>
              <w:spacing w:before="0" w:after="283"/>
              <w:rPr>
                <w:sz w:val="17"/>
              </w:rPr>
            </w:pPr>
            <w:r>
              <w:rPr>
                <w:sz w:val="17"/>
              </w:rPr>
              <w:t>Press Release dated October 16, 2012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Exchange Act,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885" w:type="dxa"/>
        <w:jc w:val="left"/>
        <w:tblInd w:w="0" w:type="dxa"/>
        <w:tblCellMar>
          <w:top w:w="0" w:type="dxa"/>
          <w:left w:w="0" w:type="dxa"/>
          <w:bottom w:w="0" w:type="dxa"/>
          <w:right w:w="0" w:type="dxa"/>
        </w:tblCellMar>
      </w:tblPr>
      <w:tblGrid>
        <w:gridCol w:w="75"/>
        <w:gridCol w:w="365"/>
        <w:gridCol w:w="4445"/>
      </w:tblGrid>
      <w:tr>
        <w:trPr/>
        <w:tc>
          <w:tcPr>
            <w:tcW w:w="75" w:type="dxa"/>
            <w:tcBorders/>
            <w:shd w:fill="auto" w:val="clear"/>
            <w:vAlign w:val="center"/>
          </w:tcPr>
          <w:p>
            <w:pPr>
              <w:pStyle w:val="TableContents"/>
              <w:spacing w:before="0" w:after="283"/>
              <w:rPr/>
            </w:pPr>
            <w:r>
              <w:rPr/>
              <w:t> </w:t>
            </w:r>
          </w:p>
        </w:tc>
        <w:tc>
          <w:tcPr>
            <w:tcW w:w="4810" w:type="dxa"/>
            <w:gridSpan w:val="2"/>
            <w:tcBorders/>
            <w:shd w:fill="auto" w:val="clear"/>
            <w:vAlign w:val="center"/>
          </w:tcPr>
          <w:p>
            <w:pPr>
              <w:pStyle w:val="TableContents"/>
              <w:spacing w:before="0" w:after="283"/>
              <w:rPr/>
            </w:pPr>
            <w:r>
              <w:rPr/>
              <w:t>OIL-DRI CORPORATION OF AMERICA</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44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44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44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4445" w:type="dxa"/>
            <w:tcBorders/>
            <w:shd w:fill="auto" w:val="clear"/>
            <w:vAlign w:val="center"/>
          </w:tcPr>
          <w:p>
            <w:pPr>
              <w:pStyle w:val="TableContents"/>
              <w:spacing w:before="0" w:after="283"/>
              <w:rPr>
                <w:u w:val="single"/>
              </w:rPr>
            </w:pPr>
            <w:r>
              <w:rPr>
                <w:u w:val="single"/>
              </w:rPr>
              <w:t>/s/       Douglas A. Graham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445" w:type="dxa"/>
            <w:tcBorders/>
            <w:shd w:fill="auto" w:val="clear"/>
            <w:vAlign w:val="center"/>
          </w:tcPr>
          <w:p>
            <w:pPr>
              <w:pStyle w:val="TableContents"/>
              <w:spacing w:before="0" w:after="283"/>
              <w:rPr/>
            </w:pPr>
            <w:r>
              <w:rPr/>
              <w:t>Douglas A. Graham</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445" w:type="dxa"/>
            <w:tcBorders/>
            <w:shd w:fill="auto" w:val="clear"/>
            <w:vAlign w:val="center"/>
          </w:tcPr>
          <w:p>
            <w:pPr>
              <w:pStyle w:val="TableContents"/>
              <w:spacing w:before="0" w:after="283"/>
              <w:rPr/>
            </w:pPr>
            <w:r>
              <w:rPr/>
              <w:t>Vice President and General Counsel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16, 2012</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495" w:type="dxa"/>
        <w:jc w:val="left"/>
        <w:tblInd w:w="0" w:type="dxa"/>
        <w:tblCellMar>
          <w:top w:w="0" w:type="dxa"/>
          <w:left w:w="0" w:type="dxa"/>
          <w:bottom w:w="0" w:type="dxa"/>
          <w:right w:w="0" w:type="dxa"/>
        </w:tblCellMar>
      </w:tblPr>
      <w:tblGrid>
        <w:gridCol w:w="815"/>
        <w:gridCol w:w="60"/>
        <w:gridCol w:w="3620"/>
      </w:tblGrid>
      <w:tr>
        <w:trPr/>
        <w:tc>
          <w:tcPr>
            <w:tcW w:w="815" w:type="dxa"/>
            <w:tcBorders/>
            <w:shd w:fill="auto" w:val="clear"/>
            <w:vAlign w:val="center"/>
          </w:tcPr>
          <w:p>
            <w:pPr>
              <w:pStyle w:val="TableContents"/>
              <w:spacing w:before="0" w:after="283"/>
              <w:rPr/>
            </w:pPr>
            <w:r>
              <w:rPr/>
              <w:t>Exhibit</w:t>
            </w:r>
          </w:p>
        </w:tc>
        <w:tc>
          <w:tcPr>
            <w:tcW w:w="6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p>
        </w:tc>
      </w:tr>
      <w:tr>
        <w:trPr/>
        <w:tc>
          <w:tcPr>
            <w:tcW w:w="815" w:type="dxa"/>
            <w:tcBorders>
              <w:bottom w:val="single" w:sz="8" w:space="0" w:color="000000"/>
            </w:tcBorders>
            <w:shd w:fill="auto" w:val="clear"/>
            <w:tcMar>
              <w:bottom w:w="28" w:type="dxa"/>
            </w:tcMar>
            <w:vAlign w:val="center"/>
          </w:tcPr>
          <w:p>
            <w:pPr>
              <w:pStyle w:val="TableContents"/>
              <w:spacing w:before="0" w:after="283"/>
              <w:rPr/>
            </w:pPr>
            <w:r>
              <w:rPr/>
              <w:t>Number</w:t>
            </w:r>
          </w:p>
        </w:tc>
        <w:tc>
          <w:tcPr>
            <w:tcW w:w="60" w:type="dxa"/>
            <w:tcBorders/>
            <w:shd w:fill="auto" w:val="clear"/>
            <w:vAlign w:val="center"/>
          </w:tcPr>
          <w:p>
            <w:pPr>
              <w:pStyle w:val="TableContents"/>
              <w:spacing w:before="0" w:after="283"/>
              <w:rPr/>
            </w:pPr>
            <w:r>
              <w:rPr/>
              <w:t> </w:t>
            </w:r>
          </w:p>
        </w:tc>
        <w:tc>
          <w:tcPr>
            <w:tcW w:w="3620" w:type="dxa"/>
            <w:tcBorders>
              <w:bottom w:val="single" w:sz="8" w:space="0" w:color="000000"/>
            </w:tcBorders>
            <w:shd w:fill="auto" w:val="clear"/>
            <w:tcMar>
              <w:bottom w:w="28" w:type="dxa"/>
            </w:tcMar>
            <w:vAlign w:val="center"/>
          </w:tcPr>
          <w:p>
            <w:pPr>
              <w:pStyle w:val="TableContents"/>
              <w:spacing w:before="0" w:after="283"/>
              <w:jc w:val="center"/>
              <w:rPr/>
            </w:pPr>
            <w:r>
              <w:rPr/>
              <w:t>Description of Exhibits</w:t>
            </w:r>
          </w:p>
        </w:tc>
      </w:tr>
      <w:tr>
        <w:trPr/>
        <w:tc>
          <w:tcPr>
            <w:tcW w:w="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pPr>
            <w:r>
              <w:rPr/>
              <w:t>99.1</w:t>
            </w:r>
          </w:p>
        </w:tc>
        <w:tc>
          <w:tcPr>
            <w:tcW w:w="6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Press Release dated October 16, 2012</w:t>
            </w:r>
          </w:p>
        </w:tc>
      </w:tr>
    </w:tbl>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br w:type="page"/>
      </w:r>
      <w:bookmarkStart w:id="2" w:name="v325855_ex99-1.htm"/>
      <w:bookmarkStart w:id="3" w:name="ksv325855_ex991"/>
      <w:bookmarkEnd w:id="2"/>
      <w:bookmarkEnd w:id="3"/>
      <w:r>
        <w:rPr/>
        <w:t> </w:t>
      </w:r>
    </w:p>
    <w:tbl>
      <w:tblPr>
        <w:tblW w:w="10205" w:type="dxa"/>
        <w:jc w:val="left"/>
        <w:tblInd w:w="0" w:type="dxa"/>
        <w:tblCellMar>
          <w:top w:w="0" w:type="dxa"/>
          <w:left w:w="0" w:type="dxa"/>
          <w:bottom w:w="0" w:type="dxa"/>
          <w:right w:w="0" w:type="dxa"/>
        </w:tblCellMar>
      </w:tblPr>
      <w:tblGrid>
        <w:gridCol w:w="1500"/>
        <w:gridCol w:w="4794"/>
        <w:gridCol w:w="3911"/>
      </w:tblGrid>
      <w:tr>
        <w:trPr/>
        <w:tc>
          <w:tcPr>
            <w:tcW w:w="1500" w:type="dxa"/>
            <w:vMerge w:val="restart"/>
            <w:tcBorders/>
            <w:shd w:fill="auto" w:val="clear"/>
            <w:vAlign w:val="center"/>
          </w:tcPr>
          <w:p>
            <w:pPr>
              <w:pStyle w:val="TableContents"/>
              <w:spacing w:before="0" w:after="283"/>
              <w:rPr/>
            </w:pPr>
            <w:r>
              <w:rPr/>
              <w:drawing>
                <wp:inline distT="0" distB="0" distL="0" distR="0">
                  <wp:extent cx="942975" cy="5133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42975" cy="5133975"/>
                          </a:xfrm>
                          <a:prstGeom prst="rect">
                            <a:avLst/>
                          </a:prstGeom>
                        </pic:spPr>
                      </pic:pic>
                    </a:graphicData>
                  </a:graphic>
                </wp:inline>
              </w:drawing>
            </w:r>
          </w:p>
        </w:tc>
        <w:tc>
          <w:tcPr>
            <w:tcW w:w="4794" w:type="dxa"/>
            <w:tcBorders/>
            <w:shd w:fill="auto" w:val="clear"/>
            <w:vAlign w:val="center"/>
          </w:tcPr>
          <w:p>
            <w:pPr>
              <w:pStyle w:val="TableContents"/>
              <w:spacing w:before="0" w:after="283"/>
              <w:rPr/>
            </w:pPr>
            <w:r>
              <w:rPr/>
              <w:t> </w:t>
            </w:r>
          </w:p>
        </w:tc>
        <w:tc>
          <w:tcPr>
            <w:tcW w:w="3911" w:type="dxa"/>
            <w:tcBorders/>
            <w:shd w:fill="auto" w:val="clear"/>
            <w:vAlign w:val="center"/>
          </w:tcPr>
          <w:p>
            <w:pPr>
              <w:pStyle w:val="TableContents"/>
              <w:spacing w:before="0" w:after="283"/>
              <w:rPr/>
            </w:pPr>
            <w:r>
              <w:rPr/>
              <w:t> </w:t>
            </w:r>
          </w:p>
        </w:tc>
      </w:tr>
      <w:tr>
        <w:trPr/>
        <w:tc>
          <w:tcPr>
            <w:tcW w:w="1500" w:type="dxa"/>
            <w:vMerge w:val="continue"/>
            <w:tcBorders/>
            <w:shd w:fill="auto" w:val="clear"/>
            <w:vAlign w:val="center"/>
          </w:tcPr>
          <w:p>
            <w:pPr>
              <w:pStyle w:val="Normal"/>
              <w:rPr/>
            </w:pPr>
            <w:r>
              <w:rPr/>
            </w:r>
          </w:p>
        </w:tc>
        <w:tc>
          <w:tcPr>
            <w:tcW w:w="4794" w:type="dxa"/>
            <w:tcBorders/>
            <w:shd w:fill="auto" w:val="clear"/>
            <w:vAlign w:val="center"/>
          </w:tcPr>
          <w:p>
            <w:pPr>
              <w:pStyle w:val="TableContents"/>
              <w:spacing w:before="0" w:after="283"/>
              <w:rPr/>
            </w:pPr>
            <w:r>
              <w:rPr/>
              <w:t> </w:t>
            </w:r>
          </w:p>
        </w:tc>
        <w:tc>
          <w:tcPr>
            <w:tcW w:w="3911" w:type="dxa"/>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4794" w:type="dxa"/>
            <w:tcBorders>
              <w:bottom w:val="single" w:sz="8" w:space="0" w:color="000000"/>
            </w:tcBorders>
            <w:shd w:fill="auto" w:val="clear"/>
            <w:tcMar>
              <w:bottom w:w="28" w:type="dxa"/>
            </w:tcMar>
            <w:vAlign w:val="center"/>
          </w:tcPr>
          <w:p>
            <w:pPr>
              <w:pStyle w:val="TableContents"/>
              <w:spacing w:before="0" w:after="283"/>
              <w:rPr>
                <w:b/>
                <w:color w:val="0000FF"/>
              </w:rPr>
            </w:pPr>
            <w:r>
              <w:rPr>
                <w:b/>
                <w:color w:val="0000FF"/>
              </w:rPr>
              <w:t>News Release</w:t>
            </w:r>
          </w:p>
        </w:tc>
        <w:tc>
          <w:tcPr>
            <w:tcW w:w="3911" w:type="dxa"/>
            <w:tcBorders>
              <w:bottom w:val="single" w:sz="8" w:space="0" w:color="000000"/>
            </w:tcBorders>
            <w:shd w:fill="auto" w:val="clear"/>
            <w:tcMar>
              <w:bottom w:w="28" w:type="dxa"/>
            </w:tcMar>
            <w:vAlign w:val="center"/>
          </w:tcPr>
          <w:p>
            <w:pPr>
              <w:pStyle w:val="TableContents"/>
              <w:spacing w:before="0" w:after="283"/>
              <w:jc w:val="right"/>
              <w:rPr>
                <w:b/>
              </w:rPr>
            </w:pPr>
            <w:r>
              <w:rPr>
                <w:b/>
              </w:rPr>
              <w:t>Exhibit 99.1</w:t>
            </w:r>
          </w:p>
        </w:tc>
      </w:tr>
      <w:tr>
        <w:trPr/>
        <w:tc>
          <w:tcPr>
            <w:tcW w:w="1500" w:type="dxa"/>
            <w:vMerge w:val="continue"/>
            <w:tcBorders/>
            <w:shd w:fill="auto" w:val="clear"/>
            <w:vAlign w:val="center"/>
          </w:tcPr>
          <w:p>
            <w:pPr>
              <w:pStyle w:val="Normal"/>
              <w:rPr/>
            </w:pPr>
            <w:r>
              <w:rPr/>
            </w:r>
          </w:p>
        </w:tc>
        <w:tc>
          <w:tcPr>
            <w:tcW w:w="4794" w:type="dxa"/>
            <w:tcBorders/>
            <w:shd w:fill="auto" w:val="clear"/>
            <w:vAlign w:val="center"/>
          </w:tcPr>
          <w:p>
            <w:pPr>
              <w:pStyle w:val="TableContents"/>
              <w:spacing w:before="0" w:after="283"/>
              <w:jc w:val="center"/>
              <w:rPr/>
            </w:pPr>
            <w:r>
              <w:rPr/>
              <w:t> </w:t>
            </w:r>
          </w:p>
        </w:tc>
        <w:tc>
          <w:tcPr>
            <w:tcW w:w="3911" w:type="dxa"/>
            <w:tcBorders/>
            <w:shd w:fill="auto" w:val="clear"/>
            <w:vAlign w:val="center"/>
          </w:tcPr>
          <w:p>
            <w:pPr>
              <w:pStyle w:val="TableContents"/>
              <w:spacing w:before="0" w:after="283"/>
              <w:ind w:left="0" w:right="0" w:firstLine="173"/>
              <w:jc w:val="center"/>
              <w:rPr/>
            </w:pPr>
            <w:r>
              <w:rPr/>
              <w:t> </w:t>
            </w:r>
          </w:p>
        </w:tc>
      </w:tr>
      <w:tr>
        <w:trPr/>
        <w:tc>
          <w:tcPr>
            <w:tcW w:w="1500" w:type="dxa"/>
            <w:vMerge w:val="continue"/>
            <w:tcBorders/>
            <w:shd w:fill="auto" w:val="clear"/>
            <w:vAlign w:val="center"/>
          </w:tcPr>
          <w:p>
            <w:pPr>
              <w:pStyle w:val="Normal"/>
              <w:rPr/>
            </w:pPr>
            <w:r>
              <w:rPr/>
            </w:r>
          </w:p>
        </w:tc>
        <w:tc>
          <w:tcPr>
            <w:tcW w:w="4794" w:type="dxa"/>
            <w:tcBorders/>
            <w:shd w:fill="auto" w:val="clear"/>
            <w:vAlign w:val="center"/>
          </w:tcPr>
          <w:p>
            <w:pPr>
              <w:pStyle w:val="TableContents"/>
              <w:spacing w:before="0" w:after="283"/>
              <w:rPr>
                <w:b/>
                <w:sz w:val="17"/>
              </w:rPr>
            </w:pPr>
            <w:r>
              <w:rPr>
                <w:b/>
                <w:sz w:val="17"/>
              </w:rPr>
              <w:t>News Announcement</w:t>
            </w:r>
          </w:p>
        </w:tc>
        <w:tc>
          <w:tcPr>
            <w:tcW w:w="3911" w:type="dxa"/>
            <w:tcBorders/>
            <w:shd w:fill="auto" w:val="clear"/>
            <w:vAlign w:val="center"/>
          </w:tcPr>
          <w:p>
            <w:pPr>
              <w:pStyle w:val="TableContents"/>
              <w:spacing w:before="0" w:after="28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sz w:val="17"/>
              </w:rPr>
            </w:pPr>
            <w:r>
              <w:rPr>
                <w:sz w:val="17"/>
              </w:rPr>
              <w:t>CONTACT</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sz w:val="17"/>
              </w:rPr>
            </w:pPr>
            <w:r>
              <w:rPr>
                <w:sz w:val="17"/>
              </w:rPr>
              <w:t>Ronda J. Williams, Investor Relations</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sz w:val="17"/>
              </w:rPr>
            </w:pPr>
            <w:r>
              <w:rPr>
                <w:sz w:val="17"/>
              </w:rPr>
              <w:t>Oil-Dri Corporation of America</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rPr>
                <w:sz w:val="17"/>
              </w:rPr>
            </w:pPr>
            <w:r>
              <w:rPr>
                <w:sz w:val="17"/>
              </w:rPr>
              <w:t>312/706-3232; ronda.williams@oildri.com</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jc w:val="center"/>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jc w:val="center"/>
              <w:rPr>
                <w:b/>
                <w:sz w:val="17"/>
              </w:rPr>
            </w:pPr>
            <w:r>
              <w:rPr>
                <w:b/>
                <w:sz w:val="17"/>
              </w:rPr>
              <w:t>Oil-Dri Board of Directors Declares Dividends</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jc w:val="center"/>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rPr>
                <w:sz w:val="17"/>
              </w:rPr>
            </w:pPr>
            <w:r>
              <w:rPr>
                <w:sz w:val="17"/>
              </w:rPr>
              <w:t>CHICAGO, IL - (October 16, 2012) - The Board of Directors of Oil-Dri Corporation of America (NYSE: ODC) today declared quarterly cash dividends of $0.18 per share of Common Stock and $0.135 per share of Class B Stock.</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rPr>
                <w:sz w:val="17"/>
              </w:rPr>
            </w:pPr>
            <w:r>
              <w:rPr>
                <w:sz w:val="17"/>
              </w:rPr>
              <w:t>The dividends will be payable on November 30, 2012, to stockholders of record at the close of business on November 16, 2012. The Company has paid cash dividends continuously since 1974 and has increased dividends annually for nine consecutive years.</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smallCaps/>
              </w:rPr>
            </w:pPr>
            <w:r>
              <w:rPr>
                <w:smallCaps/>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jc w:val="center"/>
              <w:rPr>
                <w:b/>
                <w:smallCaps/>
                <w:sz w:val="17"/>
              </w:rPr>
            </w:pPr>
            <w:r>
              <w:rPr>
                <w:b/>
                <w:smallCaps/>
                <w:sz w:val="17"/>
              </w:rPr>
              <w:t>###</w:t>
            </w:r>
          </w:p>
        </w:tc>
      </w:tr>
      <w:tr>
        <w:trPr/>
        <w:tc>
          <w:tcPr>
            <w:tcW w:w="1500" w:type="dxa"/>
            <w:vMerge w:val="continue"/>
            <w:tcBorders/>
            <w:shd w:fill="auto" w:val="clear"/>
            <w:vAlign w:val="center"/>
          </w:tcPr>
          <w:p>
            <w:pPr>
              <w:pStyle w:val="Normal"/>
              <w:rPr/>
            </w:pPr>
            <w:r>
              <w:rPr/>
            </w:r>
          </w:p>
        </w:tc>
        <w:tc>
          <w:tcPr>
            <w:tcW w:w="8705" w:type="dxa"/>
            <w:gridSpan w:val="2"/>
            <w:tcBorders>
              <w:bottom w:val="double" w:sz="8" w:space="0" w:color="000000"/>
            </w:tcBorders>
            <w:shd w:fill="auto" w:val="clear"/>
            <w:tcMar>
              <w:bottom w:w="28" w:type="dxa"/>
            </w:tcMar>
            <w:vAlign w:val="center"/>
          </w:tcPr>
          <w:p>
            <w:pPr>
              <w:pStyle w:val="TableContents"/>
              <w:spacing w:before="0" w:after="28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i/>
                <w:sz w:val="17"/>
              </w:rPr>
            </w:pPr>
            <w:r>
              <w:rPr>
                <w:i/>
                <w:sz w:val="17"/>
              </w:rPr>
              <w:t>Oil-Dri Corporation of America is a leading supplier of specialty sorbent products for industrial, automotive, agricultural, horticultural and specialty markets and the world's largest manufacturer of cat litter.</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rPr/>
            </w:pPr>
            <w:r>
              <w:rPr/>
              <w:t> </w:t>
            </w:r>
          </w:p>
        </w:tc>
      </w:tr>
    </w:tbl>
    <w:p>
      <w:pPr>
        <w:pStyle w:val="TextBody"/>
        <w:spacing w:before="0" w:after="0"/>
        <w:ind w:left="171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171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489</Words>
  <CharactersWithSpaces>3363</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