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tabs>
          <w:tab w:leader="none" w:pos="35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June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17145</wp:posOffset>
            </wp:positionV>
            <wp:extent cx="50768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001-12622</w:t>
            </w:r>
          </w:p>
        </w:tc>
        <w:tc>
          <w:tcPr>
            <w:tcW w:w="40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36-2048898</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720" w:type="dxa"/>
            <w:vAlign w:val="bottom"/>
          </w:tcPr>
          <w:p>
            <w:pPr>
              <w:jc w:val="center"/>
              <w:ind w:left="210"/>
              <w:spacing w:after="0"/>
              <w:rPr>
                <w:sz w:val="20"/>
                <w:szCs w:val="20"/>
                <w:color w:val="auto"/>
              </w:rPr>
            </w:pPr>
            <w:r>
              <w:rPr>
                <w:rFonts w:ascii="Arial" w:cs="Arial" w:eastAsia="Arial" w:hAnsi="Arial"/>
                <w:sz w:val="18"/>
                <w:szCs w:val="18"/>
                <w:color w:val="auto"/>
                <w:w w:val="92"/>
              </w:rPr>
              <w:t>(Commission File Number)</w:t>
            </w:r>
          </w:p>
        </w:tc>
        <w:tc>
          <w:tcPr>
            <w:tcW w:w="4000" w:type="dxa"/>
            <w:vAlign w:val="bottom"/>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616"/>
        </w:trPr>
        <w:tc>
          <w:tcPr>
            <w:tcW w:w="742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410 North Michigan Avenue</w:t>
            </w:r>
          </w:p>
        </w:tc>
        <w:tc>
          <w:tcPr>
            <w:tcW w:w="4000" w:type="dxa"/>
            <w:vAlign w:val="bottom"/>
          </w:tcPr>
          <w:p>
            <w:pPr>
              <w:spacing w:after="0"/>
              <w:rPr>
                <w:sz w:val="24"/>
                <w:szCs w:val="24"/>
                <w:color w:val="auto"/>
              </w:rPr>
            </w:pPr>
          </w:p>
        </w:tc>
      </w:tr>
      <w:tr>
        <w:trPr>
          <w:trHeight w:val="216"/>
        </w:trPr>
        <w:tc>
          <w:tcPr>
            <w:tcW w:w="3700" w:type="dxa"/>
            <w:vAlign w:val="bottom"/>
          </w:tcPr>
          <w:p>
            <w:pPr>
              <w:jc w:val="center"/>
              <w:ind w:left="1950"/>
              <w:spacing w:after="0"/>
              <w:rPr>
                <w:sz w:val="20"/>
                <w:szCs w:val="20"/>
                <w:color w:val="auto"/>
              </w:rPr>
            </w:pPr>
            <w:r>
              <w:rPr>
                <w:rFonts w:ascii="Arial" w:cs="Arial" w:eastAsia="Arial" w:hAnsi="Arial"/>
                <w:sz w:val="18"/>
                <w:szCs w:val="18"/>
                <w:b w:val="1"/>
                <w:bCs w:val="1"/>
                <w:color w:val="auto"/>
                <w:w w:val="88"/>
              </w:rPr>
              <w:t>Suite 400</w:t>
            </w:r>
          </w:p>
        </w:tc>
        <w:tc>
          <w:tcPr>
            <w:tcW w:w="372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34"/>
        </w:trPr>
        <w:tc>
          <w:tcPr>
            <w:tcW w:w="370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b w:val="1"/>
                <w:bCs w:val="1"/>
                <w:color w:val="auto"/>
                <w:w w:val="89"/>
              </w:rPr>
              <w:t>Chicago, Illinois</w:t>
            </w:r>
          </w:p>
        </w:tc>
        <w:tc>
          <w:tcPr>
            <w:tcW w:w="37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7420" w:type="dxa"/>
            <w:vAlign w:val="bottom"/>
            <w:gridSpan w:val="2"/>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right="1610"/>
              <w:spacing w:after="0"/>
              <w:rPr>
                <w:sz w:val="20"/>
                <w:szCs w:val="20"/>
                <w:color w:val="auto"/>
              </w:rPr>
            </w:pPr>
            <w:r>
              <w:rPr>
                <w:rFonts w:ascii="Arial" w:cs="Arial" w:eastAsia="Arial" w:hAnsi="Arial"/>
                <w:sz w:val="18"/>
                <w:szCs w:val="18"/>
                <w:color w:val="auto"/>
                <w:w w:val="91"/>
              </w:rPr>
              <w:t>(Zip Code)</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w w:val="89"/>
              </w:rPr>
              <w:t>Registrant’s telephone number, including area code</w:t>
            </w:r>
          </w:p>
        </w:tc>
        <w:tc>
          <w:tcPr>
            <w:tcW w:w="372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(312) 321-1515</w:t>
            </w:r>
          </w:p>
        </w:tc>
        <w:tc>
          <w:tcPr>
            <w:tcW w:w="400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7, 2013, Oil-Dri Corporation of America (the “Registrant”) issued a press release announcing its results of operations for its third quarter ended April 30, 2013.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pacing w:after="0" w:line="4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30"/>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99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Description of Exhibits</w:t>
            </w: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Press Release dated June 7, 2013 (Quarterly Earnings)</w:t>
            </w:r>
          </w:p>
        </w:tc>
      </w:tr>
      <w:tr>
        <w:trPr>
          <w:trHeight w:val="1513"/>
        </w:trPr>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Douglas A. Graham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904"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54"/>
        </w:trPr>
        <w:tc>
          <w:tcPr>
            <w:tcW w:w="1520" w:type="dxa"/>
            <w:vAlign w:val="bottom"/>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00" w:type="dxa"/>
            <w:vAlign w:val="bottom"/>
          </w:tcPr>
          <w:p>
            <w:pPr>
              <w:spacing w:after="0"/>
              <w:rPr>
                <w:sz w:val="20"/>
                <w:szCs w:val="20"/>
                <w:color w:val="auto"/>
              </w:rPr>
            </w:pPr>
          </w:p>
        </w:tc>
        <w:tc>
          <w:tcPr>
            <w:tcW w:w="970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color w:val="auto"/>
              </w:rPr>
              <w:t>Description of Exhibits</w:t>
            </w:r>
          </w:p>
        </w:tc>
      </w:tr>
      <w:tr>
        <w:trPr>
          <w:trHeight w:val="426"/>
        </w:trPr>
        <w:tc>
          <w:tcPr>
            <w:tcW w:w="1520" w:type="dxa"/>
            <w:vAlign w:val="bottom"/>
          </w:tcPr>
          <w:p>
            <w:pPr>
              <w:spacing w:after="0"/>
              <w:rPr>
                <w:sz w:val="20"/>
                <w:szCs w:val="20"/>
                <w:color w:val="auto"/>
              </w:rPr>
            </w:pPr>
            <w:r>
              <w:rPr>
                <w:rFonts w:ascii="Arial" w:cs="Arial" w:eastAsia="Arial" w:hAnsi="Arial"/>
                <w:sz w:val="18"/>
                <w:szCs w:val="18"/>
                <w:color w:val="auto"/>
              </w:rPr>
              <w:t>99.1</w:t>
            </w:r>
          </w:p>
        </w:tc>
        <w:tc>
          <w:tcPr>
            <w:tcW w:w="9900" w:type="dxa"/>
            <w:vAlign w:val="bottom"/>
            <w:gridSpan w:val="4"/>
          </w:tcPr>
          <w:p>
            <w:pPr>
              <w:ind w:left="200"/>
              <w:spacing w:after="0"/>
              <w:rPr>
                <w:sz w:val="20"/>
                <w:szCs w:val="20"/>
                <w:color w:val="auto"/>
              </w:rPr>
            </w:pPr>
            <w:r>
              <w:rPr>
                <w:rFonts w:ascii="Arial" w:cs="Arial" w:eastAsia="Arial" w:hAnsi="Arial"/>
                <w:sz w:val="18"/>
                <w:szCs w:val="18"/>
                <w:color w:val="auto"/>
              </w:rPr>
              <w:t>Press Release dated June 7, 2013 (Quarterly Earnings)</w:t>
            </w:r>
          </w:p>
        </w:tc>
      </w:tr>
      <w:tr>
        <w:trPr>
          <w:trHeight w:val="1080"/>
        </w:trPr>
        <w:tc>
          <w:tcPr>
            <w:tcW w:w="1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4"/>
          <w:szCs w:val="14"/>
          <w:color w:val="002D69"/>
        </w:rPr>
        <w:drawing>
          <wp:anchor simplePos="0" relativeHeight="251657728" behindDoc="1" locked="0" layoutInCell="0" allowOverlap="1">
            <wp:simplePos x="0" y="0"/>
            <wp:positionH relativeFrom="page">
              <wp:posOffset>3107690</wp:posOffset>
            </wp:positionH>
            <wp:positionV relativeFrom="page">
              <wp:posOffset>226060</wp:posOffset>
            </wp:positionV>
            <wp:extent cx="1346200"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t>410 N. Michigan Ave. Chicago, Illinois 60611, U.S.A</w:t>
      </w:r>
    </w:p>
    <w:p>
      <w:pPr>
        <w:spacing w:after="0" w:line="20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002D69"/>
        </w:rPr>
        <w:t>News Announcement</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4"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Oil-Dri Announces Record Net Sales for the Third Quarter and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Record Net Sales and Earnings for the Nine-Month Period</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CHICAGO—(June 7, 2013)—Oil-Dri Corporation of America (NYSE: ODC) today announced net sales of $64,152,000 for the third quarter ended April 30, 2013, a 7% increase compared with net sales of $59,780,000 in the same quarter one year ago. Net income for the third quarter was $3,251,000, or $0.46 per diluted share, up 77% from net income of $1,892,000, or $0.26 per diluted share, for the same quarter one year ago.</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for the nine-month period were $186,691,000, a 4% increase compared with net sales of $179,565,000 in the same period one year ago. Net income for the nine-month period was $9,849,000, or $1.40 per diluted share, up 63% from net income of $6,206,000, or $0.86 per diluted share, in the same period one year ago.</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 Review</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President and Chief Executive Officer Daniel S. Jaffee said, “We are pleased to report record net sales for the third quarter and nine-month periods as well as a strong increase in earnings for both periods. Business in both the Retail and Wholesale and Business to Business segments was strong for the quarter. Despite the overall increase to the cost of freight, both operating segments increased income. Our profit margins have expanded and our balance sheet remains healthy. The Business to Business segment’s positive quarterly results were led by sales of fluids purification and animal health products. In the Retail and Wholesale segment, net sales of our cat litter products increased in the quarter and we continue to be enthusiastic about Cat’s Pride Fresh &amp; Light and its growing popularity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713105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002D69"/>
        </w:rPr>
        <w:t>Investor Relations Contact</w:t>
      </w:r>
    </w:p>
    <w:p>
      <w:pPr>
        <w:jc w:val="center"/>
        <w:ind w:right="-79"/>
        <w:spacing w:after="0" w:line="221" w:lineRule="auto"/>
        <w:rPr>
          <w:sz w:val="20"/>
          <w:szCs w:val="20"/>
          <w:color w:val="auto"/>
        </w:rPr>
      </w:pPr>
      <w:r>
        <w:rPr>
          <w:rFonts w:ascii="Arial" w:cs="Arial" w:eastAsia="Arial" w:hAnsi="Arial"/>
          <w:sz w:val="14"/>
          <w:szCs w:val="14"/>
          <w:color w:val="002D69"/>
        </w:rPr>
        <w:t>Reagan Culbertson</w:t>
      </w:r>
    </w:p>
    <w:p>
      <w:pPr>
        <w:jc w:val="center"/>
        <w:ind w:right="-79"/>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69"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970280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448945</wp:posOffset>
            </wp:positionV>
            <wp:extent cx="134620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Review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Business to Business Products</w:t>
            </w:r>
          </w:p>
        </w:tc>
        <w:tc>
          <w:tcPr>
            <w:tcW w:w="5640" w:type="dxa"/>
            <w:vAlign w:val="bottom"/>
            <w:tcBorders>
              <w:top w:val="single" w:sz="8" w:color="auto"/>
              <w:bottom w:val="single" w:sz="8" w:color="auto"/>
            </w:tcBorders>
            <w:gridSpan w:val="2"/>
          </w:tcPr>
          <w:p>
            <w:pPr>
              <w:jc w:val="right"/>
              <w:ind w:right="1670"/>
              <w:spacing w:after="0"/>
              <w:rPr>
                <w:sz w:val="20"/>
                <w:szCs w:val="20"/>
                <w:color w:val="auto"/>
              </w:rPr>
            </w:pPr>
            <w:r>
              <w:rPr>
                <w:rFonts w:ascii="Arial" w:cs="Arial" w:eastAsia="Arial" w:hAnsi="Arial"/>
                <w:sz w:val="18"/>
                <w:szCs w:val="18"/>
                <w:b w:val="1"/>
                <w:bCs w:val="1"/>
                <w:color w:val="auto"/>
              </w:rPr>
              <w:t>Third Quarter Ended April 30,</w:t>
            </w:r>
          </w:p>
        </w:tc>
        <w:tc>
          <w:tcPr>
            <w:tcW w:w="24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380" w:type="dxa"/>
            <w:vAlign w:val="bottom"/>
            <w:shd w:val="clear" w:color="auto" w:fill="C0C0C0"/>
          </w:tcPr>
          <w:p>
            <w:pPr>
              <w:spacing w:after="0"/>
              <w:rPr>
                <w:sz w:val="18"/>
                <w:szCs w:val="18"/>
                <w:color w:val="auto"/>
              </w:rPr>
            </w:pPr>
          </w:p>
        </w:tc>
        <w:tc>
          <w:tcPr>
            <w:tcW w:w="2680" w:type="dxa"/>
            <w:vAlign w:val="bottom"/>
            <w:shd w:val="clear" w:color="auto" w:fill="C0C0C0"/>
          </w:tcPr>
          <w:p>
            <w:pPr>
              <w:jc w:val="right"/>
              <w:ind w:right="1030"/>
              <w:spacing w:after="0"/>
              <w:rPr>
                <w:sz w:val="20"/>
                <w:szCs w:val="20"/>
                <w:color w:val="auto"/>
              </w:rPr>
            </w:pPr>
            <w:r>
              <w:rPr>
                <w:rFonts w:ascii="Arial" w:cs="Arial" w:eastAsia="Arial" w:hAnsi="Arial"/>
                <w:sz w:val="18"/>
                <w:szCs w:val="18"/>
                <w:b w:val="1"/>
                <w:bCs w:val="1"/>
                <w:color w:val="auto"/>
              </w:rPr>
              <w:t>Fiscal 2013</w:t>
            </w:r>
          </w:p>
        </w:tc>
        <w:tc>
          <w:tcPr>
            <w:tcW w:w="2960" w:type="dxa"/>
            <w:vAlign w:val="bottom"/>
            <w:shd w:val="clear" w:color="auto" w:fill="C0C0C0"/>
          </w:tcPr>
          <w:p>
            <w:pPr>
              <w:jc w:val="right"/>
              <w:ind w:right="910"/>
              <w:spacing w:after="0"/>
              <w:rPr>
                <w:sz w:val="20"/>
                <w:szCs w:val="20"/>
                <w:color w:val="auto"/>
              </w:rPr>
            </w:pPr>
            <w:r>
              <w:rPr>
                <w:rFonts w:ascii="Arial" w:cs="Arial" w:eastAsia="Arial" w:hAnsi="Arial"/>
                <w:sz w:val="18"/>
                <w:szCs w:val="18"/>
                <w:b w:val="1"/>
                <w:bCs w:val="1"/>
                <w:color w:val="auto"/>
              </w:rPr>
              <w:t>Fiscal 2012</w:t>
            </w:r>
          </w:p>
        </w:tc>
        <w:tc>
          <w:tcPr>
            <w:tcW w:w="2400" w:type="dxa"/>
            <w:vAlign w:val="bottom"/>
            <w:shd w:val="clear" w:color="auto" w:fill="C0C0C0"/>
          </w:tcPr>
          <w:p>
            <w:pPr>
              <w:spacing w:after="0"/>
              <w:rPr>
                <w:sz w:val="18"/>
                <w:szCs w:val="18"/>
                <w:color w:val="auto"/>
              </w:rPr>
            </w:pPr>
          </w:p>
        </w:tc>
      </w:tr>
      <w:tr>
        <w:trPr>
          <w:trHeight w:val="216"/>
        </w:trPr>
        <w:tc>
          <w:tcPr>
            <w:tcW w:w="338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Net Sales</w:t>
            </w:r>
          </w:p>
        </w:tc>
        <w:tc>
          <w:tcPr>
            <w:tcW w:w="2680" w:type="dxa"/>
            <w:vAlign w:val="bottom"/>
          </w:tcPr>
          <w:p>
            <w:pPr>
              <w:jc w:val="right"/>
              <w:ind w:right="1010"/>
              <w:spacing w:after="0"/>
              <w:rPr>
                <w:sz w:val="20"/>
                <w:szCs w:val="20"/>
                <w:color w:val="auto"/>
              </w:rPr>
            </w:pPr>
            <w:r>
              <w:rPr>
                <w:rFonts w:ascii="Arial" w:cs="Arial" w:eastAsia="Arial" w:hAnsi="Arial"/>
                <w:sz w:val="18"/>
                <w:szCs w:val="18"/>
                <w:color w:val="auto"/>
              </w:rPr>
              <w:t>$24,525,000</w:t>
            </w:r>
          </w:p>
        </w:tc>
        <w:tc>
          <w:tcPr>
            <w:tcW w:w="2960" w:type="dxa"/>
            <w:vAlign w:val="bottom"/>
          </w:tcPr>
          <w:p>
            <w:pPr>
              <w:jc w:val="right"/>
              <w:ind w:right="890"/>
              <w:spacing w:after="0"/>
              <w:rPr>
                <w:sz w:val="20"/>
                <w:szCs w:val="20"/>
                <w:color w:val="auto"/>
              </w:rPr>
            </w:pPr>
            <w:r>
              <w:rPr>
                <w:rFonts w:ascii="Arial" w:cs="Arial" w:eastAsia="Arial" w:hAnsi="Arial"/>
                <w:sz w:val="18"/>
                <w:szCs w:val="18"/>
                <w:color w:val="auto"/>
              </w:rPr>
              <w:t>$21,930,000</w:t>
            </w:r>
          </w:p>
        </w:tc>
        <w:tc>
          <w:tcPr>
            <w:tcW w:w="2400" w:type="dxa"/>
            <w:vAlign w:val="bottom"/>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16"/>
        </w:trPr>
        <w:tc>
          <w:tcPr>
            <w:tcW w:w="3380" w:type="dxa"/>
            <w:vAlign w:val="bottom"/>
            <w:tcBorders>
              <w:bottom w:val="single" w:sz="8" w:color="auto"/>
            </w:tcBorders>
            <w:shd w:val="clear" w:color="auto" w:fill="C0C0C0"/>
          </w:tcPr>
          <w:p>
            <w:pPr>
              <w:jc w:val="center"/>
              <w:ind w:right="290"/>
              <w:spacing w:after="0"/>
              <w:rPr>
                <w:sz w:val="20"/>
                <w:szCs w:val="20"/>
                <w:color w:val="auto"/>
              </w:rPr>
            </w:pPr>
            <w:r>
              <w:rPr>
                <w:rFonts w:ascii="Arial" w:cs="Arial" w:eastAsia="Arial" w:hAnsi="Arial"/>
                <w:sz w:val="18"/>
                <w:szCs w:val="18"/>
                <w:b w:val="1"/>
                <w:bCs w:val="1"/>
                <w:color w:val="auto"/>
                <w:w w:val="88"/>
              </w:rPr>
              <w:t>Segment Income</w:t>
            </w:r>
          </w:p>
        </w:tc>
        <w:tc>
          <w:tcPr>
            <w:tcW w:w="2680" w:type="dxa"/>
            <w:vAlign w:val="bottom"/>
            <w:tcBorders>
              <w:bottom w:val="single" w:sz="8" w:color="auto"/>
            </w:tcBorders>
            <w:shd w:val="clear" w:color="auto" w:fill="C0C0C0"/>
          </w:tcPr>
          <w:p>
            <w:pPr>
              <w:jc w:val="right"/>
              <w:ind w:right="1010"/>
              <w:spacing w:after="0"/>
              <w:rPr>
                <w:sz w:val="20"/>
                <w:szCs w:val="20"/>
                <w:color w:val="auto"/>
              </w:rPr>
            </w:pPr>
            <w:r>
              <w:rPr>
                <w:rFonts w:ascii="Arial" w:cs="Arial" w:eastAsia="Arial" w:hAnsi="Arial"/>
                <w:sz w:val="18"/>
                <w:szCs w:val="18"/>
                <w:color w:val="auto"/>
              </w:rPr>
              <w:t>$7,957,000</w:t>
            </w:r>
          </w:p>
        </w:tc>
        <w:tc>
          <w:tcPr>
            <w:tcW w:w="2960" w:type="dxa"/>
            <w:vAlign w:val="bottom"/>
            <w:tcBorders>
              <w:bottom w:val="single" w:sz="8" w:color="auto"/>
            </w:tcBorders>
            <w:shd w:val="clear" w:color="auto" w:fill="C0C0C0"/>
          </w:tcPr>
          <w:p>
            <w:pPr>
              <w:jc w:val="right"/>
              <w:ind w:right="890"/>
              <w:spacing w:after="0"/>
              <w:rPr>
                <w:sz w:val="20"/>
                <w:szCs w:val="20"/>
                <w:color w:val="auto"/>
              </w:rPr>
            </w:pPr>
            <w:r>
              <w:rPr>
                <w:rFonts w:ascii="Arial" w:cs="Arial" w:eastAsia="Arial" w:hAnsi="Arial"/>
                <w:sz w:val="18"/>
                <w:szCs w:val="18"/>
                <w:color w:val="auto"/>
              </w:rPr>
              <w:t>$7,051,000</w:t>
            </w:r>
          </w:p>
        </w:tc>
        <w:tc>
          <w:tcPr>
            <w:tcW w:w="2400" w:type="dxa"/>
            <w:vAlign w:val="bottom"/>
            <w:tcBorders>
              <w:bottom w:val="single" w:sz="8" w:color="auto"/>
            </w:tcBorders>
            <w:shd w:val="clear" w:color="auto" w:fill="C0C0C0"/>
          </w:tcPr>
          <w:p>
            <w:pPr>
              <w:jc w:val="center"/>
              <w:ind w:left="30"/>
              <w:spacing w:after="0"/>
              <w:rPr>
                <w:sz w:val="20"/>
                <w:szCs w:val="20"/>
                <w:color w:val="auto"/>
              </w:rPr>
            </w:pPr>
            <w:r>
              <w:rPr>
                <w:rFonts w:ascii="Arial" w:cs="Arial" w:eastAsia="Arial" w:hAnsi="Arial"/>
                <w:sz w:val="18"/>
                <w:szCs w:val="18"/>
                <w:color w:val="auto"/>
                <w:w w:val="88"/>
              </w:rPr>
              <w:t>13%</w:t>
            </w:r>
          </w:p>
        </w:tc>
      </w:tr>
      <w:tr>
        <w:trPr>
          <w:trHeight w:val="426"/>
        </w:trPr>
        <w:tc>
          <w:tcPr>
            <w:tcW w:w="3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10"/>
        </w:trPr>
        <w:tc>
          <w:tcPr>
            <w:tcW w:w="33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5"/>
              </w:rPr>
              <w:t>Business to Business Products</w:t>
            </w:r>
          </w:p>
        </w:tc>
        <w:tc>
          <w:tcPr>
            <w:tcW w:w="5640" w:type="dxa"/>
            <w:vAlign w:val="bottom"/>
            <w:tcBorders>
              <w:bottom w:val="single" w:sz="8" w:color="auto"/>
            </w:tcBorders>
            <w:gridSpan w:val="2"/>
          </w:tcPr>
          <w:p>
            <w:pPr>
              <w:jc w:val="right"/>
              <w:ind w:right="1730"/>
              <w:spacing w:after="0"/>
              <w:rPr>
                <w:sz w:val="20"/>
                <w:szCs w:val="20"/>
                <w:color w:val="auto"/>
              </w:rPr>
            </w:pPr>
            <w:r>
              <w:rPr>
                <w:rFonts w:ascii="Arial" w:cs="Arial" w:eastAsia="Arial" w:hAnsi="Arial"/>
                <w:sz w:val="18"/>
                <w:szCs w:val="18"/>
                <w:b w:val="1"/>
                <w:bCs w:val="1"/>
                <w:color w:val="auto"/>
              </w:rPr>
              <w:t>Nine Months Ended April 30,</w:t>
            </w:r>
          </w:p>
        </w:tc>
        <w:tc>
          <w:tcPr>
            <w:tcW w:w="24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380" w:type="dxa"/>
            <w:vAlign w:val="bottom"/>
            <w:shd w:val="clear" w:color="auto" w:fill="C0C0C0"/>
          </w:tcPr>
          <w:p>
            <w:pPr>
              <w:spacing w:after="0"/>
              <w:rPr>
                <w:sz w:val="18"/>
                <w:szCs w:val="18"/>
                <w:color w:val="auto"/>
              </w:rPr>
            </w:pPr>
          </w:p>
        </w:tc>
        <w:tc>
          <w:tcPr>
            <w:tcW w:w="2680" w:type="dxa"/>
            <w:vAlign w:val="bottom"/>
            <w:shd w:val="clear" w:color="auto" w:fill="C0C0C0"/>
          </w:tcPr>
          <w:p>
            <w:pPr>
              <w:jc w:val="right"/>
              <w:ind w:right="1030"/>
              <w:spacing w:after="0"/>
              <w:rPr>
                <w:sz w:val="20"/>
                <w:szCs w:val="20"/>
                <w:color w:val="auto"/>
              </w:rPr>
            </w:pPr>
            <w:r>
              <w:rPr>
                <w:rFonts w:ascii="Arial" w:cs="Arial" w:eastAsia="Arial" w:hAnsi="Arial"/>
                <w:sz w:val="18"/>
                <w:szCs w:val="18"/>
                <w:b w:val="1"/>
                <w:bCs w:val="1"/>
                <w:color w:val="auto"/>
              </w:rPr>
              <w:t>Fiscal 2013</w:t>
            </w:r>
          </w:p>
        </w:tc>
        <w:tc>
          <w:tcPr>
            <w:tcW w:w="2960" w:type="dxa"/>
            <w:vAlign w:val="bottom"/>
            <w:shd w:val="clear" w:color="auto" w:fill="C0C0C0"/>
          </w:tcPr>
          <w:p>
            <w:pPr>
              <w:jc w:val="right"/>
              <w:ind w:right="910"/>
              <w:spacing w:after="0"/>
              <w:rPr>
                <w:sz w:val="20"/>
                <w:szCs w:val="20"/>
                <w:color w:val="auto"/>
              </w:rPr>
            </w:pPr>
            <w:r>
              <w:rPr>
                <w:rFonts w:ascii="Arial" w:cs="Arial" w:eastAsia="Arial" w:hAnsi="Arial"/>
                <w:sz w:val="18"/>
                <w:szCs w:val="18"/>
                <w:b w:val="1"/>
                <w:bCs w:val="1"/>
                <w:color w:val="auto"/>
              </w:rPr>
              <w:t>Fiscal 2012</w:t>
            </w:r>
          </w:p>
        </w:tc>
        <w:tc>
          <w:tcPr>
            <w:tcW w:w="2400" w:type="dxa"/>
            <w:vAlign w:val="bottom"/>
            <w:shd w:val="clear" w:color="auto" w:fill="C0C0C0"/>
          </w:tcPr>
          <w:p>
            <w:pPr>
              <w:spacing w:after="0"/>
              <w:rPr>
                <w:sz w:val="18"/>
                <w:szCs w:val="18"/>
                <w:color w:val="auto"/>
              </w:rPr>
            </w:pPr>
          </w:p>
        </w:tc>
      </w:tr>
      <w:tr>
        <w:trPr>
          <w:trHeight w:val="216"/>
        </w:trPr>
        <w:tc>
          <w:tcPr>
            <w:tcW w:w="338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Net Sales</w:t>
            </w:r>
          </w:p>
        </w:tc>
        <w:tc>
          <w:tcPr>
            <w:tcW w:w="2680" w:type="dxa"/>
            <w:vAlign w:val="bottom"/>
          </w:tcPr>
          <w:p>
            <w:pPr>
              <w:jc w:val="right"/>
              <w:ind w:right="1010"/>
              <w:spacing w:after="0"/>
              <w:rPr>
                <w:sz w:val="20"/>
                <w:szCs w:val="20"/>
                <w:color w:val="auto"/>
              </w:rPr>
            </w:pPr>
            <w:r>
              <w:rPr>
                <w:rFonts w:ascii="Arial" w:cs="Arial" w:eastAsia="Arial" w:hAnsi="Arial"/>
                <w:sz w:val="18"/>
                <w:szCs w:val="18"/>
                <w:color w:val="auto"/>
              </w:rPr>
              <w:t>$68,022,000</w:t>
            </w:r>
          </w:p>
        </w:tc>
        <w:tc>
          <w:tcPr>
            <w:tcW w:w="2960" w:type="dxa"/>
            <w:vAlign w:val="bottom"/>
          </w:tcPr>
          <w:p>
            <w:pPr>
              <w:jc w:val="right"/>
              <w:ind w:right="890"/>
              <w:spacing w:after="0"/>
              <w:rPr>
                <w:sz w:val="20"/>
                <w:szCs w:val="20"/>
                <w:color w:val="auto"/>
              </w:rPr>
            </w:pPr>
            <w:r>
              <w:rPr>
                <w:rFonts w:ascii="Arial" w:cs="Arial" w:eastAsia="Arial" w:hAnsi="Arial"/>
                <w:sz w:val="18"/>
                <w:szCs w:val="18"/>
                <w:color w:val="auto"/>
              </w:rPr>
              <w:t>$64,167,000</w:t>
            </w:r>
          </w:p>
        </w:tc>
        <w:tc>
          <w:tcPr>
            <w:tcW w:w="2400" w:type="dxa"/>
            <w:vAlign w:val="bottom"/>
          </w:tcPr>
          <w:p>
            <w:pPr>
              <w:jc w:val="center"/>
              <w:ind w:left="30"/>
              <w:spacing w:after="0"/>
              <w:rPr>
                <w:sz w:val="20"/>
                <w:szCs w:val="20"/>
                <w:color w:val="auto"/>
              </w:rPr>
            </w:pPr>
            <w:r>
              <w:rPr>
                <w:rFonts w:ascii="Arial" w:cs="Arial" w:eastAsia="Arial" w:hAnsi="Arial"/>
                <w:sz w:val="18"/>
                <w:szCs w:val="18"/>
                <w:color w:val="auto"/>
                <w:w w:val="92"/>
              </w:rPr>
              <w:t>6%</w:t>
            </w:r>
          </w:p>
        </w:tc>
      </w:tr>
      <w:tr>
        <w:trPr>
          <w:trHeight w:val="216"/>
        </w:trPr>
        <w:tc>
          <w:tcPr>
            <w:tcW w:w="3380" w:type="dxa"/>
            <w:vAlign w:val="bottom"/>
            <w:tcBorders>
              <w:bottom w:val="single" w:sz="8" w:color="auto"/>
            </w:tcBorders>
            <w:shd w:val="clear" w:color="auto" w:fill="C0C0C0"/>
          </w:tcPr>
          <w:p>
            <w:pPr>
              <w:jc w:val="center"/>
              <w:ind w:right="290"/>
              <w:spacing w:after="0"/>
              <w:rPr>
                <w:sz w:val="20"/>
                <w:szCs w:val="20"/>
                <w:color w:val="auto"/>
              </w:rPr>
            </w:pPr>
            <w:r>
              <w:rPr>
                <w:rFonts w:ascii="Arial" w:cs="Arial" w:eastAsia="Arial" w:hAnsi="Arial"/>
                <w:sz w:val="18"/>
                <w:szCs w:val="18"/>
                <w:b w:val="1"/>
                <w:bCs w:val="1"/>
                <w:color w:val="auto"/>
                <w:w w:val="88"/>
              </w:rPr>
              <w:t>Segment Income</w:t>
            </w:r>
          </w:p>
        </w:tc>
        <w:tc>
          <w:tcPr>
            <w:tcW w:w="2680" w:type="dxa"/>
            <w:vAlign w:val="bottom"/>
            <w:tcBorders>
              <w:bottom w:val="single" w:sz="8" w:color="auto"/>
            </w:tcBorders>
            <w:shd w:val="clear" w:color="auto" w:fill="C0C0C0"/>
          </w:tcPr>
          <w:p>
            <w:pPr>
              <w:jc w:val="right"/>
              <w:ind w:right="1010"/>
              <w:spacing w:after="0"/>
              <w:rPr>
                <w:sz w:val="20"/>
                <w:szCs w:val="20"/>
                <w:color w:val="auto"/>
              </w:rPr>
            </w:pPr>
            <w:r>
              <w:rPr>
                <w:rFonts w:ascii="Arial" w:cs="Arial" w:eastAsia="Arial" w:hAnsi="Arial"/>
                <w:sz w:val="18"/>
                <w:szCs w:val="18"/>
                <w:color w:val="auto"/>
              </w:rPr>
              <w:t>$22,581,000</w:t>
            </w:r>
          </w:p>
        </w:tc>
        <w:tc>
          <w:tcPr>
            <w:tcW w:w="2960" w:type="dxa"/>
            <w:vAlign w:val="bottom"/>
            <w:tcBorders>
              <w:bottom w:val="single" w:sz="8" w:color="auto"/>
            </w:tcBorders>
            <w:shd w:val="clear" w:color="auto" w:fill="C0C0C0"/>
          </w:tcPr>
          <w:p>
            <w:pPr>
              <w:jc w:val="right"/>
              <w:ind w:right="890"/>
              <w:spacing w:after="0"/>
              <w:rPr>
                <w:sz w:val="20"/>
                <w:szCs w:val="20"/>
                <w:color w:val="auto"/>
              </w:rPr>
            </w:pPr>
            <w:r>
              <w:rPr>
                <w:rFonts w:ascii="Arial" w:cs="Arial" w:eastAsia="Arial" w:hAnsi="Arial"/>
                <w:sz w:val="18"/>
                <w:szCs w:val="18"/>
                <w:color w:val="auto"/>
              </w:rPr>
              <w:t>$20,918,000</w:t>
            </w:r>
          </w:p>
        </w:tc>
        <w:tc>
          <w:tcPr>
            <w:tcW w:w="2400" w:type="dxa"/>
            <w:vAlign w:val="bottom"/>
            <w:tcBorders>
              <w:bottom w:val="single" w:sz="8" w:color="auto"/>
            </w:tcBorders>
            <w:shd w:val="clear" w:color="auto" w:fill="C0C0C0"/>
          </w:tcPr>
          <w:p>
            <w:pPr>
              <w:jc w:val="center"/>
              <w:ind w:left="30"/>
              <w:spacing w:after="0"/>
              <w:rPr>
                <w:sz w:val="20"/>
                <w:szCs w:val="20"/>
                <w:color w:val="auto"/>
              </w:rPr>
            </w:pPr>
            <w:r>
              <w:rPr>
                <w:rFonts w:ascii="Arial" w:cs="Arial" w:eastAsia="Arial" w:hAnsi="Arial"/>
                <w:sz w:val="18"/>
                <w:szCs w:val="18"/>
                <w:color w:val="auto"/>
                <w:w w:val="92"/>
              </w:rPr>
              <w:t>8%</w:t>
            </w:r>
          </w:p>
        </w:tc>
      </w:tr>
    </w:tbl>
    <w:p>
      <w:pPr>
        <w:spacing w:after="0" w:line="200" w:lineRule="exact"/>
        <w:rPr>
          <w:sz w:val="20"/>
          <w:szCs w:val="20"/>
          <w:color w:val="auto"/>
        </w:rPr>
      </w:pPr>
    </w:p>
    <w:p>
      <w:pPr>
        <w:spacing w:after="0" w:line="2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for the Company’s Business to Business segment for the third quarter were up $2,595,000 or 12% and segment income was up $906,000 or 13% from the prior year period. These increases were driven by volume growth of bleaching clays and animal health products. In the third quarter, net sales of co-packaged coarse cat litters were relatively flat while sales of agricultural products declined.</w:t>
      </w:r>
    </w:p>
    <w:p>
      <w:pPr>
        <w:spacing w:after="0" w:line="18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Net sales of Business to Business products for the nine-month period were up $3,855,000 or 6% and segment income for the nine-month period was up $1,663,000 or 8% from the same period one year ago. These increases were driven by volume growth of bleaching clays and animal health products. The increase in segment sales was partially offset by declines in the recycled motor oil and horticulture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Contact</w:t>
      </w:r>
    </w:p>
    <w:p>
      <w:pPr>
        <w:jc w:val="center"/>
        <w:spacing w:after="0" w:line="221" w:lineRule="auto"/>
        <w:rPr>
          <w:sz w:val="20"/>
          <w:szCs w:val="20"/>
          <w:color w:val="auto"/>
        </w:rPr>
      </w:pPr>
      <w:r>
        <w:rPr>
          <w:rFonts w:ascii="Arial" w:cs="Arial" w:eastAsia="Arial" w:hAnsi="Arial"/>
          <w:sz w:val="14"/>
          <w:szCs w:val="14"/>
          <w:color w:val="002D69"/>
        </w:rPr>
        <w:t>Reagan Culbertson</w:t>
      </w:r>
    </w:p>
    <w:p>
      <w:pPr>
        <w:jc w:val="center"/>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970280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448945</wp:posOffset>
            </wp:positionV>
            <wp:extent cx="1346200"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Retail and Wholesale</w:t>
            </w:r>
          </w:p>
        </w:tc>
        <w:tc>
          <w:tcPr>
            <w:tcW w:w="5880" w:type="dxa"/>
            <w:vAlign w:val="bottom"/>
            <w:tcBorders>
              <w:top w:val="single" w:sz="8" w:color="auto"/>
            </w:tcBorders>
            <w:gridSpan w:val="2"/>
          </w:tcPr>
          <w:p>
            <w:pPr>
              <w:jc w:val="right"/>
              <w:ind w:right="1710"/>
              <w:spacing w:after="0"/>
              <w:rPr>
                <w:sz w:val="20"/>
                <w:szCs w:val="20"/>
                <w:color w:val="auto"/>
              </w:rPr>
            </w:pPr>
            <w:r>
              <w:rPr>
                <w:rFonts w:ascii="Arial" w:cs="Arial" w:eastAsia="Arial" w:hAnsi="Arial"/>
                <w:sz w:val="18"/>
                <w:szCs w:val="18"/>
                <w:b w:val="1"/>
                <w:bCs w:val="1"/>
                <w:color w:val="auto"/>
              </w:rPr>
              <w:t>Third Quarter ended April 30,</w:t>
            </w:r>
          </w:p>
        </w:tc>
        <w:tc>
          <w:tcPr>
            <w:tcW w:w="23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Change</w:t>
            </w:r>
          </w:p>
        </w:tc>
      </w:tr>
      <w:tr>
        <w:trPr>
          <w:trHeight w:val="234"/>
        </w:trPr>
        <w:tc>
          <w:tcPr>
            <w:tcW w:w="3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9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r>
      <w:tr>
        <w:trPr>
          <w:trHeight w:val="210"/>
        </w:trPr>
        <w:tc>
          <w:tcPr>
            <w:tcW w:w="3160" w:type="dxa"/>
            <w:vAlign w:val="bottom"/>
            <w:shd w:val="clear" w:color="auto" w:fill="C0C0C0"/>
          </w:tcPr>
          <w:p>
            <w:pPr>
              <w:spacing w:after="0"/>
              <w:rPr>
                <w:sz w:val="18"/>
                <w:szCs w:val="18"/>
                <w:color w:val="auto"/>
              </w:rPr>
            </w:pPr>
          </w:p>
        </w:tc>
        <w:tc>
          <w:tcPr>
            <w:tcW w:w="2900" w:type="dxa"/>
            <w:vAlign w:val="bottom"/>
            <w:shd w:val="clear" w:color="auto" w:fill="C0C0C0"/>
          </w:tcPr>
          <w:p>
            <w:pPr>
              <w:jc w:val="right"/>
              <w:ind w:right="1030"/>
              <w:spacing w:after="0"/>
              <w:rPr>
                <w:sz w:val="20"/>
                <w:szCs w:val="20"/>
                <w:color w:val="auto"/>
              </w:rPr>
            </w:pPr>
            <w:r>
              <w:rPr>
                <w:rFonts w:ascii="Arial" w:cs="Arial" w:eastAsia="Arial" w:hAnsi="Arial"/>
                <w:sz w:val="18"/>
                <w:szCs w:val="18"/>
                <w:b w:val="1"/>
                <w:bCs w:val="1"/>
                <w:color w:val="auto"/>
              </w:rPr>
              <w:t>Fiscal 2013</w:t>
            </w:r>
          </w:p>
        </w:tc>
        <w:tc>
          <w:tcPr>
            <w:tcW w:w="2980" w:type="dxa"/>
            <w:vAlign w:val="bottom"/>
            <w:shd w:val="clear" w:color="auto" w:fill="C0C0C0"/>
          </w:tcPr>
          <w:p>
            <w:pPr>
              <w:jc w:val="right"/>
              <w:ind w:right="930"/>
              <w:spacing w:after="0"/>
              <w:rPr>
                <w:sz w:val="20"/>
                <w:szCs w:val="20"/>
                <w:color w:val="auto"/>
              </w:rPr>
            </w:pPr>
            <w:r>
              <w:rPr>
                <w:rFonts w:ascii="Arial" w:cs="Arial" w:eastAsia="Arial" w:hAnsi="Arial"/>
                <w:sz w:val="18"/>
                <w:szCs w:val="18"/>
                <w:b w:val="1"/>
                <w:bCs w:val="1"/>
                <w:color w:val="auto"/>
              </w:rPr>
              <w:t>Fiscal 2012</w:t>
            </w:r>
          </w:p>
        </w:tc>
        <w:tc>
          <w:tcPr>
            <w:tcW w:w="2380" w:type="dxa"/>
            <w:vAlign w:val="bottom"/>
            <w:shd w:val="clear" w:color="auto" w:fill="C0C0C0"/>
          </w:tcPr>
          <w:p>
            <w:pPr>
              <w:spacing w:after="0"/>
              <w:rPr>
                <w:sz w:val="18"/>
                <w:szCs w:val="18"/>
                <w:color w:val="auto"/>
              </w:rPr>
            </w:pPr>
          </w:p>
        </w:tc>
      </w:tr>
      <w:tr>
        <w:trPr>
          <w:trHeight w:val="216"/>
        </w:trPr>
        <w:tc>
          <w:tcPr>
            <w:tcW w:w="31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Net Sales</w:t>
            </w:r>
          </w:p>
        </w:tc>
        <w:tc>
          <w:tcPr>
            <w:tcW w:w="2900" w:type="dxa"/>
            <w:vAlign w:val="bottom"/>
          </w:tcPr>
          <w:p>
            <w:pPr>
              <w:jc w:val="right"/>
              <w:ind w:right="1010"/>
              <w:spacing w:after="0"/>
              <w:rPr>
                <w:sz w:val="20"/>
                <w:szCs w:val="20"/>
                <w:color w:val="auto"/>
              </w:rPr>
            </w:pPr>
            <w:r>
              <w:rPr>
                <w:rFonts w:ascii="Arial" w:cs="Arial" w:eastAsia="Arial" w:hAnsi="Arial"/>
                <w:sz w:val="18"/>
                <w:szCs w:val="18"/>
                <w:color w:val="auto"/>
              </w:rPr>
              <w:t>$39,627,000</w:t>
            </w:r>
          </w:p>
        </w:tc>
        <w:tc>
          <w:tcPr>
            <w:tcW w:w="2980" w:type="dxa"/>
            <w:vAlign w:val="bottom"/>
          </w:tcPr>
          <w:p>
            <w:pPr>
              <w:jc w:val="right"/>
              <w:ind w:right="910"/>
              <w:spacing w:after="0"/>
              <w:rPr>
                <w:sz w:val="20"/>
                <w:szCs w:val="20"/>
                <w:color w:val="auto"/>
              </w:rPr>
            </w:pPr>
            <w:r>
              <w:rPr>
                <w:rFonts w:ascii="Arial" w:cs="Arial" w:eastAsia="Arial" w:hAnsi="Arial"/>
                <w:sz w:val="18"/>
                <w:szCs w:val="18"/>
                <w:color w:val="auto"/>
              </w:rPr>
              <w:t>$37,850,000</w:t>
            </w:r>
          </w:p>
        </w:tc>
        <w:tc>
          <w:tcPr>
            <w:tcW w:w="2380" w:type="dxa"/>
            <w:vAlign w:val="bottom"/>
          </w:tcPr>
          <w:p>
            <w:pPr>
              <w:jc w:val="right"/>
              <w:ind w:right="850"/>
              <w:spacing w:after="0"/>
              <w:rPr>
                <w:sz w:val="20"/>
                <w:szCs w:val="20"/>
                <w:color w:val="auto"/>
              </w:rPr>
            </w:pPr>
            <w:r>
              <w:rPr>
                <w:rFonts w:ascii="Arial" w:cs="Arial" w:eastAsia="Arial" w:hAnsi="Arial"/>
                <w:sz w:val="18"/>
                <w:szCs w:val="18"/>
                <w:color w:val="auto"/>
              </w:rPr>
              <w:t>5%</w:t>
            </w:r>
          </w:p>
        </w:tc>
      </w:tr>
      <w:tr>
        <w:trPr>
          <w:trHeight w:val="216"/>
        </w:trPr>
        <w:tc>
          <w:tcPr>
            <w:tcW w:w="3160" w:type="dxa"/>
            <w:vAlign w:val="bottom"/>
            <w:tcBorders>
              <w:bottom w:val="single" w:sz="8" w:color="auto"/>
            </w:tcBorders>
            <w:shd w:val="clear" w:color="auto" w:fill="C0C0C0"/>
          </w:tcPr>
          <w:p>
            <w:pPr>
              <w:jc w:val="center"/>
              <w:ind w:right="70"/>
              <w:spacing w:after="0"/>
              <w:rPr>
                <w:sz w:val="20"/>
                <w:szCs w:val="20"/>
                <w:color w:val="auto"/>
              </w:rPr>
            </w:pPr>
            <w:r>
              <w:rPr>
                <w:rFonts w:ascii="Arial" w:cs="Arial" w:eastAsia="Arial" w:hAnsi="Arial"/>
                <w:sz w:val="18"/>
                <w:szCs w:val="18"/>
                <w:b w:val="1"/>
                <w:bCs w:val="1"/>
                <w:color w:val="auto"/>
                <w:w w:val="88"/>
              </w:rPr>
              <w:t>Segment Income</w:t>
            </w:r>
          </w:p>
        </w:tc>
        <w:tc>
          <w:tcPr>
            <w:tcW w:w="2900" w:type="dxa"/>
            <w:vAlign w:val="bottom"/>
            <w:tcBorders>
              <w:bottom w:val="single" w:sz="8" w:color="auto"/>
            </w:tcBorders>
            <w:shd w:val="clear" w:color="auto" w:fill="C0C0C0"/>
          </w:tcPr>
          <w:p>
            <w:pPr>
              <w:jc w:val="right"/>
              <w:ind w:right="1010"/>
              <w:spacing w:after="0"/>
              <w:rPr>
                <w:sz w:val="20"/>
                <w:szCs w:val="20"/>
                <w:color w:val="auto"/>
              </w:rPr>
            </w:pPr>
            <w:r>
              <w:rPr>
                <w:rFonts w:ascii="Arial" w:cs="Arial" w:eastAsia="Arial" w:hAnsi="Arial"/>
                <w:sz w:val="18"/>
                <w:szCs w:val="18"/>
                <w:color w:val="auto"/>
              </w:rPr>
              <w:t>$2,964,000</w:t>
            </w:r>
          </w:p>
        </w:tc>
        <w:tc>
          <w:tcPr>
            <w:tcW w:w="2980" w:type="dxa"/>
            <w:vAlign w:val="bottom"/>
            <w:tcBorders>
              <w:bottom w:val="single" w:sz="8" w:color="auto"/>
            </w:tcBorders>
            <w:shd w:val="clear" w:color="auto" w:fill="C0C0C0"/>
          </w:tcPr>
          <w:p>
            <w:pPr>
              <w:jc w:val="right"/>
              <w:ind w:right="910"/>
              <w:spacing w:after="0"/>
              <w:rPr>
                <w:sz w:val="20"/>
                <w:szCs w:val="20"/>
                <w:color w:val="auto"/>
              </w:rPr>
            </w:pPr>
            <w:r>
              <w:rPr>
                <w:rFonts w:ascii="Arial" w:cs="Arial" w:eastAsia="Arial" w:hAnsi="Arial"/>
                <w:sz w:val="18"/>
                <w:szCs w:val="18"/>
                <w:color w:val="auto"/>
              </w:rPr>
              <w:t>$440,000</w:t>
            </w:r>
          </w:p>
        </w:tc>
        <w:tc>
          <w:tcPr>
            <w:tcW w:w="2380" w:type="dxa"/>
            <w:vAlign w:val="bottom"/>
            <w:tcBorders>
              <w:bottom w:val="single" w:sz="8" w:color="auto"/>
            </w:tcBorders>
            <w:shd w:val="clear" w:color="auto" w:fill="C0C0C0"/>
          </w:tcPr>
          <w:p>
            <w:pPr>
              <w:jc w:val="right"/>
              <w:ind w:right="850"/>
              <w:spacing w:after="0"/>
              <w:rPr>
                <w:sz w:val="20"/>
                <w:szCs w:val="20"/>
                <w:color w:val="auto"/>
              </w:rPr>
            </w:pPr>
            <w:r>
              <w:rPr>
                <w:rFonts w:ascii="Arial" w:cs="Arial" w:eastAsia="Arial" w:hAnsi="Arial"/>
                <w:sz w:val="18"/>
                <w:szCs w:val="18"/>
                <w:color w:val="auto"/>
              </w:rPr>
              <w:t>574%</w:t>
            </w:r>
          </w:p>
        </w:tc>
      </w:tr>
      <w:tr>
        <w:trPr>
          <w:trHeight w:val="426"/>
        </w:trPr>
        <w:tc>
          <w:tcPr>
            <w:tcW w:w="31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191"/>
        </w:trPr>
        <w:tc>
          <w:tcPr>
            <w:tcW w:w="31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Retail and Wholesale</w:t>
            </w:r>
          </w:p>
        </w:tc>
        <w:tc>
          <w:tcPr>
            <w:tcW w:w="5880" w:type="dxa"/>
            <w:vAlign w:val="bottom"/>
            <w:gridSpan w:val="2"/>
          </w:tcPr>
          <w:p>
            <w:pPr>
              <w:jc w:val="right"/>
              <w:ind w:right="1750"/>
              <w:spacing w:after="0" w:line="191" w:lineRule="exact"/>
              <w:rPr>
                <w:sz w:val="20"/>
                <w:szCs w:val="20"/>
                <w:color w:val="auto"/>
              </w:rPr>
            </w:pPr>
            <w:r>
              <w:rPr>
                <w:rFonts w:ascii="Arial" w:cs="Arial" w:eastAsia="Arial" w:hAnsi="Arial"/>
                <w:sz w:val="18"/>
                <w:szCs w:val="18"/>
                <w:b w:val="1"/>
                <w:bCs w:val="1"/>
                <w:color w:val="auto"/>
              </w:rPr>
              <w:t>Nine Months Ended April 30,</w:t>
            </w:r>
          </w:p>
        </w:tc>
        <w:tc>
          <w:tcPr>
            <w:tcW w:w="2380" w:type="dxa"/>
            <w:vAlign w:val="bottom"/>
          </w:tcPr>
          <w:p>
            <w:pPr>
              <w:jc w:val="right"/>
              <w:ind w:right="750"/>
              <w:spacing w:after="0" w:line="191" w:lineRule="exact"/>
              <w:rPr>
                <w:sz w:val="20"/>
                <w:szCs w:val="20"/>
                <w:color w:val="auto"/>
              </w:rPr>
            </w:pPr>
            <w:r>
              <w:rPr>
                <w:rFonts w:ascii="Arial" w:cs="Arial" w:eastAsia="Arial" w:hAnsi="Arial"/>
                <w:sz w:val="18"/>
                <w:szCs w:val="18"/>
                <w:b w:val="1"/>
                <w:bCs w:val="1"/>
                <w:color w:val="auto"/>
              </w:rPr>
              <w:t>Change</w:t>
            </w:r>
          </w:p>
        </w:tc>
      </w:tr>
      <w:tr>
        <w:trPr>
          <w:trHeight w:val="234"/>
        </w:trPr>
        <w:tc>
          <w:tcPr>
            <w:tcW w:w="3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9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r>
      <w:tr>
        <w:trPr>
          <w:trHeight w:val="210"/>
        </w:trPr>
        <w:tc>
          <w:tcPr>
            <w:tcW w:w="3160" w:type="dxa"/>
            <w:vAlign w:val="bottom"/>
            <w:shd w:val="clear" w:color="auto" w:fill="C0C0C0"/>
          </w:tcPr>
          <w:p>
            <w:pPr>
              <w:spacing w:after="0"/>
              <w:rPr>
                <w:sz w:val="18"/>
                <w:szCs w:val="18"/>
                <w:color w:val="auto"/>
              </w:rPr>
            </w:pPr>
          </w:p>
        </w:tc>
        <w:tc>
          <w:tcPr>
            <w:tcW w:w="2900" w:type="dxa"/>
            <w:vAlign w:val="bottom"/>
            <w:shd w:val="clear" w:color="auto" w:fill="C0C0C0"/>
          </w:tcPr>
          <w:p>
            <w:pPr>
              <w:jc w:val="right"/>
              <w:ind w:right="1030"/>
              <w:spacing w:after="0"/>
              <w:rPr>
                <w:sz w:val="20"/>
                <w:szCs w:val="20"/>
                <w:color w:val="auto"/>
              </w:rPr>
            </w:pPr>
            <w:r>
              <w:rPr>
                <w:rFonts w:ascii="Arial" w:cs="Arial" w:eastAsia="Arial" w:hAnsi="Arial"/>
                <w:sz w:val="18"/>
                <w:szCs w:val="18"/>
                <w:b w:val="1"/>
                <w:bCs w:val="1"/>
                <w:color w:val="auto"/>
              </w:rPr>
              <w:t>Fiscal 2013</w:t>
            </w:r>
          </w:p>
        </w:tc>
        <w:tc>
          <w:tcPr>
            <w:tcW w:w="2980" w:type="dxa"/>
            <w:vAlign w:val="bottom"/>
            <w:shd w:val="clear" w:color="auto" w:fill="C0C0C0"/>
          </w:tcPr>
          <w:p>
            <w:pPr>
              <w:jc w:val="right"/>
              <w:ind w:right="930"/>
              <w:spacing w:after="0"/>
              <w:rPr>
                <w:sz w:val="20"/>
                <w:szCs w:val="20"/>
                <w:color w:val="auto"/>
              </w:rPr>
            </w:pPr>
            <w:r>
              <w:rPr>
                <w:rFonts w:ascii="Arial" w:cs="Arial" w:eastAsia="Arial" w:hAnsi="Arial"/>
                <w:sz w:val="18"/>
                <w:szCs w:val="18"/>
                <w:b w:val="1"/>
                <w:bCs w:val="1"/>
                <w:color w:val="auto"/>
              </w:rPr>
              <w:t>Fiscal 2012</w:t>
            </w:r>
          </w:p>
        </w:tc>
        <w:tc>
          <w:tcPr>
            <w:tcW w:w="2380" w:type="dxa"/>
            <w:vAlign w:val="bottom"/>
            <w:shd w:val="clear" w:color="auto" w:fill="C0C0C0"/>
          </w:tcPr>
          <w:p>
            <w:pPr>
              <w:spacing w:after="0"/>
              <w:rPr>
                <w:sz w:val="18"/>
                <w:szCs w:val="18"/>
                <w:color w:val="auto"/>
              </w:rPr>
            </w:pPr>
          </w:p>
        </w:tc>
      </w:tr>
      <w:tr>
        <w:trPr>
          <w:trHeight w:val="216"/>
        </w:trPr>
        <w:tc>
          <w:tcPr>
            <w:tcW w:w="31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Net Sales</w:t>
            </w:r>
          </w:p>
        </w:tc>
        <w:tc>
          <w:tcPr>
            <w:tcW w:w="2900" w:type="dxa"/>
            <w:vAlign w:val="bottom"/>
          </w:tcPr>
          <w:p>
            <w:pPr>
              <w:jc w:val="right"/>
              <w:ind w:right="950"/>
              <w:spacing w:after="0"/>
              <w:rPr>
                <w:sz w:val="20"/>
                <w:szCs w:val="20"/>
                <w:color w:val="auto"/>
              </w:rPr>
            </w:pPr>
            <w:r>
              <w:rPr>
                <w:rFonts w:ascii="Arial" w:cs="Arial" w:eastAsia="Arial" w:hAnsi="Arial"/>
                <w:sz w:val="18"/>
                <w:szCs w:val="18"/>
                <w:color w:val="auto"/>
              </w:rPr>
              <w:t>$118,669,000</w:t>
            </w:r>
          </w:p>
        </w:tc>
        <w:tc>
          <w:tcPr>
            <w:tcW w:w="2980" w:type="dxa"/>
            <w:vAlign w:val="bottom"/>
          </w:tcPr>
          <w:p>
            <w:pPr>
              <w:jc w:val="right"/>
              <w:ind w:right="870"/>
              <w:spacing w:after="0"/>
              <w:rPr>
                <w:sz w:val="20"/>
                <w:szCs w:val="20"/>
                <w:color w:val="auto"/>
              </w:rPr>
            </w:pPr>
            <w:r>
              <w:rPr>
                <w:rFonts w:ascii="Arial" w:cs="Arial" w:eastAsia="Arial" w:hAnsi="Arial"/>
                <w:sz w:val="18"/>
                <w:szCs w:val="18"/>
                <w:color w:val="auto"/>
              </w:rPr>
              <w:t>$115,398,000</w:t>
            </w:r>
          </w:p>
        </w:tc>
        <w:tc>
          <w:tcPr>
            <w:tcW w:w="2380" w:type="dxa"/>
            <w:vAlign w:val="bottom"/>
          </w:tcPr>
          <w:p>
            <w:pPr>
              <w:jc w:val="right"/>
              <w:ind w:right="890"/>
              <w:spacing w:after="0"/>
              <w:rPr>
                <w:sz w:val="20"/>
                <w:szCs w:val="20"/>
                <w:color w:val="auto"/>
              </w:rPr>
            </w:pPr>
            <w:r>
              <w:rPr>
                <w:rFonts w:ascii="Arial" w:cs="Arial" w:eastAsia="Arial" w:hAnsi="Arial"/>
                <w:sz w:val="18"/>
                <w:szCs w:val="18"/>
                <w:color w:val="auto"/>
              </w:rPr>
              <w:t>3%</w:t>
            </w:r>
          </w:p>
        </w:tc>
      </w:tr>
      <w:tr>
        <w:trPr>
          <w:trHeight w:val="216"/>
        </w:trPr>
        <w:tc>
          <w:tcPr>
            <w:tcW w:w="3160" w:type="dxa"/>
            <w:vAlign w:val="bottom"/>
            <w:tcBorders>
              <w:bottom w:val="single" w:sz="8" w:color="auto"/>
            </w:tcBorders>
            <w:shd w:val="clear" w:color="auto" w:fill="C0C0C0"/>
          </w:tcPr>
          <w:p>
            <w:pPr>
              <w:jc w:val="center"/>
              <w:ind w:right="70"/>
              <w:spacing w:after="0"/>
              <w:rPr>
                <w:sz w:val="20"/>
                <w:szCs w:val="20"/>
                <w:color w:val="auto"/>
              </w:rPr>
            </w:pPr>
            <w:r>
              <w:rPr>
                <w:rFonts w:ascii="Arial" w:cs="Arial" w:eastAsia="Arial" w:hAnsi="Arial"/>
                <w:sz w:val="18"/>
                <w:szCs w:val="18"/>
                <w:b w:val="1"/>
                <w:bCs w:val="1"/>
                <w:color w:val="auto"/>
                <w:w w:val="88"/>
              </w:rPr>
              <w:t>Segment Income</w:t>
            </w:r>
          </w:p>
        </w:tc>
        <w:tc>
          <w:tcPr>
            <w:tcW w:w="2900" w:type="dxa"/>
            <w:vAlign w:val="bottom"/>
            <w:tcBorders>
              <w:bottom w:val="single" w:sz="8" w:color="auto"/>
            </w:tcBorders>
            <w:shd w:val="clear" w:color="auto" w:fill="C0C0C0"/>
          </w:tcPr>
          <w:p>
            <w:pPr>
              <w:jc w:val="right"/>
              <w:ind w:right="950"/>
              <w:spacing w:after="0"/>
              <w:rPr>
                <w:sz w:val="20"/>
                <w:szCs w:val="20"/>
                <w:color w:val="auto"/>
              </w:rPr>
            </w:pPr>
            <w:r>
              <w:rPr>
                <w:rFonts w:ascii="Arial" w:cs="Arial" w:eastAsia="Arial" w:hAnsi="Arial"/>
                <w:sz w:val="18"/>
                <w:szCs w:val="18"/>
                <w:color w:val="auto"/>
              </w:rPr>
              <w:t>$9,424,000</w:t>
            </w:r>
          </w:p>
        </w:tc>
        <w:tc>
          <w:tcPr>
            <w:tcW w:w="2980" w:type="dxa"/>
            <w:vAlign w:val="bottom"/>
            <w:tcBorders>
              <w:bottom w:val="single" w:sz="8" w:color="auto"/>
            </w:tcBorders>
            <w:shd w:val="clear" w:color="auto" w:fill="C0C0C0"/>
          </w:tcPr>
          <w:p>
            <w:pPr>
              <w:jc w:val="right"/>
              <w:ind w:right="850"/>
              <w:spacing w:after="0"/>
              <w:rPr>
                <w:sz w:val="20"/>
                <w:szCs w:val="20"/>
                <w:color w:val="auto"/>
              </w:rPr>
            </w:pPr>
            <w:r>
              <w:rPr>
                <w:rFonts w:ascii="Arial" w:cs="Arial" w:eastAsia="Arial" w:hAnsi="Arial"/>
                <w:sz w:val="18"/>
                <w:szCs w:val="18"/>
                <w:color w:val="auto"/>
              </w:rPr>
              <w:t>$2,279,000</w:t>
            </w:r>
          </w:p>
        </w:tc>
        <w:tc>
          <w:tcPr>
            <w:tcW w:w="2380" w:type="dxa"/>
            <w:vAlign w:val="bottom"/>
            <w:tcBorders>
              <w:bottom w:val="single" w:sz="8" w:color="auto"/>
            </w:tcBorders>
            <w:shd w:val="clear" w:color="auto" w:fill="C0C0C0"/>
          </w:tcPr>
          <w:p>
            <w:pPr>
              <w:jc w:val="right"/>
              <w:ind w:right="850"/>
              <w:spacing w:after="0"/>
              <w:rPr>
                <w:sz w:val="20"/>
                <w:szCs w:val="20"/>
                <w:color w:val="auto"/>
              </w:rPr>
            </w:pPr>
            <w:r>
              <w:rPr>
                <w:rFonts w:ascii="Arial" w:cs="Arial" w:eastAsia="Arial" w:hAnsi="Arial"/>
                <w:sz w:val="18"/>
                <w:szCs w:val="18"/>
                <w:color w:val="auto"/>
              </w:rPr>
              <w:t>314%</w:t>
            </w: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sales for the company’s Retail and Wholesale Products for the third quarter were up $1,777,000 or 5% and segment income was up $2,524,000 or 574% from the prior year period. Segment income increased over the same period last year due to higher sales and an approximate $1.3 million reduction in advertising expenditures primarily associated with the launch of Cat’s Pride Fresh &amp; Light. Segment income was reduced slightly by higher freight and additive costs. Net sales of industrial and automotive products were comparable from the same quarter one year ago while net sales by our foreign subsidiaries were down.</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sales of Retail and Wholesale products for the nine-month period were up $3,271,000 or 3% over the same period one year ago, which was driven by lower trade spending, such as coupons and slotting. Segment income for the nine-month period was up $7,145,000 or 314% from the same period one year ago, due to increased sales and lower advertising costs compared to the one-time costs incurred for the launch of Cat’s Pride Fresh &amp; Light in the previous fiscal year.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Review</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Cash, cash equivalents and short-term investments at April 30, 2013, totaled $40,095,000, which was $5,403,000 or 16% more than $34,692,000 at April 30, 2012. Cash, cash equivalents and short-term investments were up primarily due to the increase of net income in the nine-month period.</w:t>
      </w:r>
    </w:p>
    <w:p>
      <w:pPr>
        <w:spacing w:after="0" w:line="14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Capital expenditures for the nine-month period totaled $7,805,000, which was $1,110,000 more than depreciation and amortization of $6,695,000. Capital expenditures were made for equipment replacement at our manufacturing facilities. Capital expenditures were $5,452,000 in the nine-month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Contact</w:t>
      </w:r>
    </w:p>
    <w:p>
      <w:pPr>
        <w:jc w:val="center"/>
        <w:spacing w:after="0" w:line="221" w:lineRule="auto"/>
        <w:rPr>
          <w:sz w:val="20"/>
          <w:szCs w:val="20"/>
          <w:color w:val="auto"/>
        </w:rPr>
      </w:pPr>
      <w:r>
        <w:rPr>
          <w:rFonts w:ascii="Arial" w:cs="Arial" w:eastAsia="Arial" w:hAnsi="Arial"/>
          <w:sz w:val="14"/>
          <w:szCs w:val="14"/>
          <w:color w:val="002D69"/>
        </w:rPr>
        <w:t>Reagan Culbertson</w:t>
      </w:r>
    </w:p>
    <w:p>
      <w:pPr>
        <w:jc w:val="center"/>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970280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448945</wp:posOffset>
            </wp:positionV>
            <wp:extent cx="134620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Net cash provided by operating activities was $19,274,000 in the nine-month period compared to $15,636,000 for the same period one year ago. The $3,638,000 or 23% increase was driven primarily by the increase of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December 4, 2012, Oil-Dri’s Board of Directors declared a one-time accelerated cash dividend of $0.36 per share of outstanding Common Stock and</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$0.27 per share of outstanding Class B Stock, which reflect dividends normally paid in third and fourth quarters of our fiscal year. The dividends were paid on December 28, 2012 to stockholders of record at the close of business on December 14, 2012. The Company has paid cash dividends continuously since 1974 and has increased dividends annually for the past nine years and will again consider dividends at the June meeting of the Board of Directors.</w:t>
      </w:r>
    </w:p>
    <w:p>
      <w:pPr>
        <w:spacing w:after="0" w:line="15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the end of the third quarter, the annualized dividend yield on the Company’s Common Stock was 2.6%, based on the quarter’s closing stock price of $27.51 per share and an annual cash dividend of $0.72.</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Looking Forward</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Jaffee continued, “Our strategy continues to be to get very close to our customers and deepen our understanding of their particular needs. Our ultimate goal is to develop products and services designed to meet those needs. We plan to continue to invest in support of Cat’s Pride Fresh &amp; Light and expect that our overall advertising and promotional spending for the balance of the fiscal year will remain high, but should not exceed the amount spent in Fiscal 2012. We are striving to maximize the return on our marketing investment by carefully analyzing the efficacy of the programs we run.</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Additionally, we are optimistic about the future of Cat’s Pride Fresh &amp; Light. We look forward to continuing to expand and strengthen the Fresh &amp; Light brand with new product offerings due to hit the retailers’ shelves in the coming months.”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The Company will offer a live webcast of the third quarter earnings teleconference on Monday, June 10, 2013 from 10:00 am to 10:30 am, Central Time. To listen via the web, visit </w:t>
      </w:r>
      <w:r>
        <w:rPr>
          <w:rFonts w:ascii="Arial" w:cs="Arial" w:eastAsia="Arial" w:hAnsi="Arial"/>
          <w:sz w:val="18"/>
          <w:szCs w:val="18"/>
          <w:u w:val="single" w:color="auto"/>
          <w:color w:val="0000FF"/>
        </w:rPr>
        <w:t>www.streetevents.com</w:t>
      </w:r>
      <w:r>
        <w:rPr>
          <w:rFonts w:ascii="Arial" w:cs="Arial" w:eastAsia="Arial" w:hAnsi="Arial"/>
          <w:sz w:val="18"/>
          <w:szCs w:val="18"/>
          <w:color w:val="auto"/>
        </w:rPr>
        <w:t xml:space="preserve"> or </w:t>
      </w:r>
      <w:r>
        <w:rPr>
          <w:rFonts w:ascii="Arial" w:cs="Arial" w:eastAsia="Arial" w:hAnsi="Arial"/>
          <w:sz w:val="18"/>
          <w:szCs w:val="18"/>
          <w:u w:val="single" w:color="auto"/>
          <w:color w:val="0000FF"/>
        </w:rPr>
        <w:t>www.oildri.com</w:t>
      </w:r>
      <w:r>
        <w:rPr>
          <w:rFonts w:ascii="Arial" w:cs="Arial" w:eastAsia="Arial" w:hAnsi="Arial"/>
          <w:sz w:val="18"/>
          <w:szCs w:val="18"/>
          <w:color w:val="auto"/>
        </w:rPr>
        <w:t>. An archived recording of the call and written transcripts of all teleconferences are posted on the Oil-Dri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Contact</w:t>
      </w:r>
    </w:p>
    <w:p>
      <w:pPr>
        <w:jc w:val="center"/>
        <w:ind w:right="-19"/>
        <w:spacing w:after="0" w:line="221" w:lineRule="auto"/>
        <w:rPr>
          <w:sz w:val="20"/>
          <w:szCs w:val="20"/>
          <w:color w:val="auto"/>
        </w:rPr>
      </w:pPr>
      <w:r>
        <w:rPr>
          <w:rFonts w:ascii="Arial" w:cs="Arial" w:eastAsia="Arial" w:hAnsi="Arial"/>
          <w:sz w:val="14"/>
          <w:szCs w:val="14"/>
          <w:color w:val="002D69"/>
        </w:rPr>
        <w:t>Reagan Culbertson</w:t>
      </w:r>
    </w:p>
    <w:p>
      <w:pPr>
        <w:jc w:val="center"/>
        <w:ind w:right="-19"/>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970280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448945</wp:posOffset>
            </wp:positionV>
            <wp:extent cx="1346200" cy="454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Cat’s Pride and Fresh &amp; Light are registered trademarks of Oil-Dri Corporation of America.</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431165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Contact</w:t>
      </w:r>
    </w:p>
    <w:p>
      <w:pPr>
        <w:jc w:val="center"/>
        <w:ind w:right="-19"/>
        <w:spacing w:after="0" w:line="221" w:lineRule="auto"/>
        <w:rPr>
          <w:sz w:val="20"/>
          <w:szCs w:val="20"/>
          <w:color w:val="auto"/>
        </w:rPr>
      </w:pPr>
      <w:r>
        <w:rPr>
          <w:rFonts w:ascii="Arial" w:cs="Arial" w:eastAsia="Arial" w:hAnsi="Arial"/>
          <w:sz w:val="14"/>
          <w:szCs w:val="14"/>
          <w:color w:val="002D69"/>
        </w:rPr>
        <w:t>Reagan Culbertson</w:t>
      </w:r>
    </w:p>
    <w:p>
      <w:pPr>
        <w:jc w:val="center"/>
        <w:ind w:right="-19"/>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9" w:name="page10"/>
    <w:bookmarkEnd w:id="9"/>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970280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448945</wp:posOffset>
            </wp:positionV>
            <wp:extent cx="1346200" cy="454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Third Quarter Ended April 30,</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FFC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of Sales</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2012</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Sales</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940" w:type="dxa"/>
            <w:vAlign w:val="bottom"/>
            <w:shd w:val="clear" w:color="auto" w:fill="CCFFCC"/>
          </w:tcPr>
          <w:p>
            <w:pPr>
              <w:jc w:val="right"/>
              <w:ind w:right="78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98"/>
              </w:rPr>
              <w:t>64,152</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59,780</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94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w w:val="89"/>
              </w:rPr>
              <w:t>(47,261)</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73.7%</w:t>
            </w:r>
          </w:p>
        </w:tc>
        <w:tc>
          <w:tcPr>
            <w:tcW w:w="480" w:type="dxa"/>
            <w:vAlign w:val="bottom"/>
          </w:tcPr>
          <w:p>
            <w:pPr>
              <w:spacing w:after="0"/>
              <w:rPr>
                <w:sz w:val="19"/>
                <w:szCs w:val="19"/>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(45,075)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9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98"/>
              </w:rPr>
              <w:t>16,891</w:t>
            </w:r>
          </w:p>
        </w:tc>
        <w:tc>
          <w:tcPr>
            <w:tcW w:w="164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26.3%</w:t>
            </w:r>
          </w:p>
        </w:tc>
        <w:tc>
          <w:tcPr>
            <w:tcW w:w="480" w:type="dxa"/>
            <w:vAlign w:val="bottom"/>
            <w:tcBorders>
              <w:top w:val="single" w:sz="8" w:color="auto"/>
            </w:tcBorders>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14,705</w:t>
            </w: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w w:val="89"/>
              </w:rPr>
              <w:t>(12,209)</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19.0%</w:t>
            </w:r>
          </w:p>
        </w:tc>
        <w:tc>
          <w:tcPr>
            <w:tcW w:w="480" w:type="dxa"/>
            <w:vAlign w:val="bottom"/>
          </w:tcPr>
          <w:p>
            <w:pPr>
              <w:spacing w:after="0"/>
              <w:rPr>
                <w:sz w:val="18"/>
                <w:szCs w:val="18"/>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(11,743)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Capacity Rationalization Charges</w:t>
            </w:r>
          </w:p>
        </w:tc>
        <w:tc>
          <w:tcPr>
            <w:tcW w:w="940" w:type="dxa"/>
            <w:vAlign w:val="bottom"/>
            <w:shd w:val="clear" w:color="auto" w:fill="CCFFCC"/>
          </w:tcPr>
          <w:p>
            <w:pPr>
              <w:spacing w:after="0"/>
              <w:rPr>
                <w:sz w:val="19"/>
                <w:szCs w:val="19"/>
                <w:color w:val="auto"/>
              </w:rPr>
            </w:pPr>
          </w:p>
        </w:tc>
        <w:tc>
          <w:tcPr>
            <w:tcW w:w="9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(8)</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FFCC"/>
          </w:tcPr>
          <w:p>
            <w:pPr>
              <w:spacing w:after="0"/>
              <w:rPr>
                <w:sz w:val="19"/>
                <w:szCs w:val="19"/>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4,674</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2,962</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9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(447)</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18"/>
                <w:szCs w:val="18"/>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(529)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940" w:type="dxa"/>
            <w:vAlign w:val="bottom"/>
            <w:shd w:val="clear" w:color="auto" w:fill="CCFFCC"/>
          </w:tcPr>
          <w:p>
            <w:pPr>
              <w:spacing w:after="0"/>
              <w:rPr>
                <w:sz w:val="19"/>
                <w:szCs w:val="19"/>
                <w:color w:val="auto"/>
              </w:rPr>
            </w:pPr>
          </w:p>
        </w:tc>
        <w:tc>
          <w:tcPr>
            <w:tcW w:w="9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214</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FFCC"/>
          </w:tcPr>
          <w:p>
            <w:pPr>
              <w:spacing w:after="0"/>
              <w:rPr>
                <w:sz w:val="19"/>
                <w:szCs w:val="19"/>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201</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Income Taxes</w:t>
            </w:r>
          </w:p>
        </w:tc>
        <w:tc>
          <w:tcPr>
            <w:tcW w:w="9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4,441</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2,634</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94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(1,190)</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9"/>
                <w:szCs w:val="19"/>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(742)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tcBorders>
              <w:top w:val="single" w:sz="8" w:color="auto"/>
              <w:bottom w:val="single" w:sz="8" w:color="auto"/>
            </w:tcBorders>
            <w:shd w:val="clear" w:color="auto" w:fill="CCFFCC"/>
          </w:tcPr>
          <w:p>
            <w:pPr>
              <w:jc w:val="right"/>
              <w:ind w:right="78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3,251</w:t>
            </w:r>
          </w:p>
        </w:tc>
        <w:tc>
          <w:tcPr>
            <w:tcW w:w="164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5.1%</w:t>
            </w:r>
          </w:p>
        </w:tc>
        <w:tc>
          <w:tcPr>
            <w:tcW w:w="48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1,892</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9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940" w:type="dxa"/>
            <w:vAlign w:val="bottom"/>
          </w:tcPr>
          <w:p>
            <w:pPr>
              <w:jc w:val="right"/>
              <w:ind w:right="78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0.50</w:t>
            </w:r>
          </w:p>
        </w:tc>
        <w:tc>
          <w:tcPr>
            <w:tcW w:w="164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0.28</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Basic Class B Common</w:t>
            </w:r>
          </w:p>
        </w:tc>
        <w:tc>
          <w:tcPr>
            <w:tcW w:w="940" w:type="dxa"/>
            <w:vAlign w:val="bottom"/>
            <w:shd w:val="clear" w:color="auto" w:fill="CCFFCC"/>
          </w:tcPr>
          <w:p>
            <w:pPr>
              <w:jc w:val="right"/>
              <w:ind w:right="78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0.37</w:t>
            </w: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0.21</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940" w:type="dxa"/>
            <w:vAlign w:val="bottom"/>
          </w:tcPr>
          <w:p>
            <w:pPr>
              <w:jc w:val="right"/>
              <w:ind w:right="78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0.46</w:t>
            </w:r>
          </w:p>
        </w:tc>
        <w:tc>
          <w:tcPr>
            <w:tcW w:w="164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0.26</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Basic Common</w:t>
            </w:r>
          </w:p>
        </w:tc>
        <w:tc>
          <w:tcPr>
            <w:tcW w:w="9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4,923</w:t>
            </w: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5,115</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Basic Class B Common</w:t>
            </w:r>
          </w:p>
        </w:tc>
        <w:tc>
          <w:tcPr>
            <w:tcW w:w="9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1,980</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1,938</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Diluted</w:t>
            </w:r>
          </w:p>
        </w:tc>
        <w:tc>
          <w:tcPr>
            <w:tcW w:w="9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6,938</w:t>
            </w: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7,117</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Nine Months Ended April 30,</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of Sales</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2012</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Sales</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186,691</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179,565</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20" w:type="dxa"/>
            <w:vAlign w:val="bottom"/>
          </w:tcPr>
          <w:p>
            <w:pPr>
              <w:spacing w:after="0"/>
              <w:rPr>
                <w:sz w:val="19"/>
                <w:szCs w:val="19"/>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(136,300)</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73.0%</w:t>
            </w:r>
          </w:p>
        </w:tc>
        <w:tc>
          <w:tcPr>
            <w:tcW w:w="480" w:type="dxa"/>
            <w:vAlign w:val="bottom"/>
          </w:tcPr>
          <w:p>
            <w:pPr>
              <w:spacing w:after="0"/>
              <w:rPr>
                <w:sz w:val="19"/>
                <w:szCs w:val="19"/>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(136,103)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top w:val="single" w:sz="8" w:color="auto"/>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50,391</w:t>
            </w:r>
          </w:p>
        </w:tc>
        <w:tc>
          <w:tcPr>
            <w:tcW w:w="164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27.0%</w:t>
            </w:r>
          </w:p>
        </w:tc>
        <w:tc>
          <w:tcPr>
            <w:tcW w:w="480" w:type="dxa"/>
            <w:vAlign w:val="bottom"/>
            <w:tcBorders>
              <w:top w:val="single" w:sz="8" w:color="auto"/>
            </w:tcBorders>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43,462</w:t>
            </w: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8"/>
                <w:szCs w:val="18"/>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(35,863)</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18"/>
                <w:szCs w:val="18"/>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(33,875)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Capacity Rationalization Charges</w:t>
            </w:r>
          </w:p>
        </w:tc>
        <w:tc>
          <w:tcPr>
            <w:tcW w:w="320" w:type="dxa"/>
            <w:vAlign w:val="bottom"/>
            <w:shd w:val="clear" w:color="auto" w:fill="CCFFCC"/>
          </w:tcPr>
          <w:p>
            <w:pPr>
              <w:spacing w:after="0"/>
              <w:rPr>
                <w:sz w:val="19"/>
                <w:szCs w:val="19"/>
                <w:color w:val="auto"/>
              </w:rPr>
            </w:pPr>
          </w:p>
        </w:tc>
        <w:tc>
          <w:tcPr>
            <w:tcW w:w="15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(70)</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FFCC"/>
          </w:tcPr>
          <w:p>
            <w:pPr>
              <w:spacing w:after="0"/>
              <w:rPr>
                <w:sz w:val="19"/>
                <w:szCs w:val="19"/>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14,458</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7.7%</w:t>
            </w: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9,587</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Pr>
          <w:p>
            <w:pPr>
              <w:spacing w:after="0"/>
              <w:rPr>
                <w:sz w:val="18"/>
                <w:szCs w:val="18"/>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(1,374)</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18"/>
                <w:szCs w:val="18"/>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(1,557)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320" w:type="dxa"/>
            <w:vAlign w:val="bottom"/>
            <w:shd w:val="clear" w:color="auto" w:fill="CCFFCC"/>
          </w:tcPr>
          <w:p>
            <w:pPr>
              <w:spacing w:after="0"/>
              <w:rPr>
                <w:sz w:val="19"/>
                <w:szCs w:val="19"/>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445</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FFCC"/>
          </w:tcPr>
          <w:p>
            <w:pPr>
              <w:spacing w:after="0"/>
              <w:rPr>
                <w:sz w:val="19"/>
                <w:szCs w:val="19"/>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356</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13,529</w:t>
            </w: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8,386</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320" w:type="dxa"/>
            <w:vAlign w:val="bottom"/>
          </w:tcPr>
          <w:p>
            <w:pPr>
              <w:spacing w:after="0"/>
              <w:rPr>
                <w:sz w:val="19"/>
                <w:szCs w:val="19"/>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(3,680)</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(2,180)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9,849</w:t>
            </w:r>
          </w:p>
        </w:tc>
        <w:tc>
          <w:tcPr>
            <w:tcW w:w="164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5.3%</w:t>
            </w:r>
          </w:p>
        </w:tc>
        <w:tc>
          <w:tcPr>
            <w:tcW w:w="48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6,206</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3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1.52</w:t>
            </w:r>
          </w:p>
        </w:tc>
        <w:tc>
          <w:tcPr>
            <w:tcW w:w="164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0.93</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Basic Class B Common</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1.14</w:t>
            </w: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0.70</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1.40</w:t>
            </w:r>
          </w:p>
        </w:tc>
        <w:tc>
          <w:tcPr>
            <w:tcW w:w="164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0.86</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Basic Common</w:t>
            </w:r>
          </w:p>
        </w:tc>
        <w:tc>
          <w:tcPr>
            <w:tcW w:w="32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4,899</w:t>
            </w: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5,118</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Basic Class B Common</w:t>
            </w:r>
          </w:p>
        </w:tc>
        <w:tc>
          <w:tcPr>
            <w:tcW w:w="32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1,966</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1,932</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Diluted</w:t>
            </w:r>
          </w:p>
        </w:tc>
        <w:tc>
          <w:tcPr>
            <w:tcW w:w="32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6,916</w:t>
            </w:r>
          </w:p>
        </w:tc>
        <w:tc>
          <w:tcPr>
            <w:tcW w:w="16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5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7,116</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Contact</w:t>
      </w:r>
    </w:p>
    <w:p>
      <w:pPr>
        <w:jc w:val="center"/>
        <w:spacing w:after="0" w:line="221" w:lineRule="auto"/>
        <w:rPr>
          <w:sz w:val="20"/>
          <w:szCs w:val="20"/>
          <w:color w:val="auto"/>
        </w:rPr>
      </w:pPr>
      <w:r>
        <w:rPr>
          <w:rFonts w:ascii="Arial" w:cs="Arial" w:eastAsia="Arial" w:hAnsi="Arial"/>
          <w:sz w:val="14"/>
          <w:szCs w:val="14"/>
          <w:color w:val="002D69"/>
        </w:rPr>
        <w:t>Reagan Culbertson</w:t>
      </w:r>
    </w:p>
    <w:p>
      <w:pPr>
        <w:jc w:val="center"/>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314" w:gutter="0" w:footer="0" w:header="0"/>
        </w:sectPr>
      </w:pPr>
    </w:p>
    <w:bookmarkStart w:id="10" w:name="page11"/>
    <w:bookmarkEnd w:id="10"/>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970280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448945</wp:posOffset>
            </wp:positionV>
            <wp:extent cx="1346200"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As of April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FFCC"/>
            </w:tcBorders>
          </w:tcPr>
          <w:p>
            <w:pPr>
              <w:spacing w:after="0"/>
              <w:rPr>
                <w:sz w:val="18"/>
                <w:szCs w:val="18"/>
                <w:color w:val="auto"/>
              </w:rPr>
            </w:pPr>
          </w:p>
        </w:tc>
        <w:tc>
          <w:tcPr>
            <w:tcW w:w="3440" w:type="dxa"/>
            <w:vAlign w:val="bottom"/>
            <w:tcBorders>
              <w:bottom w:val="single" w:sz="8" w:color="CCFFCC"/>
            </w:tcBorders>
          </w:tcPr>
          <w:p>
            <w:pPr>
              <w:spacing w:after="0"/>
              <w:rPr>
                <w:sz w:val="18"/>
                <w:szCs w:val="18"/>
                <w:color w:val="auto"/>
              </w:rPr>
            </w:pPr>
          </w:p>
        </w:tc>
        <w:tc>
          <w:tcPr>
            <w:tcW w:w="84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3440" w:type="dxa"/>
            <w:vAlign w:val="bottom"/>
          </w:tcPr>
          <w:p>
            <w:pPr>
              <w:spacing w:after="0"/>
              <w:rPr>
                <w:sz w:val="18"/>
                <w:szCs w:val="18"/>
                <w:color w:val="auto"/>
              </w:rPr>
            </w:pPr>
          </w:p>
        </w:tc>
        <w:tc>
          <w:tcPr>
            <w:tcW w:w="11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22,649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Investment in Short-term Securities</w:t>
            </w: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17,446</w:t>
            </w:r>
          </w:p>
        </w:tc>
        <w:tc>
          <w:tcPr>
            <w:tcW w:w="6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b w:val="1"/>
                <w:bCs w:val="1"/>
                <w:color w:val="auto"/>
              </w:rPr>
              <w:t>Accounts Receivable, net</w:t>
            </w: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29,784</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Inventories</w:t>
            </w: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21,349</w:t>
            </w:r>
          </w:p>
        </w:tc>
        <w:tc>
          <w:tcPr>
            <w:tcW w:w="6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b w:val="1"/>
                <w:bCs w:val="1"/>
                <w:color w:val="auto"/>
              </w:rPr>
              <w:t>Prepaid Expenses</w:t>
            </w: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8,193</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Other Current Assets</w:t>
            </w:r>
          </w:p>
        </w:tc>
        <w:tc>
          <w:tcPr>
            <w:tcW w:w="344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340" w:type="dxa"/>
            <w:vAlign w:val="bottom"/>
            <w:tcBorders>
              <w:bottom w:val="single" w:sz="8" w:color="auto"/>
            </w:tcBorders>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FFCC"/>
            </w:tcBorders>
          </w:tcPr>
          <w:p>
            <w:pPr>
              <w:spacing w:after="0"/>
              <w:rPr>
                <w:sz w:val="18"/>
                <w:szCs w:val="18"/>
                <w:color w:val="auto"/>
              </w:rPr>
            </w:pPr>
          </w:p>
        </w:tc>
        <w:tc>
          <w:tcPr>
            <w:tcW w:w="3440" w:type="dxa"/>
            <w:vAlign w:val="bottom"/>
            <w:tcBorders>
              <w:bottom w:val="single" w:sz="8" w:color="CCFFCC"/>
            </w:tcBorders>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84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99,421</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w:t>
            </w: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65,758</w:t>
            </w:r>
          </w:p>
        </w:tc>
        <w:tc>
          <w:tcPr>
            <w:tcW w:w="6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66,378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15,675</w:t>
            </w:r>
          </w:p>
        </w:tc>
        <w:tc>
          <w:tcPr>
            <w:tcW w:w="6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3440" w:type="dxa"/>
            <w:vAlign w:val="bottom"/>
            <w:tcBorders>
              <w:top w:val="single" w:sz="8" w:color="CCFFCC"/>
              <w:bottom w:val="single" w:sz="8" w:color="CCFFCC"/>
            </w:tcBorders>
            <w:shd w:val="clear" w:color="auto" w:fill="CCFFCC"/>
          </w:tcPr>
          <w:p>
            <w:pPr>
              <w:spacing w:after="0"/>
              <w:rPr>
                <w:sz w:val="19"/>
                <w:szCs w:val="19"/>
                <w:color w:val="auto"/>
              </w:rPr>
            </w:pPr>
          </w:p>
        </w:tc>
        <w:tc>
          <w:tcPr>
            <w:tcW w:w="84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180,854</w:t>
            </w:r>
          </w:p>
        </w:tc>
        <w:tc>
          <w:tcPr>
            <w:tcW w:w="640" w:type="dxa"/>
            <w:vAlign w:val="bottom"/>
            <w:tcBorders>
              <w:top w:val="single" w:sz="8" w:color="auto"/>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171,938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b w:val="1"/>
                <w:bCs w:val="1"/>
                <w:color w:val="auto"/>
              </w:rPr>
              <w:t>Current Maturities of Notes Payable</w:t>
            </w:r>
          </w:p>
        </w:tc>
        <w:tc>
          <w:tcPr>
            <w:tcW w:w="3440" w:type="dxa"/>
            <w:vAlign w:val="bottom"/>
          </w:tcPr>
          <w:p>
            <w:pPr>
              <w:spacing w:after="0"/>
              <w:rPr>
                <w:sz w:val="18"/>
                <w:szCs w:val="18"/>
                <w:color w:val="auto"/>
              </w:rPr>
            </w:pPr>
          </w:p>
        </w:tc>
        <w:tc>
          <w:tcPr>
            <w:tcW w:w="11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3,500</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Accounts Payable</w:t>
            </w: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6,742</w:t>
            </w:r>
          </w:p>
        </w:tc>
        <w:tc>
          <w:tcPr>
            <w:tcW w:w="6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b w:val="1"/>
                <w:bCs w:val="1"/>
                <w:color w:val="auto"/>
              </w:rPr>
              <w:t>Dividends Payable</w:t>
            </w: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Accrued Expenses</w:t>
            </w:r>
          </w:p>
        </w:tc>
        <w:tc>
          <w:tcPr>
            <w:tcW w:w="344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20,021</w:t>
            </w:r>
          </w:p>
        </w:tc>
        <w:tc>
          <w:tcPr>
            <w:tcW w:w="6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FFCC"/>
            </w:tcBorders>
          </w:tcPr>
          <w:p>
            <w:pPr>
              <w:spacing w:after="0"/>
              <w:rPr>
                <w:sz w:val="18"/>
                <w:szCs w:val="18"/>
                <w:color w:val="auto"/>
              </w:rPr>
            </w:pPr>
          </w:p>
        </w:tc>
        <w:tc>
          <w:tcPr>
            <w:tcW w:w="3440" w:type="dxa"/>
            <w:vAlign w:val="bottom"/>
            <w:tcBorders>
              <w:bottom w:val="single" w:sz="8" w:color="CCFFCC"/>
            </w:tcBorders>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84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30,263</w:t>
            </w: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b w:val="1"/>
                <w:bCs w:val="1"/>
                <w:color w:val="auto"/>
              </w:rPr>
              <w:t>Notes Payable</w:t>
            </w: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22,400</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Other Noncurrent Liabilities</w:t>
            </w:r>
          </w:p>
        </w:tc>
        <w:tc>
          <w:tcPr>
            <w:tcW w:w="344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34,741</w:t>
            </w:r>
          </w:p>
        </w:tc>
        <w:tc>
          <w:tcPr>
            <w:tcW w:w="6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FFCC"/>
            </w:tcBorders>
          </w:tcPr>
          <w:p>
            <w:pPr>
              <w:spacing w:after="0"/>
              <w:rPr>
                <w:sz w:val="18"/>
                <w:szCs w:val="18"/>
                <w:color w:val="auto"/>
              </w:rPr>
            </w:pPr>
          </w:p>
        </w:tc>
        <w:tc>
          <w:tcPr>
            <w:tcW w:w="3440" w:type="dxa"/>
            <w:vAlign w:val="bottom"/>
            <w:tcBorders>
              <w:bottom w:val="single" w:sz="8" w:color="CCFFCC"/>
            </w:tcBorders>
          </w:tcPr>
          <w:p>
            <w:pPr>
              <w:ind w:left="500"/>
              <w:spacing w:after="0"/>
              <w:rPr>
                <w:sz w:val="20"/>
                <w:szCs w:val="20"/>
                <w:color w:val="auto"/>
              </w:rPr>
            </w:pPr>
            <w:r>
              <w:rPr>
                <w:rFonts w:ascii="Arial" w:cs="Arial" w:eastAsia="Arial" w:hAnsi="Arial"/>
                <w:sz w:val="18"/>
                <w:szCs w:val="18"/>
                <w:b w:val="1"/>
                <w:bCs w:val="1"/>
                <w:color w:val="auto"/>
              </w:rPr>
              <w:t>Total Long-Term Liabilities</w:t>
            </w:r>
          </w:p>
        </w:tc>
        <w:tc>
          <w:tcPr>
            <w:tcW w:w="84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57,141</w:t>
            </w: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48,306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93,450</w:t>
            </w:r>
          </w:p>
        </w:tc>
        <w:tc>
          <w:tcPr>
            <w:tcW w:w="6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96,419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40" w:type="dxa"/>
            <w:vAlign w:val="bottom"/>
            <w:tcBorders>
              <w:bottom w:val="single" w:sz="8" w:color="CCFFCC"/>
            </w:tcBorders>
          </w:tcPr>
          <w:p>
            <w:pPr>
              <w:spacing w:after="0"/>
              <w:rPr>
                <w:sz w:val="22"/>
                <w:szCs w:val="22"/>
                <w:color w:val="auto"/>
              </w:rPr>
            </w:pPr>
          </w:p>
        </w:tc>
        <w:tc>
          <w:tcPr>
            <w:tcW w:w="84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180,854</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171,938</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shd w:val="clear" w:color="auto" w:fill="CCFFCC"/>
          </w:tcPr>
          <w:p>
            <w:pPr>
              <w:spacing w:after="0"/>
              <w:rPr>
                <w:sz w:val="17"/>
                <w:szCs w:val="17"/>
                <w:color w:val="auto"/>
              </w:rPr>
            </w:pPr>
          </w:p>
        </w:tc>
        <w:tc>
          <w:tcPr>
            <w:tcW w:w="34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440" w:type="dxa"/>
            <w:vAlign w:val="bottom"/>
          </w:tcPr>
          <w:p>
            <w:pPr>
              <w:spacing w:after="0"/>
              <w:rPr>
                <w:sz w:val="18"/>
                <w:szCs w:val="18"/>
                <w:color w:val="auto"/>
              </w:rPr>
            </w:pPr>
          </w:p>
        </w:tc>
        <w:tc>
          <w:tcPr>
            <w:tcW w:w="11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13.61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3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3440" w:type="dxa"/>
            <w:vAlign w:val="bottom"/>
            <w:shd w:val="clear" w:color="auto" w:fill="CCFFCC"/>
          </w:tcPr>
          <w:p>
            <w:pPr>
              <w:ind w:left="960"/>
              <w:spacing w:after="0"/>
              <w:rPr>
                <w:sz w:val="20"/>
                <w:szCs w:val="20"/>
                <w:color w:val="auto"/>
              </w:rPr>
            </w:pPr>
            <w:r>
              <w:rPr>
                <w:rFonts w:ascii="Arial" w:cs="Arial" w:eastAsia="Arial" w:hAnsi="Arial"/>
                <w:sz w:val="18"/>
                <w:szCs w:val="18"/>
                <w:b w:val="1"/>
                <w:bCs w:val="1"/>
                <w:color w:val="auto"/>
              </w:rPr>
              <w:t>Third Quarter</w:t>
            </w:r>
          </w:p>
        </w:tc>
        <w:tc>
          <w:tcPr>
            <w:tcW w:w="116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2,796</w:t>
            </w:r>
          </w:p>
        </w:tc>
        <w:tc>
          <w:tcPr>
            <w:tcW w:w="6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40" w:type="dxa"/>
            <w:vAlign w:val="bottom"/>
          </w:tcPr>
          <w:p>
            <w:pPr>
              <w:ind w:left="960"/>
              <w:spacing w:after="0"/>
              <w:rPr>
                <w:sz w:val="20"/>
                <w:szCs w:val="20"/>
                <w:color w:val="auto"/>
              </w:rPr>
            </w:pPr>
            <w:r>
              <w:rPr>
                <w:rFonts w:ascii="Arial" w:cs="Arial" w:eastAsia="Arial" w:hAnsi="Arial"/>
                <w:sz w:val="18"/>
                <w:szCs w:val="18"/>
                <w:b w:val="1"/>
                <w:bCs w:val="1"/>
                <w:color w:val="auto"/>
              </w:rPr>
              <w:t>Year to Date</w:t>
            </w:r>
          </w:p>
        </w:tc>
        <w:tc>
          <w:tcPr>
            <w:tcW w:w="11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7,805</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Depreciation and Amortization Charges</w:t>
            </w:r>
          </w:p>
        </w:tc>
        <w:tc>
          <w:tcPr>
            <w:tcW w:w="3440" w:type="dxa"/>
            <w:vAlign w:val="bottom"/>
            <w:shd w:val="clear" w:color="auto" w:fill="CCFFCC"/>
          </w:tcPr>
          <w:p>
            <w:pPr>
              <w:ind w:left="960"/>
              <w:spacing w:after="0"/>
              <w:rPr>
                <w:sz w:val="20"/>
                <w:szCs w:val="20"/>
                <w:color w:val="auto"/>
              </w:rPr>
            </w:pPr>
            <w:r>
              <w:rPr>
                <w:rFonts w:ascii="Arial" w:cs="Arial" w:eastAsia="Arial" w:hAnsi="Arial"/>
                <w:sz w:val="18"/>
                <w:szCs w:val="18"/>
                <w:b w:val="1"/>
                <w:bCs w:val="1"/>
                <w:color w:val="auto"/>
              </w:rPr>
              <w:t>Third Quarter</w:t>
            </w:r>
          </w:p>
        </w:tc>
        <w:tc>
          <w:tcPr>
            <w:tcW w:w="116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2,220</w:t>
            </w:r>
          </w:p>
        </w:tc>
        <w:tc>
          <w:tcPr>
            <w:tcW w:w="6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40" w:type="dxa"/>
            <w:vAlign w:val="bottom"/>
          </w:tcPr>
          <w:p>
            <w:pPr>
              <w:ind w:left="960"/>
              <w:spacing w:after="0"/>
              <w:rPr>
                <w:sz w:val="20"/>
                <w:szCs w:val="20"/>
                <w:color w:val="auto"/>
              </w:rPr>
            </w:pPr>
            <w:r>
              <w:rPr>
                <w:rFonts w:ascii="Arial" w:cs="Arial" w:eastAsia="Arial" w:hAnsi="Arial"/>
                <w:sz w:val="18"/>
                <w:szCs w:val="18"/>
                <w:b w:val="1"/>
                <w:bCs w:val="1"/>
                <w:color w:val="auto"/>
              </w:rPr>
              <w:t>Year to Date</w:t>
            </w:r>
          </w:p>
        </w:tc>
        <w:tc>
          <w:tcPr>
            <w:tcW w:w="11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6,695</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Contact</w:t>
      </w:r>
    </w:p>
    <w:p>
      <w:pPr>
        <w:jc w:val="center"/>
        <w:spacing w:after="0" w:line="221" w:lineRule="auto"/>
        <w:rPr>
          <w:sz w:val="20"/>
          <w:szCs w:val="20"/>
          <w:color w:val="auto"/>
        </w:rPr>
      </w:pPr>
      <w:r>
        <w:rPr>
          <w:rFonts w:ascii="Arial" w:cs="Arial" w:eastAsia="Arial" w:hAnsi="Arial"/>
          <w:sz w:val="14"/>
          <w:szCs w:val="14"/>
          <w:color w:val="002D69"/>
        </w:rPr>
        <w:t>Reagan Culbertson</w:t>
      </w:r>
    </w:p>
    <w:p>
      <w:pPr>
        <w:jc w:val="center"/>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970280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448945</wp:posOffset>
            </wp:positionV>
            <wp:extent cx="1346200" cy="454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4"/>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b w:val="1"/>
                <w:bCs w:val="1"/>
                <w:color w:val="auto"/>
                <w:w w:val="95"/>
              </w:rPr>
              <w:t>April 30,</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$9,849</w:t>
            </w:r>
          </w:p>
        </w:tc>
        <w:tc>
          <w:tcPr>
            <w:tcW w:w="5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$6,206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6,695</w:t>
            </w: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Capacity Rationalization Plan Charges</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(Increase) Decrease in Accounts Receivable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385</w:t>
            </w:r>
          </w:p>
        </w:tc>
        <w:tc>
          <w:tcPr>
            <w:tcW w:w="5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Increase in Inventories</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(1,676)</w:t>
            </w:r>
          </w:p>
        </w:tc>
        <w:tc>
          <w:tcPr>
            <w:tcW w:w="50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Increase in Accounts Payable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357</w:t>
            </w: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Increase in Accrued Expenses</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2,481</w:t>
            </w:r>
          </w:p>
        </w:tc>
        <w:tc>
          <w:tcPr>
            <w:tcW w:w="5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Increase in Pension and Postretirements Benefits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949</w:t>
            </w: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Other</w:t>
            </w:r>
          </w:p>
        </w:tc>
        <w:tc>
          <w:tcPr>
            <w:tcW w:w="2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FFCC"/>
            </w:tcBorders>
          </w:tcPr>
          <w:p>
            <w:pPr>
              <w:ind w:left="440"/>
              <w:spacing w:after="0"/>
              <w:rPr>
                <w:sz w:val="20"/>
                <w:szCs w:val="20"/>
                <w:color w:val="auto"/>
              </w:rPr>
            </w:pPr>
            <w:r>
              <w:rPr>
                <w:rFonts w:ascii="Arial" w:cs="Arial" w:eastAsia="Arial" w:hAnsi="Arial"/>
                <w:sz w:val="18"/>
                <w:szCs w:val="18"/>
                <w:b w:val="1"/>
                <w:bCs w:val="1"/>
                <w:color w:val="auto"/>
              </w:rPr>
              <w:t>Total Adjustments</w:t>
            </w:r>
          </w:p>
        </w:tc>
        <w:tc>
          <w:tcPr>
            <w:tcW w:w="22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9,425</w:t>
            </w: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19,274</w:t>
            </w:r>
          </w:p>
        </w:tc>
        <w:tc>
          <w:tcPr>
            <w:tcW w:w="50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15,636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Capital Expenditures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(7,805)</w:t>
            </w:r>
          </w:p>
        </w:tc>
        <w:tc>
          <w:tcPr>
            <w:tcW w:w="5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Net (Purchases) Dispositions of Investment Securities</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(8,278)</w:t>
            </w:r>
          </w:p>
        </w:tc>
        <w:tc>
          <w:tcPr>
            <w:tcW w:w="5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6,777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FFCC"/>
            </w:tcBorders>
            <w:shd w:val="clear" w:color="auto" w:fill="CCFFCC"/>
          </w:tcPr>
          <w:p>
            <w:pPr>
              <w:ind w:left="2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36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(16,021)</w:t>
            </w:r>
          </w:p>
        </w:tc>
        <w:tc>
          <w:tcPr>
            <w:tcW w:w="50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Principal Payments on Long-Term Debt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(3,800)</w:t>
            </w:r>
          </w:p>
        </w:tc>
        <w:tc>
          <w:tcPr>
            <w:tcW w:w="5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Dividends Paid</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(4,630)</w:t>
            </w:r>
          </w:p>
        </w:tc>
        <w:tc>
          <w:tcPr>
            <w:tcW w:w="50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Purchase of Treasury Stock</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5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Other</w:t>
            </w:r>
          </w:p>
        </w:tc>
        <w:tc>
          <w:tcPr>
            <w:tcW w:w="2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896</w:t>
            </w:r>
          </w:p>
        </w:tc>
        <w:tc>
          <w:tcPr>
            <w:tcW w:w="5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FFCC"/>
            </w:tcBorders>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(7,709)</w:t>
            </w: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(9,228)</w:t>
            </w:r>
          </w:p>
        </w:tc>
        <w:tc>
          <w:tcPr>
            <w:tcW w:w="100" w:type="dxa"/>
            <w:vAlign w:val="bottom"/>
            <w:tcBorders>
              <w:bottom w:val="single" w:sz="8" w:color="CCFFC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(4,444)</w:t>
            </w: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7,764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27,093</w:t>
            </w:r>
          </w:p>
        </w:tc>
        <w:tc>
          <w:tcPr>
            <w:tcW w:w="5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17,885</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22,649</w:t>
            </w:r>
          </w:p>
        </w:tc>
        <w:tc>
          <w:tcPr>
            <w:tcW w:w="5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Contact</w:t>
      </w:r>
    </w:p>
    <w:p>
      <w:pPr>
        <w:jc w:val="center"/>
        <w:spacing w:after="0" w:line="221" w:lineRule="auto"/>
        <w:rPr>
          <w:sz w:val="20"/>
          <w:szCs w:val="20"/>
          <w:color w:val="auto"/>
        </w:rPr>
      </w:pPr>
      <w:r>
        <w:rPr>
          <w:rFonts w:ascii="Arial" w:cs="Arial" w:eastAsia="Arial" w:hAnsi="Arial"/>
          <w:sz w:val="14"/>
          <w:szCs w:val="14"/>
          <w:color w:val="002D69"/>
        </w:rPr>
        <w:t>Reagan Culbertson</w:t>
      </w:r>
    </w:p>
    <w:p>
      <w:pPr>
        <w:jc w:val="center"/>
        <w:spacing w:after="0" w:line="221" w:lineRule="auto"/>
        <w:rPr>
          <w:sz w:val="20"/>
          <w:szCs w:val="20"/>
          <w:color w:val="auto"/>
        </w:rPr>
      </w:pPr>
      <w:r>
        <w:rPr>
          <w:rFonts w:ascii="Arial" w:cs="Arial" w:eastAsia="Arial" w:hAnsi="Arial"/>
          <w:sz w:val="14"/>
          <w:szCs w:val="14"/>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2020-02-21T14:14:23Z</dcterms:created>
  <dcterms:modified xsi:type="dcterms:W3CDTF">2020-02-21T14:14:23Z</dcterms:modified>
</cp:coreProperties>
</file>