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1"/>
        </w:trPr>
        <w:tc>
          <w:tcPr>
            <w:tcW w:w="2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331"/>
        </w:trPr>
        <w:tc>
          <w:tcPr>
            <w:tcW w:w="2100" w:type="dxa"/>
            <w:vAlign w:val="bottom"/>
          </w:tcPr>
          <w:p>
            <w:pPr>
              <w:spacing w:after="0"/>
              <w:rPr>
                <w:sz w:val="24"/>
                <w:szCs w:val="24"/>
                <w:color w:val="auto"/>
              </w:rPr>
            </w:pPr>
          </w:p>
        </w:tc>
        <w:tc>
          <w:tcPr>
            <w:tcW w:w="6000" w:type="dxa"/>
            <w:vAlign w:val="bottom"/>
            <w:gridSpan w:val="3"/>
          </w:tcPr>
          <w:p>
            <w:pPr>
              <w:jc w:val="center"/>
              <w:ind w:left="1132"/>
              <w:spacing w:after="0"/>
              <w:rPr>
                <w:sz w:val="20"/>
                <w:szCs w:val="20"/>
                <w:color w:val="auto"/>
              </w:rPr>
            </w:pPr>
            <w:r>
              <w:rPr>
                <w:rFonts w:ascii="Times New Roman" w:cs="Times New Roman" w:eastAsia="Times New Roman" w:hAnsi="Times New Roman"/>
                <w:sz w:val="18"/>
                <w:szCs w:val="18"/>
                <w:color w:val="auto"/>
                <w:w w:val="98"/>
              </w:rPr>
              <w:t>SECURITIES AND EXCHANGE COMMISSION</w:t>
            </w:r>
          </w:p>
        </w:tc>
      </w:tr>
      <w:tr>
        <w:trPr>
          <w:trHeight w:val="331"/>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6"/>
              </w:rPr>
              <w:t>Washington, D. C. 20549</w:t>
            </w:r>
          </w:p>
        </w:tc>
      </w:tr>
      <w:tr>
        <w:trPr>
          <w:trHeight w:val="424"/>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7"/>
              </w:rPr>
              <w:t>FORM 10-Q</w:t>
            </w:r>
          </w:p>
        </w:tc>
      </w:tr>
      <w:tr>
        <w:trPr>
          <w:trHeight w:val="33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(Mark One)</w:t>
            </w:r>
          </w:p>
        </w:tc>
        <w:tc>
          <w:tcPr>
            <w:tcW w:w="2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90"/>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6000" w:type="dxa"/>
            <w:vAlign w:val="bottom"/>
            <w:gridSpan w:val="3"/>
          </w:tcPr>
          <w:p>
            <w:pPr>
              <w:jc w:val="center"/>
              <w:ind w:left="1152"/>
              <w:spacing w:after="0"/>
              <w:rPr>
                <w:sz w:val="20"/>
                <w:szCs w:val="20"/>
                <w:color w:val="auto"/>
              </w:rPr>
            </w:pPr>
            <w:r>
              <w:rPr>
                <w:rFonts w:ascii="Times New Roman" w:cs="Times New Roman" w:eastAsia="Times New Roman" w:hAnsi="Times New Roman"/>
                <w:sz w:val="18"/>
                <w:szCs w:val="18"/>
                <w:color w:val="auto"/>
                <w:w w:val="97"/>
              </w:rPr>
              <w:t>Quarterly Report Pursuant to Section 13 or 15(d)</w:t>
            </w:r>
          </w:p>
        </w:tc>
      </w:tr>
      <w:tr>
        <w:trPr>
          <w:trHeight w:val="225"/>
        </w:trPr>
        <w:tc>
          <w:tcPr>
            <w:tcW w:w="2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6"/>
              </w:rPr>
              <w:t>of the</w:t>
            </w:r>
          </w:p>
        </w:tc>
      </w:tr>
      <w:tr>
        <w:trPr>
          <w:trHeight w:val="225"/>
        </w:trPr>
        <w:tc>
          <w:tcPr>
            <w:tcW w:w="2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Securities Exchange Act of 1934</w:t>
            </w:r>
          </w:p>
        </w:tc>
      </w:tr>
      <w:tr>
        <w:trPr>
          <w:trHeight w:val="231"/>
        </w:trPr>
        <w:tc>
          <w:tcPr>
            <w:tcW w:w="2100" w:type="dxa"/>
            <w:vAlign w:val="bottom"/>
          </w:tcPr>
          <w:p>
            <w:pPr>
              <w:spacing w:after="0"/>
              <w:rPr>
                <w:sz w:val="20"/>
                <w:szCs w:val="20"/>
                <w:color w:val="auto"/>
              </w:rPr>
            </w:pPr>
          </w:p>
        </w:tc>
        <w:tc>
          <w:tcPr>
            <w:tcW w:w="6000" w:type="dxa"/>
            <w:vAlign w:val="bottom"/>
            <w:gridSpan w:val="3"/>
          </w:tcPr>
          <w:p>
            <w:pPr>
              <w:jc w:val="center"/>
              <w:ind w:left="1172"/>
              <w:spacing w:after="0"/>
              <w:rPr>
                <w:sz w:val="20"/>
                <w:szCs w:val="20"/>
                <w:color w:val="auto"/>
              </w:rPr>
            </w:pPr>
            <w:r>
              <w:rPr>
                <w:rFonts w:ascii="Times New Roman" w:cs="Times New Roman" w:eastAsia="Times New Roman" w:hAnsi="Times New Roman"/>
                <w:sz w:val="18"/>
                <w:szCs w:val="18"/>
                <w:color w:val="auto"/>
                <w:w w:val="98"/>
              </w:rPr>
              <w:t>For the Quarterly Period Ended October 31, 2014</w:t>
            </w:r>
          </w:p>
        </w:tc>
      </w:tr>
      <w:tr>
        <w:trPr>
          <w:trHeight w:val="397"/>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3"/>
              </w:rPr>
              <w:t>or</w:t>
            </w:r>
          </w:p>
        </w:tc>
      </w:tr>
      <w:tr>
        <w:trPr>
          <w:trHeight w:val="457"/>
        </w:trPr>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t>
            </w:r>
          </w:p>
        </w:tc>
        <w:tc>
          <w:tcPr>
            <w:tcW w:w="6000" w:type="dxa"/>
            <w:vAlign w:val="bottom"/>
            <w:gridSpan w:val="3"/>
          </w:tcPr>
          <w:p>
            <w:pPr>
              <w:jc w:val="center"/>
              <w:ind w:left="1152"/>
              <w:spacing w:after="0"/>
              <w:rPr>
                <w:sz w:val="20"/>
                <w:szCs w:val="20"/>
                <w:color w:val="auto"/>
              </w:rPr>
            </w:pPr>
            <w:r>
              <w:rPr>
                <w:rFonts w:ascii="Times New Roman" w:cs="Times New Roman" w:eastAsia="Times New Roman" w:hAnsi="Times New Roman"/>
                <w:sz w:val="18"/>
                <w:szCs w:val="18"/>
                <w:color w:val="auto"/>
                <w:w w:val="98"/>
              </w:rPr>
              <w:t>Transition Report Pursuant to Section 13 or 15(d) of the</w:t>
            </w:r>
          </w:p>
        </w:tc>
      </w:tr>
      <w:tr>
        <w:trPr>
          <w:trHeight w:val="225"/>
        </w:trPr>
        <w:tc>
          <w:tcPr>
            <w:tcW w:w="2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Securities Exchange Act of 1934</w:t>
            </w:r>
          </w:p>
        </w:tc>
      </w:tr>
      <w:tr>
        <w:trPr>
          <w:trHeight w:val="231"/>
        </w:trPr>
        <w:tc>
          <w:tcPr>
            <w:tcW w:w="2100" w:type="dxa"/>
            <w:vAlign w:val="bottom"/>
          </w:tcPr>
          <w:p>
            <w:pPr>
              <w:spacing w:after="0"/>
              <w:rPr>
                <w:sz w:val="20"/>
                <w:szCs w:val="20"/>
                <w:color w:val="auto"/>
              </w:rPr>
            </w:pPr>
          </w:p>
        </w:tc>
        <w:tc>
          <w:tcPr>
            <w:tcW w:w="6000" w:type="dxa"/>
            <w:vAlign w:val="bottom"/>
            <w:gridSpan w:val="3"/>
          </w:tcPr>
          <w:p>
            <w:pPr>
              <w:jc w:val="center"/>
              <w:ind w:left="1152"/>
              <w:spacing w:after="0"/>
              <w:rPr>
                <w:sz w:val="20"/>
                <w:szCs w:val="20"/>
                <w:color w:val="auto"/>
              </w:rPr>
            </w:pPr>
            <w:r>
              <w:rPr>
                <w:rFonts w:ascii="Times New Roman" w:cs="Times New Roman" w:eastAsia="Times New Roman" w:hAnsi="Times New Roman"/>
                <w:sz w:val="18"/>
                <w:szCs w:val="18"/>
                <w:color w:val="auto"/>
                <w:w w:val="98"/>
              </w:rPr>
              <w:t>For the transition period from _____________ to ______________</w:t>
            </w:r>
          </w:p>
        </w:tc>
      </w:tr>
      <w:tr>
        <w:trPr>
          <w:trHeight w:val="450"/>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Commission File Number 001-12622</w:t>
            </w:r>
          </w:p>
        </w:tc>
      </w:tr>
      <w:tr>
        <w:trPr>
          <w:trHeight w:val="383"/>
        </w:trPr>
        <w:tc>
          <w:tcPr>
            <w:tcW w:w="2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7"/>
              </w:rPr>
              <w:t>OIL-DRI CORPORATION OF AMERICA</w:t>
            </w:r>
          </w:p>
        </w:tc>
      </w:tr>
      <w:tr>
        <w:trPr>
          <w:trHeight w:val="20"/>
        </w:trPr>
        <w:tc>
          <w:tcPr>
            <w:tcW w:w="2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2100" w:type="dxa"/>
            <w:vAlign w:val="bottom"/>
          </w:tcPr>
          <w:p>
            <w:pPr>
              <w:spacing w:after="0"/>
              <w:rPr>
                <w:sz w:val="20"/>
                <w:szCs w:val="20"/>
                <w:color w:val="auto"/>
              </w:rPr>
            </w:pPr>
          </w:p>
        </w:tc>
        <w:tc>
          <w:tcPr>
            <w:tcW w:w="6000" w:type="dxa"/>
            <w:vAlign w:val="bottom"/>
            <w:gridSpan w:val="3"/>
          </w:tcPr>
          <w:p>
            <w:pPr>
              <w:jc w:val="center"/>
              <w:ind w:left="1132"/>
              <w:spacing w:after="0"/>
              <w:rPr>
                <w:sz w:val="20"/>
                <w:szCs w:val="20"/>
                <w:color w:val="auto"/>
              </w:rPr>
            </w:pPr>
            <w:r>
              <w:rPr>
                <w:rFonts w:ascii="Times New Roman" w:cs="Times New Roman" w:eastAsia="Times New Roman" w:hAnsi="Times New Roman"/>
                <w:sz w:val="18"/>
                <w:szCs w:val="18"/>
                <w:color w:val="auto"/>
                <w:w w:val="97"/>
              </w:rPr>
              <w:t>(Exact name of the registrant as specified in its charter)</w:t>
            </w:r>
          </w:p>
        </w:tc>
      </w:tr>
    </w:tbl>
    <w:p>
      <w:pPr>
        <w:spacing w:after="0" w:line="3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248920</wp:posOffset>
            </wp:positionH>
            <wp:positionV relativeFrom="page">
              <wp:posOffset>618490</wp:posOffset>
            </wp:positionV>
            <wp:extent cx="7072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2630" cy="8255"/>
                    </a:xfrm>
                    <a:prstGeom prst="rect">
                      <a:avLst/>
                    </a:prstGeom>
                    <a:noFill/>
                  </pic:spPr>
                </pic:pic>
              </a:graphicData>
            </a:graphic>
          </wp:anchor>
        </w:drawing>
        <w:drawing>
          <wp:anchor simplePos="0" relativeHeight="251657728" behindDoc="1" locked="0" layoutInCell="0" allowOverlap="1">
            <wp:simplePos x="0" y="0"/>
            <wp:positionH relativeFrom="page">
              <wp:posOffset>248920</wp:posOffset>
            </wp:positionH>
            <wp:positionV relativeFrom="page">
              <wp:posOffset>526415</wp:posOffset>
            </wp:positionV>
            <wp:extent cx="70726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2630" cy="16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3"/>
          </w:tcPr>
          <w:p>
            <w:pPr>
              <w:jc w:val="center"/>
              <w:ind w:right="3260"/>
              <w:spacing w:after="0"/>
              <w:rPr>
                <w:sz w:val="20"/>
                <w:szCs w:val="20"/>
                <w:color w:val="auto"/>
              </w:rPr>
            </w:pPr>
            <w:r>
              <w:rPr>
                <w:rFonts w:ascii="Times New Roman" w:cs="Times New Roman" w:eastAsia="Times New Roman" w:hAnsi="Times New Roman"/>
                <w:sz w:val="18"/>
                <w:szCs w:val="18"/>
                <w:color w:val="auto"/>
                <w:w w:val="98"/>
              </w:rPr>
              <w:t>Delaware</w:t>
            </w:r>
          </w:p>
        </w:tc>
        <w:tc>
          <w:tcPr>
            <w:tcW w:w="2720" w:type="dxa"/>
            <w:vAlign w:val="bottom"/>
            <w:gridSpan w:val="3"/>
          </w:tcPr>
          <w:p>
            <w:pPr>
              <w:jc w:val="center"/>
              <w:ind w:left="1332"/>
              <w:spacing w:after="0"/>
              <w:rPr>
                <w:sz w:val="20"/>
                <w:szCs w:val="20"/>
                <w:color w:val="auto"/>
              </w:rPr>
            </w:pPr>
            <w:r>
              <w:rPr>
                <w:rFonts w:ascii="Times New Roman" w:cs="Times New Roman" w:eastAsia="Times New Roman" w:hAnsi="Times New Roman"/>
                <w:sz w:val="18"/>
                <w:szCs w:val="18"/>
                <w:color w:val="auto"/>
                <w:w w:val="98"/>
              </w:rPr>
              <w:t>36-2048898</w:t>
            </w: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64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w:t>
            </w:r>
          </w:p>
        </w:tc>
        <w:tc>
          <w:tcPr>
            <w:tcW w:w="2720" w:type="dxa"/>
            <w:vAlign w:val="bottom"/>
            <w:gridSpan w:val="3"/>
          </w:tcPr>
          <w:p>
            <w:pPr>
              <w:jc w:val="center"/>
              <w:ind w:left="133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2300" w:type="dxa"/>
            <w:vAlign w:val="bottom"/>
          </w:tcPr>
          <w:p>
            <w:pPr>
              <w:spacing w:after="0"/>
              <w:rPr>
                <w:sz w:val="20"/>
                <w:szCs w:val="20"/>
                <w:color w:val="auto"/>
              </w:rPr>
            </w:pPr>
          </w:p>
        </w:tc>
        <w:tc>
          <w:tcPr>
            <w:tcW w:w="418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color w:val="auto"/>
                <w:w w:val="97"/>
              </w:rPr>
              <w:t>organization)</w:t>
            </w:r>
          </w:p>
        </w:tc>
        <w:tc>
          <w:tcPr>
            <w:tcW w:w="2720" w:type="dxa"/>
            <w:vAlign w:val="bottom"/>
            <w:gridSpan w:val="3"/>
          </w:tcPr>
          <w:p>
            <w:pPr>
              <w:jc w:val="center"/>
              <w:ind w:left="133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89"/>
        </w:trPr>
        <w:tc>
          <w:tcPr>
            <w:tcW w:w="648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w w:val="97"/>
              </w:rPr>
              <w:t>410 North Michigan Avenue, Suite 400</w:t>
            </w:r>
          </w:p>
        </w:tc>
        <w:tc>
          <w:tcPr>
            <w:tcW w:w="164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60611-4213</w:t>
            </w:r>
          </w:p>
        </w:tc>
        <w:tc>
          <w:tcPr>
            <w:tcW w:w="200" w:type="dxa"/>
            <w:vAlign w:val="bottom"/>
          </w:tcPr>
          <w:p>
            <w:pPr>
              <w:spacing w:after="0"/>
              <w:rPr>
                <w:sz w:val="24"/>
                <w:szCs w:val="24"/>
                <w:color w:val="auto"/>
              </w:rPr>
            </w:pPr>
          </w:p>
        </w:tc>
      </w:tr>
      <w:tr>
        <w:trPr>
          <w:trHeight w:val="192"/>
        </w:trPr>
        <w:tc>
          <w:tcPr>
            <w:tcW w:w="23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Chicago, Illinois</w:t>
            </w:r>
          </w:p>
        </w:tc>
        <w:tc>
          <w:tcPr>
            <w:tcW w:w="3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80" w:type="dxa"/>
            <w:vAlign w:val="bottom"/>
            <w:gridSpan w:val="2"/>
          </w:tcPr>
          <w:p>
            <w:pPr>
              <w:jc w:val="center"/>
              <w:ind w:right="220"/>
              <w:spacing w:after="0" w:line="192" w:lineRule="exact"/>
              <w:rPr>
                <w:sz w:val="20"/>
                <w:szCs w:val="20"/>
                <w:color w:val="auto"/>
              </w:rPr>
            </w:pPr>
            <w:r>
              <w:rPr>
                <w:rFonts w:ascii="Times New Roman" w:cs="Times New Roman" w:eastAsia="Times New Roman" w:hAnsi="Times New Roman"/>
                <w:sz w:val="18"/>
                <w:szCs w:val="18"/>
                <w:color w:val="auto"/>
                <w:w w:val="98"/>
              </w:rPr>
              <w:t>(Zip Code)</w:t>
            </w:r>
          </w:p>
        </w:tc>
      </w:tr>
      <w:tr>
        <w:trPr>
          <w:trHeight w:val="233"/>
        </w:trPr>
        <w:tc>
          <w:tcPr>
            <w:tcW w:w="64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0"/>
        </w:trPr>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3"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Yes x  No o</w:t>
      </w:r>
    </w:p>
    <w:p>
      <w:pPr>
        <w:spacing w:after="0" w:line="105"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Yes x  No o</w:t>
      </w:r>
    </w:p>
    <w:p>
      <w:pPr>
        <w:spacing w:after="0" w:line="105" w:lineRule="exact"/>
        <w:rPr>
          <w:sz w:val="24"/>
          <w:szCs w:val="24"/>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141" w:right="259" w:bottom="1440" w:gutter="0" w:footer="0" w:header="0"/>
        </w:sectPr>
      </w:pPr>
    </w:p>
    <w:p>
      <w:pPr>
        <w:spacing w:after="0" w:line="1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4">
            <w:col w:w="2180" w:space="720"/>
            <w:col w:w="2140" w:space="720"/>
            <w:col w:w="2120" w:space="720"/>
            <w:col w:w="2800"/>
          </w:cols>
          <w:pgMar w:left="240" w:top="1141" w:right="25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6"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Yes o  No x</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October 31, 2014.</w:t>
      </w:r>
    </w:p>
    <w:p>
      <w:pPr>
        <w:sectPr>
          <w:pgSz w:w="11900" w:h="16838" w:orient="portrait"/>
          <w:cols w:equalWidth="0" w:num="1">
            <w:col w:w="11400"/>
          </w:cols>
          <w:pgMar w:left="240" w:top="1141"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Common Stock – 5,014,942 Shares and Class B Stock – 2,064,994 Shares</w:t>
      </w:r>
    </w:p>
    <w:p>
      <w:pPr>
        <w:sectPr>
          <w:pgSz w:w="11900" w:h="16838" w:orient="portrait"/>
          <w:cols w:equalWidth="0" w:num="1">
            <w:col w:w="11400"/>
          </w:cols>
          <w:pgMar w:left="240" w:top="1141" w:right="2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180" w:type="dxa"/>
            <w:vAlign w:val="bottom"/>
            <w:gridSpan w:val="9"/>
          </w:tcPr>
          <w:p>
            <w:pPr>
              <w:jc w:val="center"/>
              <w:ind w:left="121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6"/>
        </w:trPr>
        <w:tc>
          <w:tcPr>
            <w:tcW w:w="880" w:type="dxa"/>
            <w:vAlign w:val="bottom"/>
          </w:tcPr>
          <w:p>
            <w:pPr>
              <w:spacing w:after="0"/>
              <w:rPr>
                <w:sz w:val="4"/>
                <w:szCs w:val="4"/>
                <w:color w:val="auto"/>
              </w:rPr>
            </w:pPr>
          </w:p>
        </w:tc>
        <w:tc>
          <w:tcPr>
            <w:tcW w:w="8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w:t>
              </w:r>
            </w:hyperlink>
          </w:p>
        </w:tc>
        <w:tc>
          <w:tcPr>
            <w:tcW w:w="1820" w:type="dxa"/>
            <w:vAlign w:val="bottom"/>
            <w:gridSpan w:val="6"/>
            <w:shd w:val="clear" w:color="auto" w:fill="CCEEFF"/>
          </w:tcPr>
          <w:p>
            <w:pPr>
              <w:jc w:val="center"/>
              <w:spacing w:after="0" w:line="199"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920" w:type="dxa"/>
            <w:vAlign w:val="bottom"/>
            <w:gridSpan w:val="8"/>
            <w:shd w:val="clear" w:color="auto" w:fill="CCEEFF"/>
          </w:tcPr>
          <w:p>
            <w:pPr>
              <w:jc w:val="center"/>
              <w:ind w:right="60"/>
              <w:spacing w:after="0" w:line="199"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15</w:t>
              </w:r>
            </w:hyperlink>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Quantitative and Qualitative Disclosures About Market Risk</w:t>
              </w:r>
            </w:hyperlink>
          </w:p>
        </w:tc>
        <w:tc>
          <w:tcPr>
            <w:tcW w:w="1840" w:type="dxa"/>
            <w:vAlign w:val="bottom"/>
            <w:gridSpan w:val="7"/>
            <w:shd w:val="clear" w:color="auto" w:fill="CCEEFF"/>
          </w:tcPr>
          <w:p>
            <w:pPr>
              <w:jc w:val="center"/>
              <w:ind w:left="1532"/>
              <w:spacing w:after="0" w:line="199" w:lineRule="exact"/>
              <w:rPr>
                <w:rFonts w:ascii="Times New Roman" w:cs="Times New Roman" w:eastAsia="Times New Roman" w:hAnsi="Times New Roman"/>
                <w:sz w:val="18"/>
                <w:szCs w:val="18"/>
                <w:color w:val="0000FF"/>
                <w:w w:val="99"/>
              </w:rPr>
            </w:pPr>
            <w:hyperlink w:anchor="page20">
              <w:r>
                <w:rPr>
                  <w:rFonts w:ascii="Times New Roman" w:cs="Times New Roman" w:eastAsia="Times New Roman" w:hAnsi="Times New Roman"/>
                  <w:sz w:val="18"/>
                  <w:szCs w:val="18"/>
                  <w:color w:val="0000FF"/>
                  <w:w w:val="99"/>
                </w:rPr>
                <w:t>21</w:t>
              </w:r>
            </w:hyperlink>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Controls and Procedures</w:t>
              </w:r>
            </w:hyperlink>
          </w:p>
        </w:tc>
        <w:tc>
          <w:tcPr>
            <w:tcW w:w="1840" w:type="dxa"/>
            <w:vAlign w:val="bottom"/>
            <w:gridSpan w:val="7"/>
            <w:shd w:val="clear" w:color="auto" w:fill="CCEEFF"/>
          </w:tcPr>
          <w:p>
            <w:pPr>
              <w:jc w:val="center"/>
              <w:ind w:left="1532"/>
              <w:spacing w:after="0" w:line="199" w:lineRule="exact"/>
              <w:rPr>
                <w:rFonts w:ascii="Times New Roman" w:cs="Times New Roman" w:eastAsia="Times New Roman" w:hAnsi="Times New Roman"/>
                <w:sz w:val="18"/>
                <w:szCs w:val="18"/>
                <w:color w:val="0000FF"/>
                <w:w w:val="99"/>
              </w:rPr>
            </w:pPr>
            <w:hyperlink w:anchor="page21">
              <w:r>
                <w:rPr>
                  <w:rFonts w:ascii="Times New Roman" w:cs="Times New Roman" w:eastAsia="Times New Roman" w:hAnsi="Times New Roman"/>
                  <w:sz w:val="18"/>
                  <w:szCs w:val="18"/>
                  <w:color w:val="0000FF"/>
                  <w:w w:val="99"/>
                </w:rPr>
                <w:t>22</w:t>
              </w:r>
            </w:hyperlink>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1"/>
        </w:trPr>
        <w:tc>
          <w:tcPr>
            <w:tcW w:w="8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Disclosures</w:t>
              </w:r>
            </w:hyperlink>
          </w:p>
        </w:tc>
        <w:tc>
          <w:tcPr>
            <w:tcW w:w="1840" w:type="dxa"/>
            <w:vAlign w:val="bottom"/>
            <w:gridSpan w:val="7"/>
            <w:shd w:val="clear" w:color="auto" w:fill="CCEEFF"/>
          </w:tcPr>
          <w:p>
            <w:pPr>
              <w:jc w:val="center"/>
              <w:ind w:left="1532"/>
              <w:spacing w:after="0" w:line="199" w:lineRule="exact"/>
              <w:rPr>
                <w:rFonts w:ascii="Times New Roman" w:cs="Times New Roman" w:eastAsia="Times New Roman" w:hAnsi="Times New Roman"/>
                <w:sz w:val="18"/>
                <w:szCs w:val="18"/>
                <w:color w:val="0000FF"/>
                <w:w w:val="99"/>
              </w:rPr>
            </w:pPr>
            <w:hyperlink w:anchor="page23">
              <w:r>
                <w:rPr>
                  <w:rFonts w:ascii="Times New Roman" w:cs="Times New Roman" w:eastAsia="Times New Roman" w:hAnsi="Times New Roman"/>
                  <w:sz w:val="18"/>
                  <w:szCs w:val="18"/>
                  <w:color w:val="0000FF"/>
                  <w:w w:val="99"/>
                </w:rPr>
                <w:t>23</w:t>
              </w:r>
            </w:hyperlink>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Exhibits</w:t>
              </w:r>
            </w:hyperlink>
          </w:p>
        </w:tc>
        <w:tc>
          <w:tcPr>
            <w:tcW w:w="1840" w:type="dxa"/>
            <w:vAlign w:val="bottom"/>
            <w:gridSpan w:val="7"/>
            <w:shd w:val="clear" w:color="auto" w:fill="CCEEFF"/>
          </w:tcPr>
          <w:p>
            <w:pPr>
              <w:jc w:val="center"/>
              <w:ind w:left="1532"/>
              <w:spacing w:after="0" w:line="199" w:lineRule="exact"/>
              <w:rPr>
                <w:rFonts w:ascii="Times New Roman" w:cs="Times New Roman" w:eastAsia="Times New Roman" w:hAnsi="Times New Roman"/>
                <w:sz w:val="18"/>
                <w:szCs w:val="18"/>
                <w:color w:val="0000FF"/>
                <w:w w:val="99"/>
              </w:rPr>
            </w:pPr>
            <w:hyperlink w:anchor="page23">
              <w:r>
                <w:rPr>
                  <w:rFonts w:ascii="Times New Roman" w:cs="Times New Roman" w:eastAsia="Times New Roman" w:hAnsi="Times New Roman"/>
                  <w:sz w:val="18"/>
                  <w:szCs w:val="18"/>
                  <w:color w:val="0000FF"/>
                  <w:w w:val="99"/>
                </w:rPr>
                <w:t>23</w:t>
              </w:r>
            </w:hyperlink>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5"/>
        </w:trPr>
        <w:tc>
          <w:tcPr>
            <w:tcW w:w="880" w:type="dxa"/>
            <w:vAlign w:val="bottom"/>
            <w:tcBorders>
              <w:top w:val="single" w:sz="8" w:color="CCEEFF"/>
            </w:tcBorders>
          </w:tcPr>
          <w:p>
            <w:pPr>
              <w:spacing w:after="0"/>
              <w:rPr>
                <w:sz w:val="23"/>
                <w:szCs w:val="23"/>
                <w:color w:val="auto"/>
              </w:rPr>
            </w:pPr>
          </w:p>
        </w:tc>
        <w:tc>
          <w:tcPr>
            <w:tcW w:w="824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45"/>
        </w:trPr>
        <w:tc>
          <w:tcPr>
            <w:tcW w:w="880" w:type="dxa"/>
            <w:vAlign w:val="bottom"/>
            <w:shd w:val="clear" w:color="auto" w:fill="CCEEFF"/>
          </w:tcPr>
          <w:p>
            <w:pPr>
              <w:spacing w:after="0"/>
              <w:rPr>
                <w:sz w:val="21"/>
                <w:szCs w:val="21"/>
                <w:color w:val="auto"/>
              </w:rPr>
            </w:pPr>
          </w:p>
        </w:tc>
        <w:tc>
          <w:tcPr>
            <w:tcW w:w="8240" w:type="dxa"/>
            <w:vAlign w:val="bottom"/>
            <w:shd w:val="clear" w:color="auto" w:fill="CCEEFF"/>
          </w:tcPr>
          <w:p>
            <w:pPr>
              <w:ind w:left="300"/>
              <w:spacing w:after="0" w:line="199" w:lineRule="exact"/>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Signatures</w:t>
              </w:r>
            </w:hyperlink>
          </w:p>
        </w:tc>
        <w:tc>
          <w:tcPr>
            <w:tcW w:w="1840" w:type="dxa"/>
            <w:vAlign w:val="bottom"/>
            <w:gridSpan w:val="7"/>
            <w:shd w:val="clear" w:color="auto" w:fill="CCEEFF"/>
          </w:tcPr>
          <w:p>
            <w:pPr>
              <w:jc w:val="center"/>
              <w:ind w:left="1532"/>
              <w:spacing w:after="0" w:line="199" w:lineRule="exact"/>
              <w:rPr>
                <w:rFonts w:ascii="Times New Roman" w:cs="Times New Roman" w:eastAsia="Times New Roman" w:hAnsi="Times New Roman"/>
                <w:sz w:val="18"/>
                <w:szCs w:val="18"/>
                <w:color w:val="0000FF"/>
                <w:w w:val="99"/>
              </w:rPr>
            </w:pPr>
            <w:hyperlink w:anchor="page23">
              <w:r>
                <w:rPr>
                  <w:rFonts w:ascii="Times New Roman" w:cs="Times New Roman" w:eastAsia="Times New Roman" w:hAnsi="Times New Roman"/>
                  <w:sz w:val="18"/>
                  <w:szCs w:val="18"/>
                  <w:color w:val="0000FF"/>
                  <w:w w:val="99"/>
                </w:rPr>
                <w:t>24</w:t>
              </w:r>
            </w:hyperlink>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2"/>
        </w:trPr>
        <w:tc>
          <w:tcPr>
            <w:tcW w:w="880" w:type="dxa"/>
            <w:vAlign w:val="bottom"/>
            <w:tcBorders>
              <w:top w:val="single" w:sz="8" w:color="CCEEFF"/>
            </w:tcBorders>
          </w:tcPr>
          <w:p>
            <w:pPr>
              <w:spacing w:after="0"/>
              <w:rPr>
                <w:sz w:val="24"/>
                <w:szCs w:val="24"/>
                <w:color w:val="auto"/>
              </w:rPr>
            </w:pPr>
          </w:p>
        </w:tc>
        <w:tc>
          <w:tcPr>
            <w:tcW w:w="8240" w:type="dxa"/>
            <w:vAlign w:val="bottom"/>
            <w:tcBorders>
              <w:top w:val="single" w:sz="8" w:color="CCEEFF"/>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5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those described in Item 1A, Risk Factors, of our Annual Report on Form 10-K for the fiscal year ended July 31, 2014.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Cat’s Pride, Fresh &amp; Light and Oil-Dri are registered trademarks of Oil-Dri Corporation of America.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6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8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5"/>
        </w:trPr>
        <w:tc>
          <w:tcPr>
            <w:tcW w:w="8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5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6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16,230</w:t>
            </w:r>
          </w:p>
        </w:tc>
        <w:tc>
          <w:tcPr>
            <w:tcW w:w="0" w:type="dxa"/>
            <w:vAlign w:val="bottom"/>
          </w:tcPr>
          <w:p>
            <w:pPr>
              <w:spacing w:after="0"/>
              <w:rPr>
                <w:sz w:val="1"/>
                <w:szCs w:val="1"/>
                <w:color w:val="auto"/>
              </w:rPr>
            </w:pPr>
          </w:p>
        </w:tc>
      </w:tr>
      <w:tr>
        <w:trPr>
          <w:trHeight w:val="23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20"/>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Accounts receivable, less allowance of $722 and $707</w:t>
            </w:r>
          </w:p>
        </w:tc>
        <w:tc>
          <w:tcPr>
            <w:tcW w:w="160" w:type="dxa"/>
            <w:vAlign w:val="bottom"/>
          </w:tcPr>
          <w:p>
            <w:pPr>
              <w:spacing w:after="0"/>
              <w:rPr>
                <w:sz w:val="19"/>
                <w:szCs w:val="19"/>
                <w:color w:val="auto"/>
              </w:rPr>
            </w:pP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31,893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at October 31, 2014 and July 31, 2014,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24,483</w:t>
            </w:r>
          </w:p>
        </w:tc>
        <w:tc>
          <w:tcPr>
            <w:tcW w:w="0" w:type="dxa"/>
            <w:vAlign w:val="bottom"/>
          </w:tcPr>
          <w:p>
            <w:pPr>
              <w:spacing w:after="0"/>
              <w:rPr>
                <w:sz w:val="1"/>
                <w:szCs w:val="1"/>
                <w:color w:val="auto"/>
              </w:rPr>
            </w:pPr>
          </w:p>
        </w:tc>
      </w:tr>
      <w:tr>
        <w:trPr>
          <w:trHeight w:val="23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3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83,516</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580" w:type="dxa"/>
            <w:vAlign w:val="bottom"/>
            <w:gridSpan w:val="5"/>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203,820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199,095</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(124,199)</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5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78,212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74,896</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580" w:type="dxa"/>
            <w:vAlign w:val="bottom"/>
            <w:gridSpan w:val="5"/>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20"/>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160" w:type="dxa"/>
            <w:vAlign w:val="bottom"/>
          </w:tcPr>
          <w:p>
            <w:pPr>
              <w:spacing w:after="0"/>
              <w:rPr>
                <w:sz w:val="19"/>
                <w:szCs w:val="19"/>
                <w:color w:val="auto"/>
              </w:rPr>
            </w:pP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of $303 and $420 at October 31, 2014 and July 31, 2014,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$383 and $522 at October 31, 2014 and July 31 2014,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0"/>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Licensing agreements and non-compete agreements, net of accumulated amortization</w:t>
            </w:r>
          </w:p>
        </w:tc>
        <w:tc>
          <w:tcPr>
            <w:tcW w:w="160" w:type="dxa"/>
            <w:vAlign w:val="bottom"/>
          </w:tcPr>
          <w:p>
            <w:pPr>
              <w:spacing w:after="0"/>
              <w:rPr>
                <w:sz w:val="19"/>
                <w:szCs w:val="19"/>
                <w:color w:val="auto"/>
              </w:rPr>
            </w:pP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of $1,192 and $1,145 at October 31, 2014 and July 31, 2014,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list, net of accumulated amortization of $1,097 at October 31, 2014 and $764 at July 31, 2014,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3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5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28,154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27,792</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5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180,727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186,204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6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jc w:val="right"/>
              <w:ind w:right="2512"/>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4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7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3,483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Salaries, wages and commissions</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76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25,943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29,500</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76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9,528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22,273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49,437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52,396</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81,896</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CCEEFF"/>
          </w:tcPr>
          <w:p>
            <w:pPr>
              <w:spacing w:after="0"/>
              <w:rPr>
                <w:sz w:val="17"/>
                <w:szCs w:val="17"/>
                <w:color w:val="auto"/>
              </w:rPr>
            </w:pPr>
          </w:p>
        </w:tc>
        <w:tc>
          <w:tcPr>
            <w:tcW w:w="8760" w:type="dxa"/>
            <w:vAlign w:val="bottom"/>
            <w:gridSpan w:val="4"/>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par value $.10 per share, issued 7,932,093 shares at October 31, 2014</w:t>
            </w:r>
          </w:p>
        </w:tc>
        <w:tc>
          <w:tcPr>
            <w:tcW w:w="140" w:type="dxa"/>
            <w:vAlign w:val="bottom"/>
          </w:tcPr>
          <w:p>
            <w:pPr>
              <w:spacing w:after="0"/>
              <w:rPr>
                <w:sz w:val="19"/>
                <w:szCs w:val="19"/>
                <w:color w:val="auto"/>
              </w:rPr>
            </w:pP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and 7,917,393 shares at July 31, 2014</w:t>
            </w: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BFE4FF"/>
          </w:tcPr>
          <w:p>
            <w:pPr>
              <w:spacing w:after="0"/>
              <w:rPr>
                <w:sz w:val="19"/>
                <w:szCs w:val="19"/>
                <w:color w:val="auto"/>
              </w:rPr>
            </w:pPr>
          </w:p>
        </w:tc>
        <w:tc>
          <w:tcPr>
            <w:tcW w:w="8760" w:type="dxa"/>
            <w:vAlign w:val="bottom"/>
            <w:gridSpan w:val="4"/>
            <w:shd w:val="clear" w:color="auto" w:fill="BFE4FF"/>
          </w:tcPr>
          <w:p>
            <w:pPr>
              <w:spacing w:after="0"/>
              <w:rPr>
                <w:sz w:val="20"/>
                <w:szCs w:val="20"/>
                <w:color w:val="auto"/>
              </w:rPr>
            </w:pPr>
            <w:r>
              <w:rPr>
                <w:rFonts w:ascii="Times New Roman" w:cs="Times New Roman" w:eastAsia="Times New Roman" w:hAnsi="Times New Roman"/>
                <w:sz w:val="18"/>
                <w:szCs w:val="18"/>
                <w:color w:val="auto"/>
              </w:rPr>
              <w:t>Class B Stock, par value $.10 per share, issued 2,389,735 shares at October 31, 2014</w:t>
            </w:r>
          </w:p>
        </w:tc>
        <w:tc>
          <w:tcPr>
            <w:tcW w:w="1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BFE4FF"/>
            </w:tcBorders>
            <w:shd w:val="clear" w:color="auto" w:fill="BFE4FF"/>
          </w:tcPr>
          <w:p>
            <w:pPr>
              <w:spacing w:after="0"/>
              <w:rPr>
                <w:sz w:val="20"/>
                <w:szCs w:val="20"/>
                <w:color w:val="auto"/>
              </w:rPr>
            </w:pPr>
          </w:p>
        </w:tc>
        <w:tc>
          <w:tcPr>
            <w:tcW w:w="8760" w:type="dxa"/>
            <w:vAlign w:val="bottom"/>
            <w:tcBorders>
              <w:bottom w:val="single" w:sz="8" w:color="BFE4FF"/>
            </w:tcBorders>
            <w:gridSpan w:val="4"/>
            <w:shd w:val="clear" w:color="auto" w:fill="BFE4FF"/>
          </w:tcPr>
          <w:p>
            <w:pPr>
              <w:ind w:left="80"/>
              <w:spacing w:after="0"/>
              <w:rPr>
                <w:sz w:val="20"/>
                <w:szCs w:val="20"/>
                <w:color w:val="auto"/>
              </w:rPr>
            </w:pPr>
            <w:r>
              <w:rPr>
                <w:rFonts w:ascii="Times New Roman" w:cs="Times New Roman" w:eastAsia="Times New Roman" w:hAnsi="Times New Roman"/>
                <w:sz w:val="18"/>
                <w:szCs w:val="18"/>
                <w:color w:val="auto"/>
              </w:rPr>
              <w:t>and 2,394,735 shares at July 31, 2014</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33,403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33,130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unearned 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136,846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136,039</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7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5"/>
        </w:trPr>
        <w:tc>
          <w:tcPr>
            <w:tcW w:w="40" w:type="dxa"/>
            <w:vAlign w:val="bottom"/>
            <w:tcBorders>
              <w:bottom w:val="single" w:sz="8" w:color="BFE4FF"/>
            </w:tcBorders>
          </w:tcPr>
          <w:p>
            <w:pPr>
              <w:spacing w:after="0"/>
              <w:rPr>
                <w:sz w:val="2"/>
                <w:szCs w:val="2"/>
                <w:color w:val="auto"/>
              </w:rPr>
            </w:pPr>
          </w:p>
        </w:tc>
        <w:tc>
          <w:tcPr>
            <w:tcW w:w="1400" w:type="dxa"/>
            <w:vAlign w:val="bottom"/>
            <w:tcBorders>
              <w:bottom w:val="single" w:sz="8" w:color="BFE4FF"/>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70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BFE4FF"/>
            </w:tcBorders>
            <w:shd w:val="clear" w:color="auto" w:fill="BFE4FF"/>
          </w:tcPr>
          <w:p>
            <w:pPr>
              <w:spacing w:after="0"/>
              <w:rPr>
                <w:sz w:val="22"/>
                <w:szCs w:val="22"/>
                <w:color w:val="auto"/>
              </w:rPr>
            </w:pPr>
          </w:p>
        </w:tc>
        <w:tc>
          <w:tcPr>
            <w:tcW w:w="8760" w:type="dxa"/>
            <w:vAlign w:val="bottom"/>
            <w:tcBorders>
              <w:bottom w:val="single" w:sz="8" w:color="BFE4FF"/>
            </w:tcBorders>
            <w:gridSpan w:val="4"/>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760" w:type="dxa"/>
            <w:vAlign w:val="bottom"/>
            <w:gridSpan w:val="4"/>
          </w:tcPr>
          <w:p>
            <w:pPr>
              <w:ind w:left="120"/>
              <w:spacing w:after="0" w:line="200" w:lineRule="exact"/>
              <w:rPr>
                <w:sz w:val="20"/>
                <w:szCs w:val="20"/>
                <w:color w:val="auto"/>
              </w:rPr>
            </w:pPr>
            <w:r>
              <w:rPr>
                <w:rFonts w:ascii="Times New Roman" w:cs="Times New Roman" w:eastAsia="Times New Roman" w:hAnsi="Times New Roman"/>
                <w:sz w:val="18"/>
                <w:szCs w:val="18"/>
                <w:color w:val="auto"/>
              </w:rPr>
              <w:t>Less Treasury Stock, at cost (2,917,151 Common and 324,741 Class B shares at</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(55,451)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7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October 31, 2014 and 2,915,651 Common and 324,741 Class B shares at July 31, 2014)</w:t>
            </w: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(55,404)</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104,308</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180,727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186,204</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jc w:val="right"/>
              <w:ind w:right="179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800" w:type="dxa"/>
            <w:vAlign w:val="bottom"/>
            <w:gridSpan w:val="5"/>
          </w:tcPr>
          <w:p>
            <w:pPr>
              <w:jc w:val="right"/>
              <w:ind w:right="295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9"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Retained Earnings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For the Three Months Ended</w:t>
            </w:r>
          </w:p>
        </w:tc>
        <w:tc>
          <w:tcPr>
            <w:tcW w:w="0" w:type="dxa"/>
            <w:vAlign w:val="bottom"/>
          </w:tcPr>
          <w:p>
            <w:pPr>
              <w:spacing w:after="0"/>
              <w:rPr>
                <w:sz w:val="1"/>
                <w:szCs w:val="1"/>
                <w:color w:val="auto"/>
              </w:rPr>
            </w:pPr>
          </w:p>
        </w:tc>
      </w:tr>
      <w:tr>
        <w:trPr>
          <w:trHeight w:val="233"/>
        </w:trPr>
        <w:tc>
          <w:tcPr>
            <w:tcW w:w="8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5"/>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560" w:type="dxa"/>
            <w:vAlign w:val="bottom"/>
            <w:shd w:val="clear" w:color="auto" w:fill="CCEEFF"/>
          </w:tcPr>
          <w:p>
            <w:pPr>
              <w:spacing w:after="0"/>
              <w:rPr>
                <w:sz w:val="24"/>
                <w:szCs w:val="2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66,044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63,546</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(47,046)</w:t>
            </w:r>
          </w:p>
        </w:tc>
        <w:tc>
          <w:tcPr>
            <w:tcW w:w="0" w:type="dxa"/>
            <w:vAlign w:val="bottom"/>
          </w:tcPr>
          <w:p>
            <w:pPr>
              <w:spacing w:after="0"/>
              <w:rPr>
                <w:sz w:val="1"/>
                <w:szCs w:val="1"/>
                <w:color w:val="auto"/>
              </w:rPr>
            </w:pPr>
          </w:p>
        </w:tc>
      </w:tr>
      <w:tr>
        <w:trPr>
          <w:trHeight w:val="23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13,769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0" w:type="dxa"/>
            <w:vAlign w:val="bottom"/>
          </w:tcPr>
          <w:p>
            <w:pPr>
              <w:spacing w:after="0"/>
              <w:rPr>
                <w:sz w:val="1"/>
                <w:szCs w:val="1"/>
                <w:color w:val="auto"/>
              </w:rPr>
            </w:pPr>
          </w:p>
        </w:tc>
      </w:tr>
      <w:tr>
        <w:trPr>
          <w:trHeight w:val="23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5"/>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9"/>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3"/>
        </w:trPr>
        <w:tc>
          <w:tcPr>
            <w:tcW w:w="85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5"/>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136,039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132,750</w:t>
            </w:r>
          </w:p>
        </w:tc>
        <w:tc>
          <w:tcPr>
            <w:tcW w:w="0" w:type="dxa"/>
            <w:vAlign w:val="bottom"/>
          </w:tcPr>
          <w:p>
            <w:pPr>
              <w:spacing w:after="0"/>
              <w:rPr>
                <w:sz w:val="1"/>
                <w:szCs w:val="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and treasury stock issuances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5"/>
        </w:trPr>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136,846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134,382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8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0.30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1"/>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4,948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7,016</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69" w:right="259" w:bottom="1440" w:gutter="0" w:footer="0" w:header="0"/>
        </w:sectPr>
      </w:pPr>
    </w:p>
    <w:bookmarkStart w:id="5" w:name="page6"/>
    <w:bookmarkEnd w:id="5"/>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42" w:lineRule="exact"/>
        <w:rPr>
          <w:sz w:val="20"/>
          <w:szCs w:val="20"/>
          <w:color w:val="auto"/>
        </w:rPr>
      </w:pPr>
    </w:p>
    <w:tbl>
      <w:tblPr>
        <w:tblLayout w:type="fixed"/>
        <w:tblInd w:w="12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5"/>
        </w:trPr>
        <w:tc>
          <w:tcPr>
            <w:tcW w:w="6720" w:type="dxa"/>
            <w:vAlign w:val="bottom"/>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r>
      <w:tr>
        <w:trPr>
          <w:trHeight w:val="211"/>
        </w:trPr>
        <w:tc>
          <w:tcPr>
            <w:tcW w:w="6720" w:type="dxa"/>
            <w:vAlign w:val="bottom"/>
          </w:tcPr>
          <w:p>
            <w:pPr>
              <w:spacing w:after="0"/>
              <w:rPr>
                <w:sz w:val="18"/>
                <w:szCs w:val="18"/>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3"/>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1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r>
      <w:tr>
        <w:trPr>
          <w:trHeight w:val="25"/>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1"/>
        </w:trPr>
        <w:tc>
          <w:tcPr>
            <w:tcW w:w="6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9"/>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5"/>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5"/>
        </w:trPr>
        <w:tc>
          <w:tcPr>
            <w:tcW w:w="6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
        </w:trPr>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2,869</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240" w:top="569" w:right="1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left="83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 October</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72"/>
              <w:spacing w:after="0" w:line="192" w:lineRule="exact"/>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472"/>
              <w:spacing w:after="0" w:line="192"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8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8340" w:type="dxa"/>
            <w:vAlign w:val="bottom"/>
            <w:gridSpan w:val="4"/>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2,120</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investment net discount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Excess tax benefits for share-based payments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Loss (Gain) on the sale of fixed assets</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8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8340" w:type="dxa"/>
            <w:vAlign w:val="bottom"/>
            <w:gridSpan w:val="4"/>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3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Advance payment for 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Dispositions of short-term investments</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8,545</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8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8340" w:type="dxa"/>
            <w:vAlign w:val="bottom"/>
            <w:gridSpan w:val="4"/>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38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Excess tax benefits for share-based payments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16,230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24,035</w:t>
            </w:r>
          </w:p>
        </w:tc>
        <w:tc>
          <w:tcPr>
            <w:tcW w:w="0" w:type="dxa"/>
            <w:vAlign w:val="bottom"/>
          </w:tcPr>
          <w:p>
            <w:pPr>
              <w:spacing w:after="0"/>
              <w:rPr>
                <w:sz w:val="1"/>
                <w:szCs w:val="1"/>
                <w:color w:val="auto"/>
              </w:rPr>
            </w:pPr>
          </w:p>
        </w:tc>
      </w:tr>
      <w:tr>
        <w:trPr>
          <w:trHeight w:val="252"/>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8,406</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420"/>
          </w:cols>
          <w:pgMar w:left="240" w:top="569" w:right="239" w:bottom="1028"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20"/>
          </w:cols>
          <w:pgMar w:left="240" w:top="569" w:right="239" w:bottom="1028"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 &amp;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STATEMENT PRESENTATION</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2014 included in our Annual Report on Form 10-K filed with the SEC.</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2014 are not necessarily an indication of the results that may be expected for the fiscal year ending July 31, 2015.</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69" w:right="239" w:bottom="1440" w:gutter="0" w:footer="0" w:header="0"/>
        </w:sectPr>
      </w:pPr>
    </w:p>
    <w:bookmarkStart w:id="8" w:name="page9"/>
    <w:bookmarkEnd w:id="8"/>
    <w:p>
      <w:pPr>
        <w:ind w:right="7740" w:firstLine="6"/>
        <w:spacing w:after="0" w:line="521" w:lineRule="auto"/>
        <w:tabs>
          <w:tab w:leader="none" w:pos="176"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NEW ACCOUNTING PRONOUNCEMENTS Recently Adopted Accounting Standards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tangible property regulations ("repair regulations") released by the Internal Revenue Service in September 2013 under Sections 162(a) and 263(a) of the Internal Revenue Code were effective for our tax year beginning August 1, 2014. The repair regulations provide guidance regarding the timing of deductions and the capitalization of amounts paid to acquire, produce or improve tangible property. We are currently evaluating our accounting policies to ensure compliance with the requirements of the repair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Regulations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May 2014, the FASB issued guidance under ASC 250, </w:t>
      </w:r>
      <w:r>
        <w:rPr>
          <w:rFonts w:ascii="Times New Roman" w:cs="Times New Roman" w:eastAsia="Times New Roman" w:hAnsi="Times New Roman"/>
          <w:sz w:val="17"/>
          <w:szCs w:val="17"/>
          <w:i w:val="1"/>
          <w:iCs w:val="1"/>
          <w:color w:val="auto"/>
        </w:rPr>
        <w:t>Revenue from Contract with Customers</w:t>
      </w:r>
      <w:r>
        <w:rPr>
          <w:rFonts w:ascii="Times New Roman" w:cs="Times New Roman" w:eastAsia="Times New Roman" w:hAnsi="Times New Roman"/>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these requirement on our Consolidated Financial Statements.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2014, the FASB issued guidance under ASC 205,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these requirement on our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9"/>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3"/>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5"/>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192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r>
      <w:tr>
        <w:trPr>
          <w:trHeight w:val="239"/>
        </w:trPr>
        <w:tc>
          <w:tcPr>
            <w:tcW w:w="192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5"/>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52"/>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24,332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October 31, 2014 and July 31, 2014 were $484,000 and $390,000,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6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Financial assets and liabilities whose values are based on quoted market prices in active markets for identical assets or liabilities.</w:t>
      </w:r>
    </w:p>
    <w:p>
      <w:pPr>
        <w:spacing w:after="0" w:line="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Financial assets and liabilities whose values are based on:</w:t>
      </w:r>
    </w:p>
    <w:p>
      <w:pPr>
        <w:spacing w:after="0" w:line="58" w:lineRule="exact"/>
        <w:rPr>
          <w:sz w:val="20"/>
          <w:szCs w:val="20"/>
          <w:color w:val="auto"/>
        </w:rPr>
      </w:pPr>
    </w:p>
    <w:p>
      <w:pPr>
        <w:ind w:left="1200" w:hanging="22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57" w:lineRule="exact"/>
        <w:rPr>
          <w:rFonts w:ascii="Times New Roman" w:cs="Times New Roman" w:eastAsia="Times New Roman" w:hAnsi="Times New Roman"/>
          <w:sz w:val="18"/>
          <w:szCs w:val="18"/>
          <w:color w:val="auto"/>
        </w:rPr>
      </w:pPr>
    </w:p>
    <w:p>
      <w:pPr>
        <w:ind w:left="1200" w:hanging="22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57" w:lineRule="exact"/>
        <w:rPr>
          <w:rFonts w:ascii="Times New Roman" w:cs="Times New Roman" w:eastAsia="Times New Roman" w:hAnsi="Times New Roman"/>
          <w:sz w:val="18"/>
          <w:szCs w:val="18"/>
          <w:color w:val="auto"/>
        </w:rPr>
      </w:pPr>
    </w:p>
    <w:p>
      <w:pPr>
        <w:ind w:left="1200" w:hanging="22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58" w:lineRule="exact"/>
        <w:rPr>
          <w:sz w:val="20"/>
          <w:szCs w:val="20"/>
          <w:color w:val="auto"/>
        </w:rPr>
      </w:pPr>
    </w:p>
    <w:p>
      <w:pPr>
        <w:ind w:left="980" w:right="60" w:hanging="913"/>
        <w:spacing w:after="0" w:line="273" w:lineRule="auto"/>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financial assets and liabilities that were measured at fair value by level within the fair value hierarchy:</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p>
        </w:tc>
        <w:tc>
          <w:tcPr>
            <w:tcW w:w="274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7"/>
              </w:rPr>
              <w:t>Fair Value at October 31, 2014</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at July 31, 2014</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760" w:type="dxa"/>
            <w:vAlign w:val="bottom"/>
            <w:gridSpan w:val="3"/>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80" w:type="dxa"/>
            <w:vAlign w:val="bottom"/>
            <w:gridSpan w:val="4"/>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0" w:type="dxa"/>
            <w:vAlign w:val="bottom"/>
          </w:tcPr>
          <w:p>
            <w:pPr>
              <w:spacing w:after="0"/>
              <w:rPr>
                <w:sz w:val="1"/>
                <w:szCs w:val="1"/>
                <w:color w:val="auto"/>
              </w:rPr>
            </w:pPr>
          </w:p>
        </w:tc>
      </w:tr>
      <w:tr>
        <w:trPr>
          <w:trHeight w:val="2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60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9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Cash equivalents were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Marketable equity securities were valued using quoted market prices in active markets and as such are classified as Level 1 in the fair value hierarchy. We owned stock in one publicly traded company at July 31, 2014, which was included in other assets on the condensed Consolidated Balance Sheets. We decided to sell this stock in the first quarter of fiscal 2015 after the company whose stock we owned was acquired by another company.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Short-term investments on the condensed Consolidated Balance Sheets included U.S. Treasury securities and certificates of deposit. We intend and have the ability to hold our short-term investments to maturity; therefore, these investments were reported at amortized cost on the condensed Consolidated Balance Sheets, which approximated fair value as of October 31, 2014 and July 31, 2014. These balances are excluded from the above table.</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Accounts receivable and accounts payable balances on the condensed Consolidated Balance Sheets approximated their fair values at October 31, 2014 and July 31, 2014 due to the short maturity and nature of those balances; therefore, these balances are excluded from the above table.</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Prepaid expenses and other assets on the condensed Consolidated Balance Sheets included a receivable related to our acquisition of certain assets of MFM Industries Inc. ("MFM") in the second quarter of fiscal 2014. The receivable represents the estimated amount due to us upon the sale of the real property retained by MFM. As of October 31, 2014, MFM was awaiting finalization of an agreement to sell the land to a third party. Our receivable was reduced by $141,000 to a balance of $114,500 during the first quarter of fiscal 2015 to reflect the current estimate of the value we will receive from this pending land sale. This receivable is excluded from the above table.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Notes payable on the condensed Consolidated Balance Sheets are carried at the face amount of future maturities and are excluded from the above table. The estimated fair value of notes payable, including current maturities, was $20,020,000 and $23,940,000 as of October 31, 2014 and July 31, 2014,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69" w:right="239" w:bottom="1440" w:gutter="0" w:footer="0" w:header="0"/>
        </w:sectPr>
      </w:pPr>
    </w:p>
    <w:bookmarkStart w:id="10" w:name="page11"/>
    <w:bookmarkEnd w:id="10"/>
    <w:p>
      <w:pPr>
        <w:jc w:val="both"/>
        <w:spacing w:after="0" w:line="259" w:lineRule="auto"/>
        <w:rPr>
          <w:sz w:val="20"/>
          <w:szCs w:val="20"/>
          <w:color w:val="auto"/>
        </w:rPr>
      </w:pPr>
      <w:r>
        <w:rPr>
          <w:rFonts w:ascii="Times New Roman" w:cs="Times New Roman" w:eastAsia="Times New Roman" w:hAnsi="Times New Roman"/>
          <w:sz w:val="18"/>
          <w:szCs w:val="18"/>
          <w:color w:val="auto"/>
        </w:rPr>
        <w:t>We apply fair value techniques on a non-recurring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1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Intangible amortization expense was $420,000 and $88,000 in the first quarter of fiscal 2015 and 2014, respectively. Estimated intangible amortization for the remainder of fiscal 2015 is $1,188,000. Estimated intangible amortization for the next five fiscal years is as follows (in thousands):</w:t>
      </w:r>
    </w:p>
    <w:p>
      <w:pPr>
        <w:spacing w:after="0" w:line="104" w:lineRule="exact"/>
        <w:rPr>
          <w:sz w:val="20"/>
          <w:szCs w:val="20"/>
          <w:color w:val="auto"/>
        </w:rPr>
      </w:pPr>
    </w:p>
    <w:tbl>
      <w:tblPr>
        <w:tblLayout w:type="fixed"/>
        <w:tblInd w:w="4460" w:type="dxa"/>
        <w:tblCellMar>
          <w:top w:w="0" w:type="dxa"/>
          <w:left w:w="0" w:type="dxa"/>
          <w:bottom w:w="0" w:type="dxa"/>
          <w:right w:w="0" w:type="dxa"/>
        </w:tblCellMar>
      </w:tblPr>
      <w:tr>
        <w:trPr>
          <w:trHeight w:val="265"/>
        </w:trPr>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9"/>
              </w:rPr>
              <w:t>2016</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9"/>
        </w:trPr>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99"/>
              </w:rPr>
              <w:t>2017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5"/>
        </w:trPr>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5"/>
        </w:trPr>
        <w:tc>
          <w:tcPr>
            <w:tcW w:w="102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9"/>
              </w:rPr>
              <w:t>2018</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9"/>
        </w:trPr>
        <w:tc>
          <w:tcPr>
            <w:tcW w:w="10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99"/>
              </w:rPr>
              <w:t>2019</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5"/>
        </w:trPr>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9"/>
        </w:trPr>
        <w:tc>
          <w:tcPr>
            <w:tcW w:w="102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9"/>
              </w:rPr>
              <w:t>2020</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5"/>
        </w:trPr>
        <w:tc>
          <w:tcPr>
            <w:tcW w:w="1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acquired trademark recorded at $376,000 that was determined to have an indefinite life and is not amortized.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goodwill impairment analysis was performed in the first quarter of fiscal 2015 and did not indicate any impairment.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PENSION AND OTHER POSTRETIREMENT BENEFITS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16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5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33020</wp:posOffset>
            </wp:positionV>
            <wp:extent cx="1631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2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19050</wp:posOffset>
            </wp:positionV>
            <wp:extent cx="1631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p>
      <w:pPr>
        <w:spacing w:after="0" w:line="3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Service cost</w:t>
      </w:r>
    </w:p>
    <w:p>
      <w:pPr>
        <w:spacing w:after="0" w:line="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Interest cost</w:t>
      </w:r>
    </w:p>
    <w:p>
      <w:pPr>
        <w:spacing w:after="0" w:line="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Expected return on plan assets</w:t>
      </w:r>
    </w:p>
    <w:p>
      <w:pPr>
        <w:spacing w:after="0" w:line="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Amortization of:</w:t>
      </w:r>
    </w:p>
    <w:p>
      <w:pPr>
        <w:spacing w:after="0" w:line="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Prior service costs</w:t>
      </w:r>
    </w:p>
    <w:p>
      <w:pPr>
        <w:spacing w:after="0" w:line="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Other actuarial loss</w:t>
      </w:r>
    </w:p>
    <w:p>
      <w:pPr>
        <w:spacing w:after="0" w:line="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1631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51" w:lineRule="exact"/>
        <w:rPr>
          <w:sz w:val="20"/>
          <w:szCs w:val="20"/>
          <w:color w:val="auto"/>
        </w:rPr>
      </w:pPr>
    </w:p>
    <w:p>
      <w:pPr>
        <w:spacing w:after="0"/>
        <w:tabs>
          <w:tab w:leader="none" w:pos="920" w:val="left"/>
          <w:tab w:leader="none" w:pos="1480" w:val="left"/>
          <w:tab w:leader="none" w:pos="21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432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33020</wp:posOffset>
            </wp:positionV>
            <wp:extent cx="5491480" cy="168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1480" cy="168275"/>
                    </a:xfrm>
                    <a:prstGeom prst="rect">
                      <a:avLst/>
                    </a:prstGeom>
                    <a:noFill/>
                  </pic:spPr>
                </pic:pic>
              </a:graphicData>
            </a:graphic>
          </wp:anchor>
        </w:drawing>
      </w:r>
    </w:p>
    <w:p>
      <w:pPr>
        <w:spacing w:after="0" w:line="40" w:lineRule="exact"/>
        <w:rPr>
          <w:sz w:val="20"/>
          <w:szCs w:val="20"/>
          <w:color w:val="auto"/>
        </w:rPr>
      </w:pPr>
    </w:p>
    <w:p>
      <w:pPr>
        <w:ind w:left="2180" w:hanging="1244"/>
        <w:spacing w:after="0"/>
        <w:tabs>
          <w:tab w:leader="none" w:pos="2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436</w:t>
      </w:r>
    </w:p>
    <w:p>
      <w:pPr>
        <w:spacing w:after="0" w:line="58" w:lineRule="exact"/>
        <w:rPr>
          <w:sz w:val="20"/>
          <w:szCs w:val="20"/>
          <w:color w:val="auto"/>
        </w:rPr>
      </w:pPr>
    </w:p>
    <w:p>
      <w:pPr>
        <w:ind w:left="2120" w:hanging="1243"/>
        <w:spacing w:after="0"/>
        <w:tabs>
          <w:tab w:leader="none" w:pos="21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38735</wp:posOffset>
            </wp:positionV>
            <wp:extent cx="5491480" cy="16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1480" cy="168275"/>
                    </a:xfrm>
                    <a:prstGeom prst="rect">
                      <a:avLst/>
                    </a:prstGeom>
                    <a:noFill/>
                  </pic:spPr>
                </pic:pic>
              </a:graphicData>
            </a:graphic>
          </wp:anchor>
        </w:drawing>
      </w:r>
    </w:p>
    <w:p>
      <w:pPr>
        <w:spacing w:after="0" w:line="314" w:lineRule="exact"/>
        <w:rPr>
          <w:sz w:val="20"/>
          <w:szCs w:val="20"/>
          <w:color w:val="auto"/>
        </w:rPr>
      </w:pPr>
    </w:p>
    <w:p>
      <w:pPr>
        <w:ind w:left="2360" w:hanging="1248"/>
        <w:spacing w:after="0"/>
        <w:tabs>
          <w:tab w:leader="none" w:pos="2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31750</wp:posOffset>
            </wp:positionV>
            <wp:extent cx="5491480" cy="168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1480" cy="168275"/>
                    </a:xfrm>
                    <a:prstGeom prst="rect">
                      <a:avLst/>
                    </a:prstGeom>
                    <a:noFill/>
                  </pic:spPr>
                </pic:pic>
              </a:graphicData>
            </a:graphic>
          </wp:anchor>
        </w:drawing>
      </w:r>
    </w:p>
    <w:p>
      <w:pPr>
        <w:spacing w:after="0" w:line="38" w:lineRule="exact"/>
        <w:rPr>
          <w:sz w:val="20"/>
          <w:szCs w:val="20"/>
          <w:color w:val="auto"/>
        </w:rPr>
      </w:pPr>
    </w:p>
    <w:p>
      <w:pPr>
        <w:ind w:left="2260" w:hanging="1324"/>
        <w:spacing w:after="0"/>
        <w:tabs>
          <w:tab w:leader="none" w:pos="2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1631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49" w:lineRule="exact"/>
        <w:rPr>
          <w:sz w:val="20"/>
          <w:szCs w:val="20"/>
          <w:color w:val="auto"/>
        </w:rPr>
      </w:pPr>
    </w:p>
    <w:p>
      <w:pPr>
        <w:spacing w:after="0"/>
        <w:tabs>
          <w:tab w:leader="none" w:pos="920" w:val="left"/>
          <w:tab w:leader="none" w:pos="1480" w:val="left"/>
          <w:tab w:leader="none" w:pos="21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582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16313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1315" cy="254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1631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19050</wp:posOffset>
            </wp:positionV>
            <wp:extent cx="1631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6780" w:space="720"/>
            <w:col w:w="3920"/>
          </w:cols>
          <w:pgMar w:left="240" w:top="571" w:right="239" w:bottom="1440" w:gutter="0" w:footer="0" w:header="0"/>
          <w:type w:val="continuous"/>
        </w:sectPr>
      </w:pPr>
    </w:p>
    <w:tbl>
      <w:tblPr>
        <w:tblLayout w:type="fixed"/>
        <w:tblInd w:w="1400" w:type="dxa"/>
        <w:tblCellMar>
          <w:top w:w="0" w:type="dxa"/>
          <w:left w:w="0" w:type="dxa"/>
          <w:bottom w:w="0" w:type="dxa"/>
          <w:right w:w="0" w:type="dxa"/>
        </w:tblCellMar>
      </w:tblPr>
      <w:tr>
        <w:trPr>
          <w:trHeight w:val="233"/>
        </w:trPr>
        <w:tc>
          <w:tcPr>
            <w:tcW w:w="60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5"/>
        </w:trPr>
        <w:tc>
          <w:tcPr>
            <w:tcW w:w="6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r>
      <w:tr>
        <w:trPr>
          <w:trHeight w:val="25"/>
        </w:trPr>
        <w:tc>
          <w:tcPr>
            <w:tcW w:w="6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
        </w:trPr>
        <w:tc>
          <w:tcPr>
            <w:tcW w:w="6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transition obligation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service costs</w:t>
            </w: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6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5"/>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actuarial loss</w:t>
            </w:r>
          </w:p>
        </w:tc>
        <w:tc>
          <w:tcPr>
            <w:tcW w:w="9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52"/>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1" w:right="239" w:bottom="1440" w:gutter="0" w:footer="0" w:header="0"/>
          <w:type w:val="continuous"/>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$230,000 to our pension plan during the first quarter ended October 31, 2014. We estimate contributions will be $1,626,000 for the remainder of fiscal 2015. See Item 3. "Quantitative and Qualitative Disclosures About Market Risk" for a discussion of the potential impact of financial market fluctuations on pension plan assets and future funding contributions.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1"/>
        </w:trPr>
        <w:tc>
          <w:tcPr>
            <w:tcW w:w="5860" w:type="dxa"/>
            <w:vAlign w:val="bottom"/>
          </w:tcPr>
          <w:p>
            <w:pPr>
              <w:spacing w:after="0"/>
              <w:rPr>
                <w:sz w:val="24"/>
                <w:szCs w:val="24"/>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72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5"/>
        </w:trPr>
        <w:tc>
          <w:tcPr>
            <w:tcW w:w="5860" w:type="dxa"/>
            <w:vAlign w:val="bottom"/>
          </w:tcPr>
          <w:p>
            <w:pPr>
              <w:spacing w:after="0"/>
              <w:rPr>
                <w:sz w:val="2"/>
                <w:szCs w:val="2"/>
                <w:color w:val="auto"/>
              </w:rPr>
            </w:pPr>
          </w:p>
        </w:tc>
        <w:tc>
          <w:tcPr>
            <w:tcW w:w="4540" w:type="dxa"/>
            <w:vAlign w:val="bottom"/>
            <w:tcBorders>
              <w:bottom w:val="single" w:sz="8" w:color="auto"/>
            </w:tcBorders>
            <w:gridSpan w:val="7"/>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860" w:type="dxa"/>
            <w:vAlign w:val="bottom"/>
          </w:tcPr>
          <w:p>
            <w:pPr>
              <w:spacing w:after="0"/>
              <w:rPr>
                <w:sz w:val="20"/>
                <w:szCs w:val="20"/>
                <w:color w:val="auto"/>
              </w:rPr>
            </w:pPr>
          </w:p>
        </w:tc>
        <w:tc>
          <w:tcPr>
            <w:tcW w:w="4540" w:type="dxa"/>
            <w:vAlign w:val="bottom"/>
            <w:gridSpan w:val="7"/>
          </w:tcPr>
          <w:p>
            <w:pPr>
              <w:ind w:left="12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31,</w:t>
            </w:r>
          </w:p>
        </w:tc>
        <w:tc>
          <w:tcPr>
            <w:tcW w:w="1020" w:type="dxa"/>
            <w:vAlign w:val="bottom"/>
          </w:tcPr>
          <w:p>
            <w:pPr>
              <w:spacing w:after="0"/>
              <w:rPr>
                <w:sz w:val="20"/>
                <w:szCs w:val="20"/>
                <w:color w:val="auto"/>
              </w:rPr>
            </w:pPr>
          </w:p>
        </w:tc>
      </w:tr>
      <w:tr>
        <w:trPr>
          <w:trHeight w:val="25"/>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5860" w:type="dxa"/>
            <w:vAlign w:val="bottom"/>
          </w:tcPr>
          <w:p>
            <w:pPr>
              <w:spacing w:after="0"/>
              <w:rPr>
                <w:sz w:val="20"/>
                <w:szCs w:val="20"/>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5"/>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9"/>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medical cost trend assumption for postretirement health benefits was 7.5%. The graded trend rate is expected to decrease to an ultimate rate of 5.0% in fiscal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SEGMENTS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2014.</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gridSpan w:val="4"/>
          </w:tcPr>
          <w:p>
            <w:pPr>
              <w:jc w:val="right"/>
              <w:ind w:right="1072"/>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31, 2014</w:t>
            </w:r>
          </w:p>
        </w:tc>
        <w:tc>
          <w:tcPr>
            <w:tcW w:w="14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July 31, 2014</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5060" w:type="dxa"/>
            <w:vAlign w:val="bottom"/>
            <w:tcBorders>
              <w:bottom w:val="single" w:sz="8" w:color="CCEEFF"/>
            </w:tcBorders>
            <w:gridSpan w:val="2"/>
            <w:shd w:val="clear" w:color="auto" w:fill="CCEEFF"/>
          </w:tcPr>
          <w:p>
            <w:pPr>
              <w:ind w:left="47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53,823</w:t>
            </w: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4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97,777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95,712</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Assets</w:t>
            </w:r>
          </w:p>
        </w:tc>
        <w:tc>
          <w:tcPr>
            <w:tcW w:w="4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27,932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36,669</w:t>
            </w:r>
          </w:p>
        </w:tc>
        <w:tc>
          <w:tcPr>
            <w:tcW w:w="0" w:type="dxa"/>
            <w:vAlign w:val="bottom"/>
          </w:tcPr>
          <w:p>
            <w:pPr>
              <w:spacing w:after="0"/>
              <w:rPr>
                <w:sz w:val="1"/>
                <w:szCs w:val="1"/>
                <w:color w:val="auto"/>
              </w:rPr>
            </w:pPr>
          </w:p>
        </w:tc>
      </w:tr>
      <w:tr>
        <w:trPr>
          <w:trHeight w:val="251"/>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540" w:type="dxa"/>
            <w:vAlign w:val="bottom"/>
          </w:tcPr>
          <w:p>
            <w:pPr>
              <w:spacing w:after="0"/>
              <w:rPr>
                <w:sz w:val="21"/>
                <w:szCs w:val="21"/>
                <w:color w:val="auto"/>
              </w:rPr>
            </w:pPr>
          </w:p>
        </w:tc>
        <w:tc>
          <w:tcPr>
            <w:tcW w:w="5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180,727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186,204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540" w:type="dxa"/>
            <w:vAlign w:val="bottom"/>
            <w:vMerge w:val="restart"/>
          </w:tcPr>
          <w:p>
            <w:pPr>
              <w:jc w:val="right"/>
              <w:ind w:right="2572"/>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9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the Three Months Ended October 31,</w:t>
            </w:r>
          </w:p>
        </w:tc>
        <w:tc>
          <w:tcPr>
            <w:tcW w:w="800" w:type="dxa"/>
            <w:vAlign w:val="bottom"/>
          </w:tcPr>
          <w:p>
            <w:pPr>
              <w:spacing w:after="0"/>
              <w:rPr>
                <w:sz w:val="20"/>
                <w:szCs w:val="20"/>
                <w:color w:val="auto"/>
              </w:rPr>
            </w:pPr>
          </w:p>
        </w:tc>
      </w:tr>
      <w:tr>
        <w:trPr>
          <w:trHeight w:val="25"/>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Pr>
          <w:p>
            <w:pPr>
              <w:spacing w:after="0"/>
              <w:rPr>
                <w:sz w:val="20"/>
                <w:szCs w:val="20"/>
                <w:color w:val="auto"/>
              </w:rPr>
            </w:pPr>
          </w:p>
        </w:tc>
        <w:tc>
          <w:tcPr>
            <w:tcW w:w="15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0" w:type="dxa"/>
            <w:vAlign w:val="bottom"/>
          </w:tcPr>
          <w:p>
            <w:pPr>
              <w:spacing w:after="0"/>
              <w:rPr>
                <w:sz w:val="20"/>
                <w:szCs w:val="20"/>
                <w:color w:val="auto"/>
              </w:rPr>
            </w:pPr>
          </w:p>
        </w:tc>
      </w:tr>
      <w:tr>
        <w:trPr>
          <w:trHeight w:val="25"/>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4"/>
              </w:rPr>
              <w:t>2013</w:t>
            </w:r>
          </w:p>
        </w:tc>
      </w:tr>
      <w:tr>
        <w:trPr>
          <w:trHeight w:val="25"/>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5"/>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to Business Products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23,648</w:t>
            </w:r>
          </w:p>
        </w:tc>
        <w:tc>
          <w:tcPr>
            <w:tcW w:w="46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23,915</w:t>
            </w:r>
          </w:p>
        </w:tc>
        <w:tc>
          <w:tcPr>
            <w:tcW w:w="100" w:type="dxa"/>
            <w:vAlign w:val="bottom"/>
          </w:tcPr>
          <w:p>
            <w:pPr>
              <w:spacing w:after="0"/>
              <w:rPr>
                <w:sz w:val="23"/>
                <w:szCs w:val="23"/>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6,871</w:t>
            </w:r>
          </w:p>
        </w:tc>
        <w:tc>
          <w:tcPr>
            <w:tcW w:w="100" w:type="dxa"/>
            <w:vAlign w:val="bottom"/>
          </w:tcPr>
          <w:p>
            <w:pPr>
              <w:spacing w:after="0"/>
              <w:rPr>
                <w:sz w:val="23"/>
                <w:szCs w:val="23"/>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7,651</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and Wholesale Products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1,275</w:t>
            </w:r>
          </w:p>
        </w:tc>
      </w:tr>
      <w:tr>
        <w:trPr>
          <w:trHeight w:val="23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66,044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63,546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3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4,342</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2,865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3,893</w:t>
            </w:r>
          </w:p>
        </w:tc>
      </w:tr>
      <w:tr>
        <w:trPr>
          <w:trHeight w:val="25"/>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52"/>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2,120</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r>
      <w:tr>
        <w:trPr>
          <w:trHeight w:val="20"/>
        </w:trPr>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transactions as of October 31, 2014 is shown below:</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Aggregate Intrinsic</w:t>
            </w:r>
          </w:p>
        </w:tc>
      </w:tr>
      <w:tr>
        <w:trPr>
          <w:trHeight w:val="233"/>
        </w:trPr>
        <w:tc>
          <w:tcPr>
            <w:tcW w:w="55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20"/>
                <w:szCs w:val="20"/>
                <w:color w:val="auto"/>
              </w:rPr>
            </w:pPr>
          </w:p>
        </w:tc>
        <w:tc>
          <w:tcPr>
            <w:tcW w:w="14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65"/>
        </w:trPr>
        <w:tc>
          <w:tcPr>
            <w:tcW w:w="5520" w:type="dxa"/>
            <w:vAlign w:val="bottom"/>
          </w:tcPr>
          <w:p>
            <w:pPr>
              <w:spacing w:after="0"/>
              <w:rPr>
                <w:sz w:val="23"/>
                <w:szCs w:val="23"/>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80" w:type="dxa"/>
            <w:vAlign w:val="bottom"/>
          </w:tcPr>
          <w:p>
            <w:pPr>
              <w:spacing w:after="0"/>
              <w:rPr>
                <w:sz w:val="23"/>
                <w:szCs w:val="23"/>
                <w:color w:val="auto"/>
              </w:rPr>
            </w:pPr>
          </w:p>
        </w:tc>
        <w:tc>
          <w:tcPr>
            <w:tcW w:w="14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5"/>
        </w:trPr>
        <w:tc>
          <w:tcPr>
            <w:tcW w:w="5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8"/>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and exercisable, July 31,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w:t>
            </w:r>
          </w:p>
        </w:tc>
      </w:tr>
      <w:tr>
        <w:trPr>
          <w:trHeight w:val="23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5"/>
        </w:trPr>
        <w:tc>
          <w:tcPr>
            <w:tcW w:w="5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2"/>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and exercisable, October 31, 2014</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5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amount of cash received from the exercise of stock options during the first quarter of fiscal 2015 was $15,000 and the related tax benefit was $3,000. The amount of cash received from the exercise of stock options during the first quarter of fiscal 2014 was $51,000 and the related tax benefit was $24,000.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in the first three months of either fiscal 2015 or 2014.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non-vested restricted stock as of October 31, 2014 was issued under the 2006 Plan with vesting periods between two years and five years.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046" w:right="239" w:bottom="1440" w:gutter="0" w:footer="0" w:header="0"/>
        </w:sectPr>
      </w:pPr>
    </w:p>
    <w:bookmarkStart w:id="13" w:name="page14"/>
    <w:bookmarkEnd w:id="13"/>
    <w:p>
      <w:pPr>
        <w:spacing w:after="0" w:line="273" w:lineRule="auto"/>
        <w:rPr>
          <w:sz w:val="20"/>
          <w:szCs w:val="20"/>
          <w:color w:val="auto"/>
        </w:rPr>
      </w:pPr>
      <w:r>
        <w:rPr>
          <w:rFonts w:ascii="Times New Roman" w:cs="Times New Roman" w:eastAsia="Times New Roman" w:hAnsi="Times New Roman"/>
          <w:sz w:val="18"/>
          <w:szCs w:val="18"/>
          <w:color w:val="auto"/>
        </w:rPr>
        <w:t>Under the 2006 Plan, 9,000 and 22,000 restricted shares of Common Stock were granted in the first quarter of fiscal years 2015 and 2014, respectively. Also in the first quarter of fiscal 2014, 10,000 shares of Common Class B Stock were granted.</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Included in our stock-based compensation expense in the first quarter of fiscal years 2015 and 2014 was $308,000 and $241,000, respectively, related to non-vested restricted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under the plan is shown below:</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9"/>
        </w:trPr>
        <w:tc>
          <w:tcPr>
            <w:tcW w:w="8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2"/>
        </w:trPr>
        <w:tc>
          <w:tcPr>
            <w:tcW w:w="814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18"/>
                <w:szCs w:val="18"/>
                <w:color w:val="auto"/>
              </w:rPr>
            </w:pP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3"/>
        </w:trPr>
        <w:tc>
          <w:tcPr>
            <w:tcW w:w="8140" w:type="dxa"/>
            <w:vAlign w:val="bottom"/>
          </w:tcPr>
          <w:p>
            <w:pPr>
              <w:spacing w:after="0"/>
              <w:rPr>
                <w:sz w:val="20"/>
                <w:szCs w:val="20"/>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5"/>
        </w:trPr>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July 31, 2014</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27.31</w:t>
            </w:r>
          </w:p>
        </w:tc>
      </w:tr>
      <w:tr>
        <w:trPr>
          <w:trHeight w:val="239"/>
        </w:trPr>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28.54</w:t>
            </w:r>
          </w:p>
        </w:tc>
      </w:tr>
      <w:tr>
        <w:trPr>
          <w:trHeight w:val="25"/>
        </w:trPr>
        <w:tc>
          <w:tcPr>
            <w:tcW w:w="8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21.82</w:t>
            </w:r>
          </w:p>
        </w:tc>
      </w:tr>
      <w:tr>
        <w:trPr>
          <w:trHeight w:val="239"/>
        </w:trPr>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31.15</w:t>
            </w:r>
          </w:p>
        </w:tc>
      </w:tr>
      <w:tr>
        <w:trPr>
          <w:trHeight w:val="25"/>
        </w:trPr>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2"/>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outstanding at October 31, 2014</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28.68</w:t>
            </w:r>
          </w:p>
        </w:tc>
      </w:tr>
      <w:tr>
        <w:trPr>
          <w:trHeight w:val="20"/>
        </w:trPr>
        <w:tc>
          <w:tcPr>
            <w:tcW w:w="8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by component as of October 31, 2014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7"/>
              </w:rPr>
              <w:t>Unrealized Gain</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6"/>
              </w:rPr>
              <w:t>Total Accumulated</w:t>
            </w:r>
          </w:p>
        </w:tc>
      </w:tr>
      <w:tr>
        <w:trPr>
          <w:trHeight w:val="212"/>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(Loss) on</w:t>
            </w:r>
          </w:p>
        </w:tc>
        <w:tc>
          <w:tcPr>
            <w:tcW w:w="240" w:type="dxa"/>
            <w:vAlign w:val="bottom"/>
          </w:tcPr>
          <w:p>
            <w:pPr>
              <w:spacing w:after="0"/>
              <w:rPr>
                <w:sz w:val="18"/>
                <w:szCs w:val="18"/>
                <w:color w:val="auto"/>
              </w:rPr>
            </w:pPr>
          </w:p>
        </w:tc>
        <w:tc>
          <w:tcPr>
            <w:tcW w:w="14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580" w:type="dxa"/>
            <w:vAlign w:val="bottom"/>
          </w:tcPr>
          <w:p>
            <w:pPr>
              <w:spacing w:after="0"/>
              <w:rPr>
                <w:sz w:val="18"/>
                <w:szCs w:val="18"/>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300" w:type="dxa"/>
            <w:vAlign w:val="bottom"/>
          </w:tcPr>
          <w:p>
            <w:pPr>
              <w:spacing w:after="0"/>
              <w:rPr>
                <w:sz w:val="18"/>
                <w:szCs w:val="18"/>
                <w:color w:val="auto"/>
              </w:rPr>
            </w:pP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2"/>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7"/>
              </w:rPr>
              <w:t>Marketable</w:t>
            </w:r>
          </w:p>
        </w:tc>
        <w:tc>
          <w:tcPr>
            <w:tcW w:w="240" w:type="dxa"/>
            <w:vAlign w:val="bottom"/>
          </w:tcPr>
          <w:p>
            <w:pPr>
              <w:spacing w:after="0"/>
              <w:rPr>
                <w:sz w:val="18"/>
                <w:szCs w:val="18"/>
                <w:color w:val="auto"/>
              </w:rPr>
            </w:pPr>
          </w:p>
        </w:tc>
        <w:tc>
          <w:tcPr>
            <w:tcW w:w="14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580" w:type="dxa"/>
            <w:vAlign w:val="bottom"/>
          </w:tcPr>
          <w:p>
            <w:pPr>
              <w:spacing w:after="0"/>
              <w:rPr>
                <w:sz w:val="18"/>
                <w:szCs w:val="18"/>
                <w:color w:val="auto"/>
              </w:rPr>
            </w:pPr>
          </w:p>
        </w:tc>
        <w:tc>
          <w:tcPr>
            <w:tcW w:w="14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00" w:type="dxa"/>
            <w:vAlign w:val="bottom"/>
          </w:tcPr>
          <w:p>
            <w:pPr>
              <w:spacing w:after="0"/>
              <w:rPr>
                <w:sz w:val="18"/>
                <w:szCs w:val="18"/>
                <w:color w:val="auto"/>
              </w:rPr>
            </w:pP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r>
      <w:tr>
        <w:trPr>
          <w:trHeight w:val="233"/>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5"/>
              </w:rPr>
              <w:t>Securities</w:t>
            </w:r>
          </w:p>
        </w:tc>
        <w:tc>
          <w:tcPr>
            <w:tcW w:w="240" w:type="dxa"/>
            <w:vAlign w:val="bottom"/>
          </w:tcPr>
          <w:p>
            <w:pPr>
              <w:spacing w:after="0"/>
              <w:rPr>
                <w:sz w:val="20"/>
                <w:szCs w:val="20"/>
                <w:color w:val="auto"/>
              </w:rPr>
            </w:pPr>
          </w:p>
        </w:tc>
        <w:tc>
          <w:tcPr>
            <w:tcW w:w="14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Health Benefits</w:t>
            </w:r>
          </w:p>
        </w:tc>
        <w:tc>
          <w:tcPr>
            <w:tcW w:w="580" w:type="dxa"/>
            <w:vAlign w:val="bottom"/>
          </w:tcPr>
          <w:p>
            <w:pPr>
              <w:spacing w:after="0"/>
              <w:rPr>
                <w:sz w:val="20"/>
                <w:szCs w:val="20"/>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00" w:type="dxa"/>
            <w:vAlign w:val="bottom"/>
          </w:tcPr>
          <w:p>
            <w:pPr>
              <w:spacing w:after="0"/>
              <w:rPr>
                <w:sz w:val="20"/>
                <w:szCs w:val="20"/>
                <w:color w:val="auto"/>
              </w:rPr>
            </w:pPr>
          </w:p>
        </w:tc>
        <w:tc>
          <w:tcPr>
            <w:tcW w:w="14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Income</w:t>
            </w:r>
          </w:p>
        </w:tc>
      </w:tr>
      <w:tr>
        <w:trPr>
          <w:trHeight w:val="25"/>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r>
      <w:tr>
        <w:trPr>
          <w:trHeight w:val="22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Other comprehensive loss before reclassifications, net of</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0"/>
                <w:szCs w:val="20"/>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 a)</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b)</w:t>
            </w: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0"/>
        </w:trPr>
        <w:tc>
          <w:tcPr>
            <w:tcW w:w="412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20"/>
                <w:szCs w:val="20"/>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2"/>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hanging="174"/>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included in the condensed Consolidated Statements of Income on the Other, net line item.</w:t>
      </w:r>
    </w:p>
    <w:p>
      <w:pPr>
        <w:spacing w:after="0" w:line="216" w:lineRule="exact"/>
        <w:rPr>
          <w:rFonts w:ascii="Times New Roman" w:cs="Times New Roman" w:eastAsia="Times New Roman" w:hAnsi="Times New Roman"/>
          <w:sz w:val="18"/>
          <w:szCs w:val="18"/>
          <w:color w:val="auto"/>
        </w:rPr>
      </w:pPr>
    </w:p>
    <w:p>
      <w:pPr>
        <w:ind w:firstLine="6"/>
        <w:spacing w:after="0" w:line="273" w:lineRule="auto"/>
        <w:tabs>
          <w:tab w:leader="none" w:pos="1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tax expense of $60,000. Amounts are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2014.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2014 COMPARED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2013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net sales for the three months ended October 31, 2014 were $66,044,000, an increase of 4% from net sales of $63,546,000 for the three months ended October 31, 2013. Consolidated net income for the first quarter of fiscal 2015 was $2,120,000, compared to $2,887,000 for the first quarter of fiscal 2014. Operating income declined for both our Retail and Wholesale Products Group and our Business to Business Products Group. Diluted net income per share was $0.30 for the first quarter of fiscal 2015, compared to $0.41 for the first quarter of fiscal 2014.</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Consolidated net sales for the first quarter of fiscal 2015 improved due to higher sales volume for cat litter and industrial absorbent products in our Retail and Wholesale Products Group, which more than offset lower sales in our Business to Business Products Group.</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gross profit as a percentage of net sales for the first quarter of fiscal 2015 was 21%, which was lower than the 26% reported for the first quarter of fiscal 2014. Gross profit declined due primarily to the mix of products sold, including the increased sales of private label cat litter, and higher packaging costs, as described by operating segment below. Material costs were comparable to the prior year due primarily to a 5% decline in the cost of natural gas used to operate kilns that dry our clay, which offset an increase in non-fuel manufacturing cost per ton, including labor, benefits and depreciation.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for the first quarter of fiscal 2015 were 16%, compared to 19% for the first quarter of fiscal 2014. The discussion of the segments' operating incomes below describes the change in the selling, general and administrative expenses that were allocated to the operating segments, particularly lower advertising costs in the Retail and Wholesale Products Group. The remaining unallocated corporate expenses in the first quarter of fiscal 2015 included a lower estimated annual incentive bonus accrual. The incentive bonus expense was based on performance targets that were established for the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was $42,000 lower for the first quarter of fiscal 2015 compared to the same period in fiscal 2014 due primarily to a reduction of notes payable.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26% of pre-tax income in the first quarter of fiscal 2015, the same as in the first quarter of fiscal 2014.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6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first quarter of fiscal 2015 were $23,648,000, a decrease of $267,000, or 1%, from net sales of $23,915,000 for the first quarter of fiscal 2014. The net sales decline resulted from 7% fewer tons sold, which was partially offset by higher average net selling prices. Net sales of fluid purification products were approximately 6% lower due primarily to reduced sales to edible oil producers. Our co-packaged traditional coarse cat litter net sales were also down 10% compared to the first quarter of the prior year. Partially offsetting these declines were higher sales of products used by agricultural chemical carrier producers. Sales of our animal health and nutrition products also increased in foreign markets.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first quarter of fiscal 2015 was $6,871,000, a decrease of $780,000, or 10%, from operating income of $7,651,000 in the first quarter of fiscal 2014. Operating income was negatively impacted by the reduced sales described above, by 13% higher packaging costs and by 8% higher freight costs. Packaging costs increased due to the mix of products sold. The freight cost increase is attributed to the temporary utilization of additional railcars. See further discussion of manufacturing costs in “Consolidated Results” above.</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Selling, general and administrative expenses for the Business to Business Products Group increased 3% compared to the first quarter of fiscal 2014 due primarily to additional personnel, including staff at our new subsidiary in China, Amlan Trading (Shenzhen) Company, Ltd.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first quarter of fiscal 2015 were $42,396,000, an increase of $2,765,000, or 7.0%, from net sales of $39,631,000 for the first quarter of fiscal 2014. Net sales for our cat litter and industrial absorbent products increased; however, sales declined for our Canadian and United Kingdom foreign subsidiaries. Our foreign subsidiaries are discussed under “Foreign Operations” below. Overall cat litter net sales increased approximately 8% due to 18% higher sales volume. Private label cat litter sales increased approximately 50% due primarily to additional sales from the acquisition of MFM in the second quarter of fiscal 2014. Our branded cat litter net sales decrease of approximately 13% was attributed primarily to increased trade spending for our Cat's Pride Fresh &amp; Light products (trade spending is reported as a reduction of sales) and lower sales of our other Cat's Pride products. Net sales of clay and nonclay-based industrial absorbent products increased approximately 9% compared to the first quarter of fiscal 2014.</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Retail and Wholesale Products Group reported operating income of $886,000 for the first quarter of fiscal 2015, a decrease of $389,000, or 31%, from operating income of $1,275,000 for the first quarter of fiscal 2014. The increased proportion of total cat litter sales derived from private label cat litter, which generally has a lower gross profit than branded cat litter, diminished operating income. This unfavorable sales mix more than offset the benefit of the increased sales discussed above and the lower selling general and administrative expenses discussed below. Higher packaging costs due to rising prices for plastics commodities used for many of our cat litter products were primarily offset by lower freight and material costs.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expenses for the Retail and Wholesale Products Group were 27% lower compared to the first quarter of fiscal 2014 due to reduced advertising expense, which was partially offset by additional amortization of intangible assets related to the MFM acquisition in the second quarter of fiscal 2014.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by our foreign subsidiaries during the first quarter of fiscal 2015 were $3,121,000, a 5% increase compared to net sales of $2,978,000 during the first quarter of fiscal 2014. The net sales increase was attributed to sales by our new China subsidiary, which more than offset lower sales in our Canada and United Kingdom subsidiaries. Net sales by our foreign subsidiaries represented approximately 5% of our consolidated net sales during the first quarter of both fiscal years 2015 and 2014.</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foreign subsidiaries reported a net loss of $242,000 for the first quarter of fiscal 2015 compared to a net loss of $117,000 for the first quarter of fiscal 2014. The net loss increased due primarily to foreign currency exchange losses, an unfavorable product sales mix at our United Kingdom subsidiary and a reported loss at our new China subsidiary.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principal capital requirements include funding working capital needs, purchasing and upgrading equipment, facilities and real estate, funding new product development and investing in infrastructure, repurchasing Common Stock, paying dividends and business acquisitions. During the first three months of fiscal 2015,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$7,824,000 during the first three months of fiscal 2015 to $8,406,000 as of October 31,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condensed Consolidated Statements of Cash Flows (in thousands):</w:t>
      </w:r>
    </w:p>
    <w:p>
      <w:pPr>
        <w:spacing w:after="0" w:line="162"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w:t>
      </w:r>
    </w:p>
    <w:p>
      <w:pPr>
        <w:spacing w:after="0" w:line="2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19050</wp:posOffset>
            </wp:positionV>
            <wp:extent cx="19005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0" w:lineRule="exact"/>
        <w:rPr>
          <w:sz w:val="20"/>
          <w:szCs w:val="20"/>
          <w:color w:val="auto"/>
        </w:rPr>
      </w:pPr>
    </w:p>
    <w:tbl>
      <w:tblPr>
        <w:tblLayout w:type="fixed"/>
        <w:tblInd w:w="940" w:type="dxa"/>
        <w:tblCellMar>
          <w:top w:w="0" w:type="dxa"/>
          <w:left w:w="0" w:type="dxa"/>
          <w:bottom w:w="0" w:type="dxa"/>
          <w:right w:w="0" w:type="dxa"/>
        </w:tblCellMar>
      </w:tblPr>
      <w:tr>
        <w:trPr>
          <w:trHeight w:val="233"/>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5"/>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5"/>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2"/>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first three months of fiscal years 2015 and 2014, were as follows: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Accounts receivable, less allowance for doubtful accounts, increased $896,000 in the first three months of fiscal 2015 compared to an increase of $604,000 in the first three months of fiscal 2014. Sales in the first quarter of fiscal 2015 were higher than in the first quarter of fiscal 2014. The change in both periods is also subject to the timing of sales and collections and the payment terms provided to various customers.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decreased $151,000 in the first three months of fiscal 2015 compared to an increase of $1,621,000 in the same period in fiscal 2014. Finished goods inventory was down in the first three months of fiscal 2015 due primarily to fewer tons in inventory; however, this decrease was mostly offset by an increase in additives inventories. In the first three months of fiscal 2014, finished goods, packaging and additives inventories were up primarily due to higher costs and production projections for certain products.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Prepaid expenses decreased $1,308,000 in the first three months of fiscal 2015 compared to an increase of $496,000 in the first three months of fiscal 2014. The decrease in the first three months of fiscal 2015 was due primarily to a reclassification of prepaid rents and royalties to other long-term assets and a decrease in prepaid income taxes. These decreases were partially offset by an increase in prepaid insurance. The prepaid expenses increase in the first three months of fiscal 2014 was due primarily to an increase in prepaid insurance. Prepaid insurance increased in both periods due to the timing of insurance premium payments.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assets increased $1,173,000 in the first three months of fiscal 2015 compared to an increase of $4,000 in the first three months of fiscal 2014. The increase in the first three months of fiscal 2015 was due primarily to the reclassification of prepaid rents and royalties from current prepaid expenses. The cash surrender value of life insurance on key employees also increased in both periods.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payable decreased $1,632,000 in the first three months of fiscal 2015 compared to an increase of $367,000 in the first three months of fiscal 2014. Trade payables varied in both periods due to timing of payments, fluctuations in the cost of goods and services we purchased and production volume levels. Payables related to freight decreased significantly in the first three months of fiscal 2015 due in part to various vendor payment terms. In the first three months of fiscal 2014, an increase in trade accounts payable was partially offset by a decrease in accrued income taxes.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Accrued expenses decreased $2,000,000 in the first three months of fiscal 2015 compared to a decrease of $4,313,000 in the first three months of fiscal 2014. The purchase of plant equipment previously under a capital lease decreased accrued expense in the first three months of fiscal 2015. Accrued salaries included the discretionary incentive bonus accrual, which in the first three months of both fiscal 2015 and 2014 decreased by the payout of the prior fiscal year's bonus and increased by a lesser amount for the fiscal year's first three months' accrual. Accrued trade promotions and advertising in the first three months of both fiscal 2015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69" w:right="239" w:bottom="1440" w:gutter="0" w:footer="0" w:header="0"/>
        </w:sectPr>
      </w:pPr>
    </w:p>
    <w:bookmarkStart w:id="17" w:name="page18"/>
    <w:bookmarkEnd w:id="17"/>
    <w:p>
      <w:pPr>
        <w:jc w:val="both"/>
        <w:spacing w:after="0" w:line="273" w:lineRule="auto"/>
        <w:rPr>
          <w:sz w:val="20"/>
          <w:szCs w:val="20"/>
          <w:color w:val="auto"/>
        </w:rPr>
      </w:pPr>
      <w:r>
        <w:rPr>
          <w:rFonts w:ascii="Times New Roman" w:cs="Times New Roman" w:eastAsia="Times New Roman" w:hAnsi="Times New Roman"/>
          <w:sz w:val="18"/>
          <w:szCs w:val="18"/>
          <w:color w:val="auto"/>
        </w:rPr>
        <w:t>and 2014 varied due to the timing of marketing programs. Similar to accounts payable, accrued plant expenses fluctuated due to timing of payments, cost fluctuations for goods and services we purchased and our production levels.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Deferred compensation increased $261,000 in the first three months of fiscal 2015 compared to an increase of $251,000 in the first three months of fiscal 2014. Deferred compensation balances in both periods were reduced by scheduled payouts and were increased by employee deferrals and interest earned on accumulated balances.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Pension and other postretirement liabilities increased $357,000 in the first three months of fiscal 2015 compared to an increase of $277,000 in the first three months of fiscal 2014. The liability increase for both periods was determined based on actuarial estimates using various assumptions. See Note 6 of the notes to condensed Consolidated Financial Statements for further discussion of our postretirement benefit obligations.</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Other liabilities increased $35,000 in the first three months of fiscal 2015 compared to an increase of $102,000 in the first three months of fiscal 2014. A reclassification of the uncertain tax positions accrual to long-term contributed to the increase for the first three months of fiscal 2014.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Cash used in investing activities was $4,825,000 in the first three months of fiscal 2015 compared to net cash used in investing activities of $895,000 in the first three months of fiscal 2014. Cash used for capital expenditures of $5,717,000 and $3,382,000 in the first three months of fiscal 2015 and 2014, respectively, was primarily for business growth projects and equipment replacement at our manufacturing facilities. Disposition of investment securities exceeded purchases by $740,000 and $3,273,000 in the first three months of fiscal 2015 and 2014, respectively. Purchases and dispositions of investment securities in both periods are subject to variations in the timing of investment maturities. In addition, during the first three months of fiscal 2014 $800,000 was deposited in escrow related to the acquisition of MFM that was pending as of October 31,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Cash used in financing activities was $4,786,000 in the first three months of fiscal 2015 compared to cash used in financing activities of $4,672,000 in the first three months of fiscal 2014. Scheduled payments on long-term debt in the first three months of fiscal 2015 and 2014 were both $3,500,000. Dividend payments in the first three months of fiscal 2015 were $1,311,000 compared to $1,236,000 paid during the same period of fiscal 2014 due to a dividend increase.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Total cash and investment balances held by our foreign subsidiaries of $1,376,000 as of October 31, 2014 were slightly higher than the October 31, 2013 balances of $1,327,000. See further discussion in “Foreign Operations” above.</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December 4, 2014, we signed a fourth amendment to our credit agreement with BMO Harris Bank N.A. (“BMO Harris”) which was scheduled to expire on December 31, 2014. The new agreement will expire on December 4, 2019 and provides for a $25,000,0000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October 31, 2014, the variable rates would have been 3.25% for BMO Harris’ prime-based rate or 1.55%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2014 and 2013, and we were in compliance with its covenants.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October 31, 2014, we had remaining authority to repurchase 309,613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current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believe cash requirements for capital expenditures in fiscal 2015 will be comparable to fiscal 2014 due to projects at our manufacturing facilities. Our cash requirements are subject to change as business conditions warrant and opportunities arise. We continually evaluate our liquidity position and anticipated cash needs, as well as the financing options available to obtain additional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1" w:right="2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tables in the following subsection summarize our contractual obligations and commercial commitments (in thousands) as of October 31, 2014 for the time-frames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After 5 Years</w:t>
            </w:r>
          </w:p>
        </w:tc>
        <w:tc>
          <w:tcPr>
            <w:tcW w:w="0" w:type="dxa"/>
            <w:vAlign w:val="bottom"/>
          </w:tcPr>
          <w:p>
            <w:pPr>
              <w:spacing w:after="0"/>
              <w:rPr>
                <w:sz w:val="1"/>
                <w:szCs w:val="1"/>
                <w:color w:val="auto"/>
              </w:rPr>
            </w:pPr>
          </w:p>
        </w:tc>
      </w:tr>
      <w:tr>
        <w:trPr>
          <w:trHeight w:val="25"/>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39"/>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Notes Payable</w:t>
            </w:r>
          </w:p>
        </w:tc>
        <w:tc>
          <w:tcPr>
            <w:tcW w:w="3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28,031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made total contributions to our defined benefit pension plan of $230,000 during the first three months of fiscal 2015. We estimate contributions of approximately $1,626,000 will be made during the remainder of fiscal 2015.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9"/>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Amount of Commitment Expiration Per Period</w:t>
            </w:r>
          </w:p>
        </w:tc>
        <w:tc>
          <w:tcPr>
            <w:tcW w:w="1220" w:type="dxa"/>
            <w:vAlign w:val="bottom"/>
          </w:tcPr>
          <w:p>
            <w:pPr>
              <w:spacing w:after="0"/>
              <w:rPr>
                <w:sz w:val="20"/>
                <w:szCs w:val="20"/>
                <w:color w:val="auto"/>
              </w:rPr>
            </w:pPr>
          </w:p>
        </w:tc>
      </w:tr>
      <w:tr>
        <w:trPr>
          <w:trHeight w:val="25"/>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80" w:type="dxa"/>
            <w:vAlign w:val="bottom"/>
          </w:tcPr>
          <w:p>
            <w:pPr>
              <w:spacing w:after="0"/>
              <w:rPr>
                <w:sz w:val="20"/>
                <w:szCs w:val="20"/>
                <w:color w:val="auto"/>
              </w:rPr>
            </w:pPr>
          </w:p>
        </w:tc>
        <w:tc>
          <w:tcPr>
            <w:tcW w:w="1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1 – 3 Years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4 – 5 Years</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After 5 Years</w:t>
            </w:r>
          </w:p>
        </w:tc>
      </w:tr>
      <w:tr>
        <w:trPr>
          <w:trHeight w:val="25"/>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2"/>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tangible property regulations ("repair regulations") released by the Internal Revenue Service in September 2013 under Sections 162(a) and 263(a) of the Internal Revenue Code were effective for our tax year beginning August 1, 2014. The repair regulations provide guidance regarding the timing of deductions and the capitalization of amounts paid to acquire, produce or improve tangible property. We are currently evaluating our accounting policies to ensure compliance with the requirements of the repair regulations.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Recently Issued Regulations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May 2014, the FASB issued guidance under ASC 250, </w:t>
      </w:r>
      <w:r>
        <w:rPr>
          <w:rFonts w:ascii="Times New Roman" w:cs="Times New Roman" w:eastAsia="Times New Roman" w:hAnsi="Times New Roman"/>
          <w:sz w:val="17"/>
          <w:szCs w:val="17"/>
          <w:i w:val="1"/>
          <w:iCs w:val="1"/>
          <w:color w:val="auto"/>
        </w:rPr>
        <w:t>Revenue from Contract with Customers</w:t>
      </w:r>
      <w:r>
        <w:rPr>
          <w:rFonts w:ascii="Times New Roman" w:cs="Times New Roman" w:eastAsia="Times New Roman" w:hAnsi="Times New Roman"/>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not permitted. This guidance will be effective at the beginning of our first quarter of fiscal 2017. We are currently evaluating the impact of the adoption of these requirement on our Consolidated Financial Statements.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2014, the FASB issued guidance under ASC 205,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ended July 31, 2017. We are currently evaluating the impact of the adoption of these requirement on our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69"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three months of fiscal 2015 we did not enter into any hedge contracts in an attempt to offset any adverse effect of changes in currency exchange rates. We believe that the overall foreign currency fluctuation risk is not material to our Consolidated Financial Statements.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2015. We continue to purchase natural gas at spot rates on a month to month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69"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October 31, 2014 that have materially affected, or are reasonably likely to materially affect, our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6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1A, 2, 3 and 5 of this Part II are either inapplicable or are answered in the negative and are omitted pursuant to the instructions to Part II.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Exhibit</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w:t>
            </w:r>
          </w:p>
        </w:tc>
        <w:tc>
          <w:tcPr>
            <w:tcW w:w="57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Description</w:t>
            </w:r>
          </w:p>
        </w:tc>
        <w:tc>
          <w:tcPr>
            <w:tcW w:w="4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5"/>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47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Amendment, dated as of December 4, 2014 to Credit Agreement dated</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January 27, 2006.</w:t>
            </w:r>
          </w:p>
        </w:tc>
        <w:tc>
          <w:tcPr>
            <w:tcW w:w="4560" w:type="dxa"/>
            <w:vAlign w:val="bottom"/>
          </w:tcPr>
          <w:p>
            <w:pPr>
              <w:spacing w:after="0"/>
              <w:rPr>
                <w:sz w:val="20"/>
                <w:szCs w:val="20"/>
                <w:color w:val="auto"/>
              </w:rPr>
            </w:pPr>
          </w:p>
        </w:tc>
      </w:tr>
      <w:tr>
        <w:trPr>
          <w:trHeight w:val="38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re: Computation of Earnings per Share.</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3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Certifications pursuant to Rule 13a–14(a).</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3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Certifications pursuant to Section 1350 of the Sarbanes-Oxley Act of 2002.</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530"/>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Instance Document</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84"/>
        </w:trPr>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90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6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1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-9525</wp:posOffset>
            </wp:positionV>
            <wp:extent cx="1572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-9525</wp:posOffset>
            </wp:positionV>
            <wp:extent cx="1544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T. Smith</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2014</w:t>
      </w:r>
    </w:p>
    <w:p>
      <w:pPr>
        <w:spacing w:after="0" w:line="24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560" w:top="571" w:right="299" w:bottom="1440" w:gutter="0" w:footer="0" w:header="0"/>
        </w:sectPr>
      </w:pPr>
    </w:p>
    <w:bookmarkStart w:id="24" w:name="page25"/>
    <w:bookmarkEnd w:id="24"/>
    <w:tbl>
      <w:tblPr>
        <w:tblLayout w:type="fixed"/>
        <w:tblInd w:w="30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970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83"/>
        </w:trPr>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Exhibit No.</w:t>
            </w:r>
          </w:p>
        </w:tc>
        <w:tc>
          <w:tcPr>
            <w:tcW w:w="970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Description</w:t>
            </w:r>
          </w:p>
        </w:tc>
      </w:tr>
      <w:tr>
        <w:trPr>
          <w:trHeight w:val="32"/>
        </w:trPr>
        <w:tc>
          <w:tcPr>
            <w:tcW w:w="1140" w:type="dxa"/>
            <w:vAlign w:val="bottom"/>
            <w:tcBorders>
              <w:bottom w:val="single" w:sz="8" w:color="auto"/>
            </w:tcBorders>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Amendment, dated as of December 4, 2014 to Credit Agreement dated as of January 27, 2006.</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re: Computation of Earnings per Share.</w:t>
            </w:r>
          </w:p>
        </w:tc>
      </w:tr>
      <w:tr>
        <w:trPr>
          <w:trHeight w:val="530"/>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Certifications pursuant to Rule 13a–14(a).</w:t>
            </w:r>
          </w:p>
        </w:tc>
      </w:tr>
      <w:tr>
        <w:trPr>
          <w:trHeight w:val="530"/>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Certifications pursuant to Section 1350 of the Sarbanes-Oxley Act of 2002.</w:t>
            </w:r>
          </w:p>
        </w:tc>
      </w:tr>
      <w:tr>
        <w:trPr>
          <w:trHeight w:val="530"/>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84"/>
        </w:trPr>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69"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CREDIT AGREEMENT</w:t>
      </w:r>
    </w:p>
    <w:p>
      <w:pPr>
        <w:spacing w:after="0" w:line="217" w:lineRule="exact"/>
        <w:rPr>
          <w:sz w:val="20"/>
          <w:szCs w:val="20"/>
          <w:color w:val="auto"/>
        </w:rPr>
      </w:pPr>
    </w:p>
    <w:p>
      <w:pPr>
        <w:ind w:firstLine="636"/>
        <w:spacing w:after="0" w:line="236" w:lineRule="exact"/>
        <w:rPr>
          <w:sz w:val="20"/>
          <w:szCs w:val="20"/>
          <w:color w:val="auto"/>
        </w:rPr>
      </w:pPr>
      <w:r>
        <w:rPr>
          <w:rFonts w:ascii="Times New Roman" w:cs="Times New Roman" w:eastAsia="Times New Roman" w:hAnsi="Times New Roman"/>
          <w:sz w:val="18"/>
          <w:szCs w:val="18"/>
          <w:color w:val="auto"/>
        </w:rPr>
        <w:t xml:space="preserve">This Fourth Amendment to Credit Agreement (the </w:t>
      </w:r>
      <w:r>
        <w:rPr>
          <w:rFonts w:ascii="Times New Roman" w:cs="Times New Roman" w:eastAsia="Times New Roman" w:hAnsi="Times New Roman"/>
          <w:sz w:val="18"/>
          <w:szCs w:val="18"/>
          <w:i w:val="1"/>
          <w:iCs w:val="1"/>
          <w:color w:val="auto"/>
        </w:rPr>
        <w:t>“Fourth Amendment”</w:t>
      </w:r>
      <w:r>
        <w:rPr>
          <w:rFonts w:ascii="Times New Roman" w:cs="Times New Roman" w:eastAsia="Times New Roman" w:hAnsi="Times New Roman"/>
          <w:sz w:val="18"/>
          <w:szCs w:val="18"/>
          <w:color w:val="auto"/>
        </w:rPr>
        <w:t>) dated as of December 4, 2014, between 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Dri Corporation of America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BMO Harris Bank N.A. (the</w:t>
      </w:r>
      <w:r>
        <w:rPr>
          <w:rFonts w:ascii="Times New Roman" w:cs="Times New Roman" w:eastAsia="Times New Roman" w:hAnsi="Times New Roman"/>
          <w:sz w:val="18"/>
          <w:szCs w:val="18"/>
          <w:i w:val="1"/>
          <w:iCs w:val="1"/>
          <w:color w:val="auto"/>
        </w:rPr>
        <w:t xml:space="preserve"> “Bank”</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45" w:lineRule="exact"/>
        <w:rPr>
          <w:sz w:val="20"/>
          <w:szCs w:val="20"/>
          <w:color w:val="auto"/>
        </w:rPr>
      </w:pPr>
    </w:p>
    <w:p>
      <w:pPr>
        <w:jc w:val="both"/>
        <w:ind w:firstLine="642"/>
        <w:spacing w:after="0" w:line="259" w:lineRule="auto"/>
        <w:tabs>
          <w:tab w:leader="none" w:pos="10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Domestic Subsidiaries of the Company, and the Bank are parties to a Credit Agreement dated as of January 27, 2006 (as amended and restated from time to time, the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All capitalized terms used herein without definition shall have the same meanings herein as such terms are defined in the Credit Agreement.</w:t>
      </w:r>
    </w:p>
    <w:p>
      <w:pPr>
        <w:spacing w:after="0" w:line="203" w:lineRule="exact"/>
        <w:rPr>
          <w:rFonts w:ascii="Times New Roman" w:cs="Times New Roman" w:eastAsia="Times New Roman" w:hAnsi="Times New Roman"/>
          <w:sz w:val="18"/>
          <w:szCs w:val="18"/>
          <w:color w:val="auto"/>
        </w:rPr>
      </w:pPr>
    </w:p>
    <w:p>
      <w:pPr>
        <w:ind w:left="980" w:hanging="33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Bank have agreed to amend the Credit Agreement under the terms and conditions set forth in this Fourth Amendment.</w:t>
      </w:r>
    </w:p>
    <w:p>
      <w:pPr>
        <w:spacing w:after="0" w:line="283"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AMENDMENTS.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Upon satisfaction of the conditions precedent contained in Section 3 below, the Credit Agreement shall be and hereby is amended as follows:</w:t>
      </w:r>
    </w:p>
    <w:p>
      <w:pPr>
        <w:spacing w:after="0" w:line="243" w:lineRule="exact"/>
        <w:rPr>
          <w:sz w:val="20"/>
          <w:szCs w:val="20"/>
          <w:color w:val="auto"/>
        </w:rPr>
      </w:pPr>
    </w:p>
    <w:p>
      <w:pPr>
        <w:jc w:val="right"/>
        <w:spacing w:after="0"/>
        <w:tabs>
          <w:tab w:leader="none" w:pos="9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second sentence of Section 1.1 of the Credit Agreement (Revolving Credit) shall be amended and restated in its entirety to read as</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follows:</w:t>
      </w:r>
    </w:p>
    <w:p>
      <w:pPr>
        <w:spacing w:after="0" w:line="222"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18"/>
          <w:szCs w:val="18"/>
          <w:color w:val="auto"/>
        </w:rPr>
        <w:t xml:space="preserve">The Revolving Credit may be utilized by the Company in the form of loans (individually a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xml:space="preserve"> and collectively the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xml:space="preserve">) and Letters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principal amount of Loans and Letters of Credit outstanding at any one time shall not exceed $25,000,000 (the </w:t>
      </w:r>
      <w:r>
        <w:rPr>
          <w:rFonts w:ascii="Times New Roman" w:cs="Times New Roman" w:eastAsia="Times New Roman" w:hAnsi="Times New Roman"/>
          <w:sz w:val="18"/>
          <w:szCs w:val="18"/>
          <w:i w:val="1"/>
          <w:iCs w:val="1"/>
          <w:color w:val="auto"/>
        </w:rPr>
        <w:t>“Revolving Credit Commitment”,</w:t>
      </w:r>
      <w:r>
        <w:rPr>
          <w:rFonts w:ascii="Times New Roman" w:cs="Times New Roman" w:eastAsia="Times New Roman" w:hAnsi="Times New Roman"/>
          <w:sz w:val="18"/>
          <w:szCs w:val="18"/>
          <w:color w:val="auto"/>
        </w:rPr>
        <w:t xml:space="preserve"> as such amount may be reduced pursuant to Section 3.4 hereof) and (b) as provided in Section 1.3(a), the aggregate amount of Letters of Credit issued and outstanding hereunder shall not at any one time exceed the U.S. Dollar Equivalent of $5,000,000.</w:t>
      </w:r>
    </w:p>
    <w:p>
      <w:pPr>
        <w:spacing w:after="0" w:line="209"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18"/>
          <w:szCs w:val="18"/>
          <w:color w:val="auto"/>
        </w:rPr>
        <w:t>1.2.</w:t>
        <w:tab/>
        <w:t>The fourth sentence of Section 1.1 of the Credit Agreement (Revolving Credit) shall be amended and restated in its entirety to read as</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follows:</w:t>
      </w:r>
    </w:p>
    <w:p>
      <w:pPr>
        <w:spacing w:after="0" w:line="224"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8"/>
          <w:szCs w:val="18"/>
          <w:color w:val="auto"/>
        </w:rPr>
        <w:t xml:space="preserve">The Loans shall be made against and evidenced by a single promissory note of the Company in the form (with appropriate insertions) attached hereto as Exhibit A (the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payable to the order of the Bank in the principal amount of $25,000,000.</w:t>
      </w:r>
    </w:p>
    <w:p>
      <w:pPr>
        <w:spacing w:after="0" w:line="189" w:lineRule="exact"/>
        <w:rPr>
          <w:sz w:val="20"/>
          <w:szCs w:val="20"/>
          <w:color w:val="auto"/>
        </w:rPr>
      </w:pPr>
    </w:p>
    <w:p>
      <w:pPr>
        <w:ind w:left="640" w:right="20" w:firstLine="636"/>
        <w:spacing w:after="0" w:line="276" w:lineRule="auto"/>
        <w:rPr>
          <w:sz w:val="20"/>
          <w:szCs w:val="20"/>
          <w:color w:val="auto"/>
        </w:rPr>
      </w:pPr>
      <w:r>
        <w:rPr>
          <w:rFonts w:ascii="Times New Roman" w:cs="Times New Roman" w:eastAsia="Times New Roman" w:hAnsi="Times New Roman"/>
          <w:sz w:val="18"/>
          <w:szCs w:val="18"/>
          <w:color w:val="auto"/>
        </w:rPr>
        <w:t xml:space="preserve">1.3. The definition of </w:t>
      </w:r>
      <w:r>
        <w:rPr>
          <w:rFonts w:ascii="Times New Roman" w:cs="Times New Roman" w:eastAsia="Times New Roman" w:hAnsi="Times New Roman"/>
          <w:sz w:val="18"/>
          <w:szCs w:val="18"/>
          <w:i w:val="1"/>
          <w:iCs w:val="1"/>
          <w:color w:val="auto"/>
        </w:rPr>
        <w:t>“Termination Date”</w:t>
      </w:r>
      <w:r>
        <w:rPr>
          <w:rFonts w:ascii="Times New Roman" w:cs="Times New Roman" w:eastAsia="Times New Roman" w:hAnsi="Times New Roman"/>
          <w:sz w:val="18"/>
          <w:szCs w:val="18"/>
          <w:color w:val="auto"/>
        </w:rPr>
        <w:t xml:space="preserve"> set forth in Section 4.1 of the Credit Agreement (Definitions) shall be amended and restated in its entirety to read as follows:</w:t>
      </w:r>
    </w:p>
    <w:p>
      <w:pPr>
        <w:spacing w:after="0" w:line="186" w:lineRule="exact"/>
        <w:rPr>
          <w:sz w:val="20"/>
          <w:szCs w:val="20"/>
          <w:color w:val="auto"/>
        </w:rPr>
      </w:pPr>
    </w:p>
    <w:p>
      <w:pPr>
        <w:ind w:left="128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“Termination Date” </w:t>
      </w:r>
      <w:r>
        <w:rPr>
          <w:rFonts w:ascii="Times New Roman" w:cs="Times New Roman" w:eastAsia="Times New Roman" w:hAnsi="Times New Roman"/>
          <w:sz w:val="18"/>
          <w:szCs w:val="18"/>
          <w:color w:val="auto"/>
        </w:rPr>
        <w:t>means December 4, 2019, or such earlier date on which the Revolving Credit Commitment is terminated in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3.4, 8.2 or 8.3 hereof.</w:t>
      </w:r>
    </w:p>
    <w:p>
      <w:pPr>
        <w:spacing w:after="0" w:line="188" w:lineRule="exact"/>
        <w:rPr>
          <w:sz w:val="20"/>
          <w:szCs w:val="20"/>
          <w:color w:val="auto"/>
        </w:rPr>
      </w:pPr>
    </w:p>
    <w:p>
      <w:pPr>
        <w:ind w:left="640" w:firstLine="636"/>
        <w:spacing w:after="0" w:line="304" w:lineRule="auto"/>
        <w:rPr>
          <w:sz w:val="20"/>
          <w:szCs w:val="20"/>
          <w:color w:val="auto"/>
        </w:rPr>
      </w:pPr>
      <w:r>
        <w:rPr>
          <w:rFonts w:ascii="Times New Roman" w:cs="Times New Roman" w:eastAsia="Times New Roman" w:hAnsi="Times New Roman"/>
          <w:sz w:val="17"/>
          <w:szCs w:val="17"/>
          <w:color w:val="auto"/>
        </w:rPr>
        <w:t xml:space="preserve">1.4. Section 4.1 of the Credit Agreement (Definitions) is hereby further amended by adding in appropriate alphabetical order definitions of </w:t>
      </w:r>
      <w:r>
        <w:rPr>
          <w:rFonts w:ascii="Times New Roman" w:cs="Times New Roman" w:eastAsia="Times New Roman" w:hAnsi="Times New Roman"/>
          <w:sz w:val="17"/>
          <w:szCs w:val="17"/>
          <w:i w:val="1"/>
          <w:iCs w:val="1"/>
          <w:color w:val="auto"/>
        </w:rPr>
        <w:t xml:space="preserve">“Commodity Exchange Act,” “Excluded Swap Obligation,” “Qualified ECP Guarantor,”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“Swap Obligation”</w:t>
      </w:r>
      <w:r>
        <w:rPr>
          <w:rFonts w:ascii="Times New Roman" w:cs="Times New Roman" w:eastAsia="Times New Roman" w:hAnsi="Times New Roman"/>
          <w:sz w:val="17"/>
          <w:szCs w:val="17"/>
          <w:color w:val="auto"/>
        </w:rPr>
        <w:t>, each of which shall read as follows:</w:t>
      </w:r>
    </w:p>
    <w:p>
      <w:pPr>
        <w:spacing w:after="0" w:line="165" w:lineRule="exact"/>
        <w:rPr>
          <w:sz w:val="20"/>
          <w:szCs w:val="20"/>
          <w:color w:val="auto"/>
        </w:rPr>
      </w:pPr>
    </w:p>
    <w:p>
      <w:pPr>
        <w:ind w:left="128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“Commodity Exchange Act” </w:t>
      </w:r>
      <w:r>
        <w:rPr>
          <w:rFonts w:ascii="Times New Roman" w:cs="Times New Roman" w:eastAsia="Times New Roman" w:hAnsi="Times New Roman"/>
          <w:sz w:val="18"/>
          <w:szCs w:val="18"/>
          <w:color w:val="auto"/>
        </w:rPr>
        <w:t>means the Commodity Exchange Act (7 U.S.C. § 1 et seq.), as amended from time to time, and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statute.</w:t>
      </w:r>
    </w:p>
    <w:p>
      <w:pPr>
        <w:spacing w:after="0" w:line="186" w:lineRule="exact"/>
        <w:rPr>
          <w:sz w:val="20"/>
          <w:szCs w:val="20"/>
          <w:color w:val="auto"/>
        </w:rPr>
      </w:pPr>
    </w:p>
    <w:p>
      <w:pPr>
        <w:ind w:left="128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w:t>
      </w:r>
    </w:p>
    <w:p>
      <w:pPr>
        <w:sectPr>
          <w:pgSz w:w="11900" w:h="16838" w:orient="portrait"/>
          <w:cols w:equalWidth="0" w:num="1">
            <w:col w:w="11420"/>
          </w:cols>
          <w:pgMar w:left="240" w:top="569" w:right="239" w:bottom="1440" w:gutter="0" w:footer="0" w:header="0"/>
        </w:sectPr>
      </w:pPr>
    </w:p>
    <w:bookmarkStart w:id="26" w:name="page27"/>
    <w:bookmarkEnd w:id="26"/>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1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ECP Guarantor</w:t>
      </w:r>
      <w:r>
        <w:rPr>
          <w:rFonts w:ascii="Times New Roman" w:cs="Times New Roman" w:eastAsia="Times New Roman" w:hAnsi="Times New Roman"/>
          <w:sz w:val="18"/>
          <w:szCs w:val="18"/>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7"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88" w:lineRule="exact"/>
        <w:rPr>
          <w:sz w:val="20"/>
          <w:szCs w:val="20"/>
          <w:color w:val="auto"/>
        </w:rPr>
      </w:pPr>
    </w:p>
    <w:p>
      <w:pPr>
        <w:ind w:firstLine="636"/>
        <w:spacing w:after="0" w:line="273" w:lineRule="auto"/>
        <w:rPr>
          <w:sz w:val="20"/>
          <w:szCs w:val="20"/>
          <w:color w:val="auto"/>
        </w:rPr>
      </w:pPr>
      <w:r>
        <w:rPr>
          <w:rFonts w:ascii="Times New Roman" w:cs="Times New Roman" w:eastAsia="Times New Roman" w:hAnsi="Times New Roman"/>
          <w:sz w:val="18"/>
          <w:szCs w:val="18"/>
          <w:color w:val="auto"/>
        </w:rPr>
        <w:t>1.5. Subsection (h) of Section 7.9 of the Credit Agreement (Acquisitions, Investments, Loans, Advances and Guaranties) shall be amended and restated in its entirety to read as follows:</w:t>
      </w:r>
    </w:p>
    <w:p>
      <w:pPr>
        <w:spacing w:after="0" w:line="191" w:lineRule="exact"/>
        <w:rPr>
          <w:sz w:val="20"/>
          <w:szCs w:val="20"/>
          <w:color w:val="auto"/>
        </w:rPr>
      </w:pPr>
    </w:p>
    <w:p>
      <w:pPr>
        <w:jc w:val="both"/>
        <w:ind w:left="640" w:firstLine="633"/>
        <w:spacing w:after="0" w:line="247" w:lineRule="auto"/>
        <w:tabs>
          <w:tab w:leader="none" w:pos="1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of all or any substantial part of the assets or business of any other Person or division thereof engaged in the same or any related business, or of a majority of the voting stock of such a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Default or Event of Default exists or would exist after giving effect to such Acquisition, (ii) the board of directors or other governing body of such Person whose Property, or voting stock or other interests in which, are being so acquired has approved the terms of such Acquisition, (iii) the Company shall have delivered to the Bank prior written notice of such Acquisition and, if a new Subsidiary results from such Acquisition, an updated Schedule 5.2, (iv) the sum of (1) the aggregate amount expended by the Company and its Subsidiaries as consideration for such Acquisition (and in any event (x) including as such consideration, any Indebtedness for Borrowed Money assumed or incurred as a result of such acquisition, and (y) excluding as such consideration, any equity securities issued by the Company as consideration for such Acquisition) and (2) the aggregate amount expended as consideration (including Indebtedness for Borrowed Money and excluding equity securities as aforesaid) for all other Acquisitions permitted under this Section 7.9(h) after November 1, 2014, on a cumulative basis does not exceed $45,000,000 in the aggregate, and (v) where the aggregate amount expended as consideration (including Indebtedness for Borrowed Money and excluding equity securities as aforesaid) for such Acquisition equals or exceeds $20,000,000, the Company shall have furnished to the Bank at such time reasonable details as to such Acquisition (including sources and uses of funds), historical financial information and pro forma financial forecasts of the Company on a consolidated basis after giving effect to the Acquisition and covenant compliance calculations reasonably satisfactory to the Bank (and, within 60 days after the date of any such Acquisition where the aggregate amount expended as consideration (including Indebtedness for Borrowed Money and excluding equity securities as aforesaid) for such Acquisition equals or exceeds $20,000,000, the Company shall provide the Bank a summary integration plan for the business being acquired); and</w:t>
      </w:r>
    </w:p>
    <w:p>
      <w:pPr>
        <w:spacing w:after="0" w:line="219" w:lineRule="exact"/>
        <w:rPr>
          <w:sz w:val="20"/>
          <w:szCs w:val="20"/>
          <w:color w:val="auto"/>
        </w:rPr>
      </w:pPr>
    </w:p>
    <w:p>
      <w:pPr>
        <w:ind w:firstLine="636"/>
        <w:spacing w:after="0" w:line="273" w:lineRule="auto"/>
        <w:rPr>
          <w:sz w:val="20"/>
          <w:szCs w:val="20"/>
          <w:color w:val="auto"/>
        </w:rPr>
      </w:pPr>
      <w:r>
        <w:rPr>
          <w:rFonts w:ascii="Times New Roman" w:cs="Times New Roman" w:eastAsia="Times New Roman" w:hAnsi="Times New Roman"/>
          <w:sz w:val="18"/>
          <w:szCs w:val="18"/>
          <w:color w:val="auto"/>
        </w:rPr>
        <w:t>1.6. The first sentence of Section 9.1 of the Credit Agreement (The Guarantees) is hereby amended by adding a new proviso at the end thereof that shall read as follows:</w:t>
      </w:r>
    </w:p>
    <w:p>
      <w:pPr>
        <w:spacing w:after="0" w:line="189" w:lineRule="exact"/>
        <w:rPr>
          <w:sz w:val="20"/>
          <w:szCs w:val="20"/>
          <w:color w:val="auto"/>
        </w:rPr>
      </w:pPr>
    </w:p>
    <w:p>
      <w:pPr>
        <w:ind w:left="640" w:hanging="3"/>
        <w:spacing w:after="0" w:line="27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with respect to any Guarantor, Obligations consisting of Hedging Liability guaranteed by such Guarantor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 all Excluded Swap Obligations.</w:t>
      </w:r>
    </w:p>
    <w:p>
      <w:pPr>
        <w:sectPr>
          <w:pgSz w:w="11900" w:h="16838" w:orient="portrait"/>
          <w:cols w:equalWidth="0" w:num="1">
            <w:col w:w="10780"/>
          </w:cols>
          <w:pgMar w:left="880" w:top="810" w:right="239" w:bottom="1440" w:gutter="0" w:footer="0" w:header="0"/>
        </w:sectPr>
      </w:pPr>
    </w:p>
    <w:bookmarkStart w:id="27" w:name="page28"/>
    <w:bookmarkEnd w:id="27"/>
    <w:p>
      <w:pPr>
        <w:ind w:left="1280"/>
        <w:spacing w:after="0"/>
        <w:tabs>
          <w:tab w:leader="none" w:pos="17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Section 9 of the Credit Agreement (The Guarantees) is hereby amended by adding a new Section 9.8 at the end thereof that shall read as</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follows:</w:t>
      </w:r>
    </w:p>
    <w:p>
      <w:pPr>
        <w:spacing w:after="0" w:line="222" w:lineRule="exact"/>
        <w:rPr>
          <w:sz w:val="20"/>
          <w:szCs w:val="20"/>
          <w:color w:val="auto"/>
        </w:rPr>
      </w:pPr>
    </w:p>
    <w:p>
      <w:pPr>
        <w:jc w:val="both"/>
        <w:ind w:left="1280"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Section 9.9. Keepwell</w:t>
      </w:r>
      <w:r>
        <w:rPr>
          <w:rFonts w:ascii="Times New Roman" w:cs="Times New Roman" w:eastAsia="Times New Roman" w:hAnsi="Times New Roman"/>
          <w:sz w:val="18"/>
          <w:szCs w:val="18"/>
          <w:color w:val="auto"/>
        </w:rPr>
        <w:t>. Each Qualified ECP Guarantor hereby jointly and severally, absolutely, unconditionally and irrevocably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undertakes to provide such funds or other support as may be needed from time to time by the Company and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9.3. Each Qualified ECP Guarantor intends that this Section constitute, and this Section shall be deemed to constitute, a “keepwell, support, or other agreement” for the benefit of the Company and each other Guarantor for all purposes of Section 1a(18)(A)(v)(II) of the Commodity Exchange Act.</w:t>
      </w:r>
    </w:p>
    <w:p>
      <w:pPr>
        <w:spacing w:after="0" w:line="215" w:lineRule="exact"/>
        <w:rPr>
          <w:sz w:val="20"/>
          <w:szCs w:val="20"/>
          <w:color w:val="auto"/>
        </w:rPr>
      </w:pPr>
    </w:p>
    <w:p>
      <w:pPr>
        <w:jc w:val="both"/>
        <w:ind w:left="640" w:firstLine="636"/>
        <w:spacing w:after="0" w:line="273" w:lineRule="auto"/>
        <w:rPr>
          <w:sz w:val="20"/>
          <w:szCs w:val="20"/>
          <w:color w:val="auto"/>
        </w:rPr>
      </w:pPr>
      <w:r>
        <w:rPr>
          <w:rFonts w:ascii="Times New Roman" w:cs="Times New Roman" w:eastAsia="Times New Roman" w:hAnsi="Times New Roman"/>
          <w:sz w:val="18"/>
          <w:szCs w:val="18"/>
          <w:color w:val="auto"/>
        </w:rPr>
        <w:t>1.8. Exhibit A to the Credit Agreement shall be amended and restated in its entirety to read as set forth on Annex A attached hereto and made a part hereof.</w:t>
      </w:r>
    </w:p>
    <w:p>
      <w:pPr>
        <w:spacing w:after="0" w:line="191" w:lineRule="exact"/>
        <w:rPr>
          <w:sz w:val="20"/>
          <w:szCs w:val="20"/>
          <w:color w:val="auto"/>
        </w:rPr>
      </w:pPr>
    </w:p>
    <w:p>
      <w:pPr>
        <w:jc w:val="both"/>
        <w:ind w:left="640" w:firstLine="636"/>
        <w:spacing w:after="0" w:line="252" w:lineRule="auto"/>
        <w:rPr>
          <w:sz w:val="20"/>
          <w:szCs w:val="20"/>
          <w:color w:val="auto"/>
        </w:rPr>
      </w:pPr>
      <w:r>
        <w:rPr>
          <w:rFonts w:ascii="Times New Roman" w:cs="Times New Roman" w:eastAsia="Times New Roman" w:hAnsi="Times New Roman"/>
          <w:sz w:val="18"/>
          <w:szCs w:val="18"/>
          <w:color w:val="auto"/>
        </w:rPr>
        <w:t>1.9. Schedule 5.2 to the Credit Agreement (Subsidiaries) shall be amended and restated in its entirety to read as set forth on Schedule 5.2 attached hereto and made a part hereof. To the extent the Company failed to timely notify the Bank of the formation or acquisition of one or more Subsidiaries now listed on Schedule 5.2 as required by Section 7.16 of the Credit Agreement, the Bank hereby waives any Default or Event of Default arising from such non-compliance with Section 7.16 but only for periods ending prior to the date hereof. This waiver is limited to the matter and for the period expressly set forth above.</w:t>
      </w:r>
    </w:p>
    <w:p>
      <w:pPr>
        <w:spacing w:after="0" w:line="251"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REPRESENTATIONS.</w:t>
      </w:r>
    </w:p>
    <w:p>
      <w:pPr>
        <w:spacing w:after="0" w:line="24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order to induce the Bank to execute and deliver this Fourth Amendment, the Company hereby represents and warrants to the Bank that, after giving effect to the amendments and waiver set forth in Section 1 above, (a) each of the representations and warranties set forth in Section 5 of the Credit Agreement is true and correct on and as of the date of this Fourth Amendment as if made on and as of the date hereof and as if each reference therein to the Credit Agreement referred to the Credit Agreement as amended hereby and (b) no Default or Event of Default exists under the Credit Agreement or shall result after giving effect to this Fourth Amendment.</w:t>
      </w:r>
    </w:p>
    <w:p>
      <w:pPr>
        <w:spacing w:after="0" w:line="251"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color w:val="auto"/>
        </w:rPr>
        <w:t>CONDITIONS PRECEDENT.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Fourth Amendment shall become effective upon satisfaction of the following conditions precedent:</w:t>
      </w:r>
    </w:p>
    <w:p>
      <w:pPr>
        <w:spacing w:after="0" w:line="243" w:lineRule="exact"/>
        <w:rPr>
          <w:sz w:val="20"/>
          <w:szCs w:val="20"/>
          <w:color w:val="auto"/>
        </w:rPr>
      </w:pPr>
    </w:p>
    <w:p>
      <w:pPr>
        <w:jc w:val="both"/>
        <w:ind w:left="640" w:firstLine="636"/>
        <w:spacing w:after="0" w:line="273" w:lineRule="auto"/>
        <w:rPr>
          <w:sz w:val="20"/>
          <w:szCs w:val="20"/>
          <w:color w:val="auto"/>
        </w:rPr>
      </w:pPr>
      <w:r>
        <w:rPr>
          <w:rFonts w:ascii="Times New Roman" w:cs="Times New Roman" w:eastAsia="Times New Roman" w:hAnsi="Times New Roman"/>
          <w:sz w:val="18"/>
          <w:szCs w:val="18"/>
          <w:color w:val="auto"/>
        </w:rPr>
        <w:t>3.1. The Company and the Bank shall have executed and delivered this Fourth Amendment, and each Guarantor shall have executed and delivered its consent to this Fourth Amendment in the space provided for that purpose below.</w:t>
      </w:r>
    </w:p>
    <w:p>
      <w:pPr>
        <w:spacing w:after="0" w:line="191" w:lineRule="exact"/>
        <w:rPr>
          <w:sz w:val="20"/>
          <w:szCs w:val="20"/>
          <w:color w:val="auto"/>
        </w:rPr>
      </w:pPr>
    </w:p>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Bank shall have received a duly executed replacement Note of the Company in the form attached hereto as Annex A.</w:t>
      </w:r>
    </w:p>
    <w:p>
      <w:pPr>
        <w:spacing w:after="0" w:line="243" w:lineRule="exact"/>
        <w:rPr>
          <w:sz w:val="20"/>
          <w:szCs w:val="20"/>
          <w:color w:val="auto"/>
        </w:rPr>
      </w:pPr>
    </w:p>
    <w:p>
      <w:pPr>
        <w:jc w:val="both"/>
        <w:ind w:left="640" w:firstLine="636"/>
        <w:spacing w:after="0" w:line="252" w:lineRule="auto"/>
        <w:rPr>
          <w:sz w:val="20"/>
          <w:szCs w:val="20"/>
          <w:color w:val="auto"/>
        </w:rPr>
      </w:pPr>
      <w:r>
        <w:rPr>
          <w:rFonts w:ascii="Times New Roman" w:cs="Times New Roman" w:eastAsia="Times New Roman" w:hAnsi="Times New Roman"/>
          <w:sz w:val="18"/>
          <w:szCs w:val="18"/>
          <w:color w:val="auto"/>
        </w:rPr>
        <w:t>3.3. The Bank shall have received copies of resolutions of the Board of Directors (or similar governing body, including any executive committee of any such Board) of the Company and each Guarantor authorizing the execution, delivery and performance of this Fourth Amendment and the other Loan Documents to which it is a party and the consummation of the transactions contemplated hereby and thereby, together with specimen signatures of the persons authorized to execute such documents on each Person’s behalf, all certified in each instance by its Secretary or Assistant Secretary.</w:t>
      </w:r>
    </w:p>
    <w:p>
      <w:pPr>
        <w:spacing w:after="0" w:line="211" w:lineRule="exact"/>
        <w:rPr>
          <w:sz w:val="20"/>
          <w:szCs w:val="20"/>
          <w:color w:val="auto"/>
        </w:rPr>
      </w:pPr>
    </w:p>
    <w:p>
      <w:pPr>
        <w:jc w:val="both"/>
        <w:ind w:left="640" w:firstLine="636"/>
        <w:spacing w:after="0" w:line="273" w:lineRule="auto"/>
        <w:rPr>
          <w:sz w:val="20"/>
          <w:szCs w:val="20"/>
          <w:color w:val="auto"/>
        </w:rPr>
      </w:pPr>
      <w:r>
        <w:rPr>
          <w:rFonts w:ascii="Times New Roman" w:cs="Times New Roman" w:eastAsia="Times New Roman" w:hAnsi="Times New Roman"/>
          <w:sz w:val="18"/>
          <w:szCs w:val="18"/>
          <w:color w:val="auto"/>
        </w:rPr>
        <w:t>3.4. The Bank shall have received a current good standing certificate for the Company and each Guarantor from the jurisdiction where it is organized.</w:t>
      </w:r>
    </w:p>
    <w:p>
      <w:pPr>
        <w:sectPr>
          <w:pgSz w:w="11900" w:h="16838" w:orient="portrait"/>
          <w:cols w:equalWidth="0" w:num="1">
            <w:col w:w="11420"/>
          </w:cols>
          <w:pgMar w:left="240" w:top="810" w:right="239" w:bottom="1440" w:gutter="0" w:footer="0" w:header="0"/>
        </w:sectPr>
      </w:pPr>
    </w:p>
    <w:bookmarkStart w:id="28" w:name="page29"/>
    <w:bookmarkEnd w:id="28"/>
    <w:p>
      <w:pPr>
        <w:ind w:left="1280"/>
        <w:spacing w:after="0"/>
        <w:tabs>
          <w:tab w:leader="none" w:pos="17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The Bank shall have received the favorable written opinion of counsel to the Company and the Guarantors.</w:t>
      </w:r>
    </w:p>
    <w:p>
      <w:pPr>
        <w:spacing w:after="0" w:line="243" w:lineRule="exact"/>
        <w:rPr>
          <w:sz w:val="20"/>
          <w:szCs w:val="20"/>
          <w:color w:val="auto"/>
        </w:rPr>
      </w:pPr>
    </w:p>
    <w:p>
      <w:pPr>
        <w:ind w:left="640" w:firstLine="636"/>
        <w:spacing w:after="0" w:line="273" w:lineRule="auto"/>
        <w:rPr>
          <w:sz w:val="20"/>
          <w:szCs w:val="20"/>
          <w:color w:val="auto"/>
        </w:rPr>
      </w:pPr>
      <w:r>
        <w:rPr>
          <w:rFonts w:ascii="Times New Roman" w:cs="Times New Roman" w:eastAsia="Times New Roman" w:hAnsi="Times New Roman"/>
          <w:sz w:val="18"/>
          <w:szCs w:val="18"/>
          <w:color w:val="auto"/>
        </w:rPr>
        <w:t>3.6. Legal matters incident to the execution and delivery of this Fourth Amendment and the replacement Note shall be satisfactory to the Bank and its counsel.</w:t>
      </w:r>
    </w:p>
    <w:p>
      <w:pPr>
        <w:spacing w:after="0" w:line="231"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MISCELLANEOUS.</w:t>
      </w:r>
    </w:p>
    <w:p>
      <w:pPr>
        <w:spacing w:after="0" w:line="24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4.1. Except as specifically amended herein, the Credit Agreement shall continue in full force and effect in accordance with its original terms. Reference to this specific Fourth Amendment need not be made in the Credit Agreement, the Note,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206"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8"/>
          <w:szCs w:val="18"/>
          <w:color w:val="auto"/>
        </w:rPr>
        <w:t>4.2. The Company agrees to pay on demand all costs and expenses of or incurred by the Bank in connection with the negotiation, preparation, execution and delivery of this Fourth Amendment and the replacement Note.</w:t>
      </w:r>
    </w:p>
    <w:p>
      <w:pPr>
        <w:spacing w:after="0" w:line="191" w:lineRule="exact"/>
        <w:rPr>
          <w:sz w:val="20"/>
          <w:szCs w:val="20"/>
          <w:color w:val="auto"/>
        </w:rPr>
      </w:pPr>
    </w:p>
    <w:p>
      <w:pPr>
        <w:jc w:val="both"/>
        <w:ind w:firstLine="636"/>
        <w:spacing w:after="0" w:line="216" w:lineRule="exact"/>
        <w:rPr>
          <w:sz w:val="20"/>
          <w:szCs w:val="20"/>
          <w:color w:val="auto"/>
        </w:rPr>
      </w:pPr>
      <w:r>
        <w:rPr>
          <w:rFonts w:ascii="Times New Roman" w:cs="Times New Roman" w:eastAsia="Times New Roman" w:hAnsi="Times New Roman"/>
          <w:sz w:val="18"/>
          <w:szCs w:val="18"/>
          <w:color w:val="auto"/>
        </w:rPr>
        <w:t>4.3. This Fourth Amendment may be executed in any number of counterparts, and by the different parties on different counterpart signature pages, all of which taken together shall constitute one and the same agreement. Any of the parties hereto may execute this Fourth Amendment by signing any such counterpart and each of such counterparts shall for all purposes be deemed to be an original. Delivery of executed counterparts of this Fourth Amendment by facsimile transmission or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transmission of a portable document format file (also known as a “PDF” file) shall be effective as an original. This Fourth Amendment shall be governed by, and construed in accordance with, the internal laws of the State of Illinois.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TO FOLLOW]</w:t>
      </w:r>
    </w:p>
    <w:p>
      <w:pPr>
        <w:sectPr>
          <w:pgSz w:w="11900" w:h="16838" w:orient="portrait"/>
          <w:cols w:equalWidth="0" w:num="1">
            <w:col w:w="11420"/>
          </w:cols>
          <w:pgMar w:left="240" w:top="810" w:right="239" w:bottom="1440" w:gutter="0" w:footer="0" w:header="0"/>
        </w:sectPr>
      </w:pPr>
    </w:p>
    <w:bookmarkStart w:id="29" w:name="page30"/>
    <w:bookmarkEnd w:id="29"/>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Fourth Amendment to Credit Agreement is dated as of the date first above written.</w:t>
      </w:r>
    </w:p>
    <w:p>
      <w:pPr>
        <w:spacing w:after="0" w:line="28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36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Smith</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Daniel T. Smith</w:t>
      </w:r>
    </w:p>
    <w:p>
      <w:pPr>
        <w:spacing w:after="0" w:line="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Title: Vice President, Chief Financial Officer</w:t>
      </w: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BMO HARRIS BANK N.A.</w:t>
      </w:r>
    </w:p>
    <w:p>
      <w:pPr>
        <w:spacing w:after="0" w:line="200" w:lineRule="exact"/>
        <w:rPr>
          <w:sz w:val="20"/>
          <w:szCs w:val="20"/>
          <w:color w:val="auto"/>
        </w:rPr>
      </w:pPr>
    </w:p>
    <w:p>
      <w:pPr>
        <w:spacing w:after="0" w:line="3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M. Marks</w:t>
      </w:r>
    </w:p>
    <w:p>
      <w:pPr>
        <w:spacing w:after="0" w:line="2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S.M. Marks</w:t>
      </w:r>
    </w:p>
    <w:p>
      <w:pPr>
        <w:spacing w:after="0" w:line="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779"/>
        <w:spacing w:after="0" w:line="219" w:lineRule="exact"/>
        <w:rPr>
          <w:sz w:val="20"/>
          <w:szCs w:val="20"/>
          <w:color w:val="auto"/>
        </w:rPr>
      </w:pPr>
      <w:r>
        <w:rPr>
          <w:rFonts w:ascii="Times New Roman" w:cs="Times New Roman" w:eastAsia="Times New Roman" w:hAnsi="Times New Roman"/>
          <w:sz w:val="19"/>
          <w:szCs w:val="19"/>
          <w:color w:val="auto"/>
        </w:rPr>
        <w:t>[Signature Page to Fourth Amendment to Credit Agreement - Oil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Dri]</w:t>
      </w:r>
    </w:p>
    <w:p>
      <w:pPr>
        <w:sectPr>
          <w:pgSz w:w="11900" w:h="16838" w:orient="portrait"/>
          <w:cols w:equalWidth="0" w:num="1">
            <w:col w:w="9579"/>
          </w:cols>
          <w:pgMar w:left="880" w:top="144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1"/>
          <w:szCs w:val="21"/>
          <w:b w:val="1"/>
          <w:bCs w:val="1"/>
          <w:color w:val="auto"/>
        </w:rPr>
        <w:t>GUARANTORS’ ACKNOWLEDGMENT, CONSENT, AND REAFFIRMATION</w:t>
      </w:r>
    </w:p>
    <w:p>
      <w:pPr>
        <w:spacing w:after="0" w:line="25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color w:val="auto"/>
        </w:rPr>
        <w:t>Each of the undersigned has heretofore guaranteed the due and punctual payment of all present and future Obligations pursuant to Section 9 of the Credit Agreement and hereby consents to the amendment to the Credit Agreement as set forth above (including, without limitation, the amendments set forth in Section 1.5 and 1.6 above) and confirms that all of the obligations of the undersigned thereunder remain in full force and effect. Each of the undersigned further agrees that the consent of the undersigned to any further amendments to the Credit Agreement shall not be required as a result of this consent having been obtained. Each of the undersigned acknowledges that the Bank is relying on the assurances provided for herein and entering into this Fourth Amendment and maintaining credit outstanding to the Company under the Credit Agreement as so amended.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OIL-DRI CORPORATON OF GEORGIA</w:t>
      </w:r>
      <w:r>
        <w:rPr>
          <w:sz w:val="20"/>
          <w:szCs w:val="20"/>
          <w:color w:val="auto"/>
        </w:rPr>
        <w:tab/>
      </w:r>
      <w:r>
        <w:rPr>
          <w:rFonts w:ascii="Times New Roman" w:cs="Times New Roman" w:eastAsia="Times New Roman" w:hAnsi="Times New Roman"/>
          <w:sz w:val="17"/>
          <w:szCs w:val="17"/>
          <w:color w:val="auto"/>
        </w:rPr>
        <w:t>OIL-DRI PRODUCTION COMPANY</w:t>
      </w:r>
    </w:p>
    <w:p>
      <w:pPr>
        <w:sectPr>
          <w:pgSz w:w="11900" w:h="16838" w:orient="portrait"/>
          <w:cols w:equalWidth="0" w:num="1">
            <w:col w:w="11420"/>
          </w:cols>
          <w:pgMar w:left="240" w:top="1022" w:right="23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Name: Daniel T.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MOUNDS PRODUCTION COMPANY,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Mounds Management, Inc.</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Its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Name: Daniel T. Smith</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MOUNDS MANAGEMENT, INC.</w:t>
      </w:r>
    </w:p>
    <w:p>
      <w:pPr>
        <w:spacing w:after="0" w:line="1362" w:lineRule="exact"/>
        <w:rPr>
          <w:sz w:val="20"/>
          <w:szCs w:val="20"/>
          <w:color w:val="auto"/>
        </w:rPr>
      </w:pPr>
    </w:p>
    <w:p>
      <w:pPr>
        <w:sectPr>
          <w:pgSz w:w="11900" w:h="16838" w:orient="portrait"/>
          <w:cols w:equalWidth="0" w:num="2">
            <w:col w:w="5000" w:space="720"/>
            <w:col w:w="5700"/>
          </w:cols>
          <w:pgMar w:left="240" w:top="1022" w:right="239" w:bottom="10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Name: Daniel T.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BLUE MOUNTAIN PRODUCTION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Name: Daniel T. Smith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Name: Daniel T. Smith</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AMLAN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Name: Daniel T. Smith</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ectPr>
          <w:pgSz w:w="11900" w:h="16838" w:orient="portrait"/>
          <w:cols w:equalWidth="0" w:num="2">
            <w:col w:w="5000" w:space="720"/>
            <w:col w:w="5700"/>
          </w:cols>
          <w:pgMar w:left="240" w:top="1022" w:right="239" w:bottom="1074"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TAFT PRODUCTION COMPANY</w:t>
      </w:r>
    </w:p>
    <w:p>
      <w:pPr>
        <w:sectPr>
          <w:pgSz w:w="11900" w:h="16838" w:orient="portrait"/>
          <w:cols w:equalWidth="0" w:num="1">
            <w:col w:w="11420"/>
          </w:cols>
          <w:pgMar w:left="240" w:top="1022" w:right="239" w:bottom="10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Daniel Smith</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Name: Daniel T. Smith</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11420"/>
          </w:cols>
          <w:pgMar w:left="240" w:top="1022" w:right="239" w:bottom="1074"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REVOLVING NOTE</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Chicago, Illinois</w:t>
      </w:r>
    </w:p>
    <w:p>
      <w:pPr>
        <w:spacing w:after="0" w:line="116"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1"/>
          <w:szCs w:val="21"/>
          <w:color w:val="auto"/>
        </w:rPr>
        <w:t>$25,000,000.00</w:t>
      </w:r>
      <w:r>
        <w:rPr>
          <w:sz w:val="20"/>
          <w:szCs w:val="20"/>
          <w:color w:val="auto"/>
        </w:rPr>
        <w:tab/>
      </w:r>
      <w:r>
        <w:rPr>
          <w:rFonts w:ascii="Times New Roman" w:cs="Times New Roman" w:eastAsia="Times New Roman" w:hAnsi="Times New Roman"/>
          <w:sz w:val="21"/>
          <w:szCs w:val="21"/>
          <w:color w:val="auto"/>
        </w:rPr>
        <w:t>December 4, 2014</w:t>
      </w:r>
    </w:p>
    <w:p>
      <w:pPr>
        <w:spacing w:after="0" w:line="281" w:lineRule="exact"/>
        <w:rPr>
          <w:sz w:val="20"/>
          <w:szCs w:val="20"/>
          <w:color w:val="auto"/>
        </w:rPr>
      </w:pPr>
    </w:p>
    <w:p>
      <w:pPr>
        <w:jc w:val="both"/>
        <w:ind w:firstLine="636"/>
        <w:spacing w:after="0" w:line="263" w:lineRule="exact"/>
        <w:rPr>
          <w:sz w:val="20"/>
          <w:szCs w:val="20"/>
          <w:color w:val="auto"/>
        </w:rPr>
      </w:pPr>
      <w:r>
        <w:rPr>
          <w:rFonts w:ascii="Times New Roman" w:cs="Times New Roman" w:eastAsia="Times New Roman" w:hAnsi="Times New Roman"/>
          <w:sz w:val="21"/>
          <w:szCs w:val="21"/>
          <w:color w:val="auto"/>
        </w:rPr>
        <w:t>On the Termination Date, for value received, the undersigned, Oil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Dri Corporation of America, a Delaware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hereby promises to pay to the order of BMO Harris Bank N.A. (the</w:t>
      </w:r>
      <w:r>
        <w:rPr>
          <w:rFonts w:ascii="Times New Roman" w:cs="Times New Roman" w:eastAsia="Times New Roman" w:hAnsi="Times New Roman"/>
          <w:sz w:val="21"/>
          <w:szCs w:val="21"/>
          <w:i w:val="1"/>
          <w:iCs w:val="1"/>
          <w:color w:val="auto"/>
        </w:rPr>
        <w:t xml:space="preserve"> “Bank”</w:t>
      </w:r>
      <w:r>
        <w:rPr>
          <w:rFonts w:ascii="Times New Roman" w:cs="Times New Roman" w:eastAsia="Times New Roman" w:hAnsi="Times New Roman"/>
          <w:sz w:val="21"/>
          <w:szCs w:val="21"/>
          <w:color w:val="auto"/>
        </w:rPr>
        <w:t>) at its main office at 111 West Monroe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Street, Chicago, Illinois, the principal sum of Twenty Five Million and no/100 Dollars ($25,000,000), or (ii) such lesser amount as may at the time of the maturity hereof, whether by acceleration or otherwise, be the aggregate unpaid principal amount of all Loans owing from the Company to the Bank under the Revolving Credit provided for in the Credit Agreement hereinafter mentioned.</w:t>
      </w:r>
    </w:p>
    <w:p>
      <w:pPr>
        <w:spacing w:after="0" w:line="21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This Note evidences Loans made or to be made to the Company by the Bank under the Revolving Credit provided for under that certain Credit Agreement dated as of January 27, 2006, between the Company and the Bank (said Credit Agreement, as the same may be amended, modified or restated from time to time, being referred to herein as the </w:t>
      </w: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and the Company hereby promises to pay interest at the office described above on such Loans evidenced hereby at the rates and at the times and in the manner specified therefor in the Credit Agreement.</w:t>
      </w:r>
    </w:p>
    <w:p>
      <w:pPr>
        <w:spacing w:after="0" w:line="19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This Note is issued by the Company under the terms and provisions of the Credit Agreement, and this Note and the holder hereof are entitled to all of the benefits provided for thereby or referred to therein, to which reference is hereby made for a statement thereof. This Note may be declared to be, or be and become, due prior to its expressed maturity and voluntary prepayments may be made hereon, all in the events, on the terms and with the effects provided in the Credit Agreement. All capitalized terms used herein without definition shall have the same meanings herein as such terms are defined in the Credit Agreement.</w:t>
      </w:r>
    </w:p>
    <w:p>
      <w:pPr>
        <w:spacing w:after="0" w:line="199"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 xml:space="preserve">This Note issued on the date hereof is issued in replacement of and substitution for, but not in novation of, the Revolving Note issued on January 27, 2006, in favor of the Bank (the </w:t>
      </w:r>
      <w:r>
        <w:rPr>
          <w:rFonts w:ascii="Times New Roman" w:cs="Times New Roman" w:eastAsia="Times New Roman" w:hAnsi="Times New Roman"/>
          <w:sz w:val="21"/>
          <w:szCs w:val="21"/>
          <w:i w:val="1"/>
          <w:iCs w:val="1"/>
          <w:color w:val="auto"/>
        </w:rPr>
        <w:t>“Replaced Note”</w:t>
      </w:r>
      <w:r>
        <w:rPr>
          <w:rFonts w:ascii="Times New Roman" w:cs="Times New Roman" w:eastAsia="Times New Roman" w:hAnsi="Times New Roman"/>
          <w:sz w:val="21"/>
          <w:szCs w:val="21"/>
          <w:color w:val="auto"/>
        </w:rPr>
        <w:t>), and the Loans evidenced by the Replaced Note are continuing and are evidenced by this Note.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FOLLOW]</w:t>
      </w:r>
    </w:p>
    <w:p>
      <w:pPr>
        <w:sectPr>
          <w:pgSz w:w="11900" w:h="16838" w:orient="portrait"/>
          <w:cols w:equalWidth="0" w:num="1">
            <w:col w:w="11420"/>
          </w:cols>
          <w:pgMar w:left="240" w:top="569" w:right="239" w:bottom="1440" w:gutter="0" w:footer="0" w:header="0"/>
        </w:sectPr>
      </w:pPr>
    </w:p>
    <w:bookmarkStart w:id="32" w:name="page33"/>
    <w:bookmarkEnd w:id="32"/>
    <w:p>
      <w:pPr>
        <w:spacing w:after="0" w:line="200" w:lineRule="exact"/>
        <w:rPr>
          <w:sz w:val="20"/>
          <w:szCs w:val="20"/>
          <w:color w:val="auto"/>
        </w:rPr>
      </w:pPr>
    </w:p>
    <w:p>
      <w:pPr>
        <w:spacing w:after="0" w:line="20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The Company hereby promises to pay all costs and expenses (including reasonable attorneys’ fees) suffered or incurred by the holder hereof in collecting this Note or enforcing any rights in any collateral therefor. The Company hereby waives presentment for payment and demand. This Note shall be construed in accordance with, and governed by, the internal laws of the State of Illinois without regard to principles of conflicts of laws.</w:t>
      </w:r>
    </w:p>
    <w:p>
      <w:pPr>
        <w:spacing w:after="0" w:line="253" w:lineRule="exact"/>
        <w:rPr>
          <w:sz w:val="20"/>
          <w:szCs w:val="20"/>
          <w:color w:val="auto"/>
        </w:rPr>
      </w:pPr>
    </w:p>
    <w:p>
      <w:pPr>
        <w:ind w:left="4120"/>
        <w:spacing w:after="0" w:line="242" w:lineRule="exact"/>
        <w:rPr>
          <w:sz w:val="20"/>
          <w:szCs w:val="20"/>
          <w:color w:val="auto"/>
        </w:rPr>
      </w:pPr>
      <w:r>
        <w:rPr>
          <w:rFonts w:ascii="Times New Roman" w:cs="Times New Roman" w:eastAsia="Times New Roman" w:hAnsi="Times New Roman"/>
          <w:sz w:val="21"/>
          <w:szCs w:val="21"/>
          <w:color w:val="auto"/>
        </w:rPr>
        <w:t>Oil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Dri Corporation of America</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By</w:t>
      </w:r>
      <w:r>
        <w:rPr>
          <w:rFonts w:ascii="Times New Roman" w:cs="Times New Roman" w:eastAsia="Times New Roman" w:hAnsi="Times New Roman"/>
          <w:sz w:val="17"/>
          <w:szCs w:val="17"/>
          <w:color w:val="auto"/>
        </w:rPr>
        <w:t>/s/ Daniel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-17780</wp:posOffset>
            </wp:positionV>
            <wp:extent cx="840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Name: Daniel T. Smith</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Title: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line="219" w:lineRule="exact"/>
        <w:rPr>
          <w:sz w:val="20"/>
          <w:szCs w:val="20"/>
          <w:color w:val="auto"/>
        </w:rPr>
      </w:pPr>
      <w:r>
        <w:rPr>
          <w:rFonts w:ascii="Times New Roman" w:cs="Times New Roman" w:eastAsia="Times New Roman" w:hAnsi="Times New Roman"/>
          <w:sz w:val="19"/>
          <w:szCs w:val="19"/>
          <w:color w:val="auto"/>
        </w:rPr>
        <w:t>[Signature Page to Revolving Note - Oil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Dri]</w:t>
      </w:r>
    </w:p>
    <w:p>
      <w:pPr>
        <w:sectPr>
          <w:pgSz w:w="11900" w:h="16838" w:orient="portrait"/>
          <w:cols w:equalWidth="0" w:num="1">
            <w:col w:w="11420"/>
          </w:cols>
          <w:pgMar w:left="240" w:top="1440" w:right="239" w:bottom="1440" w:gutter="0" w:footer="0" w:header="0"/>
        </w:sectPr>
      </w:pPr>
    </w:p>
    <w:bookmarkStart w:id="33" w:name="page34"/>
    <w:bookmarkEnd w:id="33"/>
    <w:p>
      <w:pPr>
        <w:ind w:left="4440"/>
        <w:spacing w:after="0"/>
        <w:rPr>
          <w:sz w:val="20"/>
          <w:szCs w:val="20"/>
          <w:color w:val="auto"/>
        </w:rPr>
      </w:pPr>
      <w:r>
        <w:rPr>
          <w:rFonts w:ascii="Times New Roman" w:cs="Times New Roman" w:eastAsia="Times New Roman" w:hAnsi="Times New Roman"/>
          <w:sz w:val="21"/>
          <w:szCs w:val="21"/>
          <w:b w:val="1"/>
          <w:bCs w:val="1"/>
          <w:color w:val="auto"/>
        </w:rPr>
        <w:t>SCHEDULE 5.2</w:t>
      </w:r>
    </w:p>
    <w:p>
      <w:pPr>
        <w:spacing w:after="0" w:line="3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SUBSIDIARIES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9"/>
                <w:szCs w:val="19"/>
                <w:color w:val="auto"/>
              </w:rPr>
              <w:t>JURISDICTION OF</w:t>
            </w:r>
          </w:p>
        </w:tc>
        <w:tc>
          <w:tcPr>
            <w:tcW w:w="19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PERCENTAGE</w:t>
            </w:r>
          </w:p>
        </w:tc>
        <w:tc>
          <w:tcPr>
            <w:tcW w:w="1620" w:type="dxa"/>
            <w:vAlign w:val="bottom"/>
          </w:tcPr>
          <w:p>
            <w:pPr>
              <w:spacing w:after="0"/>
              <w:rPr>
                <w:sz w:val="19"/>
                <w:szCs w:val="19"/>
                <w:color w:val="auto"/>
              </w:rPr>
            </w:pPr>
          </w:p>
        </w:tc>
      </w:tr>
      <w:tr>
        <w:trPr>
          <w:trHeight w:val="253"/>
        </w:trPr>
        <w:tc>
          <w:tcPr>
            <w:tcW w:w="368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NAME</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9"/>
                <w:szCs w:val="19"/>
                <w:color w:val="auto"/>
              </w:rPr>
              <w:t>ORGANIZATION</w:t>
            </w:r>
          </w:p>
        </w:tc>
        <w:tc>
          <w:tcPr>
            <w:tcW w:w="190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OWNERSHIP</w:t>
            </w:r>
          </w:p>
        </w:tc>
        <w:tc>
          <w:tcPr>
            <w:tcW w:w="16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TYPE</w:t>
            </w:r>
          </w:p>
        </w:tc>
      </w:tr>
      <w:tr>
        <w:trPr>
          <w:trHeight w:val="266"/>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Corporation of Georgia</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Georgia</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Significant</w:t>
            </w:r>
          </w:p>
        </w:tc>
      </w:tr>
      <w:tr>
        <w:trPr>
          <w:trHeight w:val="278"/>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Production Company</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Mississippi</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199"/>
        </w:trPr>
        <w:tc>
          <w:tcPr>
            <w:tcW w:w="36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Mounds Management, Inc. (formerly known as</w:t>
            </w:r>
          </w:p>
        </w:tc>
        <w:tc>
          <w:tcPr>
            <w:tcW w:w="2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5"/>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Transportation Co.)</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Delaware</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278"/>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(U.K.) Limited</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United Kingdom</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24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Amlan International</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Nevada</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2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ODC Acquisition Corp.</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Illinois</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Insignificant; Inactive</w:t>
            </w:r>
          </w:p>
        </w:tc>
      </w:tr>
      <w:tr>
        <w:trPr>
          <w:trHeight w:val="283"/>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SARL</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Switzerland</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419"/>
        </w:trPr>
        <w:tc>
          <w:tcPr>
            <w:tcW w:w="3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4"/>
                <w:szCs w:val="24"/>
                <w:color w:val="auto"/>
              </w:rPr>
            </w:pPr>
          </w:p>
        </w:tc>
      </w:tr>
      <w:tr>
        <w:trPr>
          <w:trHeight w:val="402"/>
        </w:trPr>
        <w:tc>
          <w:tcPr>
            <w:tcW w:w="3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Canada ULC</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Vancouver, British Columbia</w:t>
            </w:r>
          </w:p>
        </w:tc>
        <w:tc>
          <w:tcPr>
            <w:tcW w:w="190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(by 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SARL)</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419"/>
        </w:trPr>
        <w:tc>
          <w:tcPr>
            <w:tcW w:w="3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spacing w:after="0"/>
              <w:rPr>
                <w:sz w:val="24"/>
                <w:szCs w:val="24"/>
                <w:color w:val="auto"/>
              </w:rPr>
            </w:pPr>
          </w:p>
        </w:tc>
      </w:tr>
      <w:tr>
        <w:trPr>
          <w:trHeight w:val="365"/>
        </w:trPr>
        <w:tc>
          <w:tcPr>
            <w:tcW w:w="3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(by Oil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 Canada</w:t>
            </w:r>
          </w:p>
        </w:tc>
        <w:tc>
          <w:tcPr>
            <w:tcW w:w="1620" w:type="dxa"/>
            <w:vAlign w:val="bottom"/>
          </w:tcPr>
          <w:p>
            <w:pPr>
              <w:spacing w:after="0"/>
              <w:rPr>
                <w:sz w:val="24"/>
                <w:szCs w:val="24"/>
                <w:color w:val="auto"/>
              </w:rPr>
            </w:pPr>
          </w:p>
        </w:tc>
      </w:tr>
      <w:tr>
        <w:trPr>
          <w:trHeight w:val="23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Blue Mountain Production Company</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Mississippi</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ULC)</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245"/>
        </w:trPr>
        <w:tc>
          <w:tcPr>
            <w:tcW w:w="36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75% (by Mounds</w:t>
            </w:r>
          </w:p>
        </w:tc>
        <w:tc>
          <w:tcPr>
            <w:tcW w:w="1620" w:type="dxa"/>
            <w:vAlign w:val="bottom"/>
          </w:tcPr>
          <w:p>
            <w:pPr>
              <w:spacing w:after="0"/>
              <w:rPr>
                <w:sz w:val="21"/>
                <w:szCs w:val="21"/>
                <w:color w:val="auto"/>
              </w:rPr>
            </w:pPr>
          </w:p>
        </w:tc>
      </w:tr>
      <w:tr>
        <w:trPr>
          <w:trHeight w:val="212"/>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Inc.) and</w:t>
            </w:r>
          </w:p>
        </w:tc>
        <w:tc>
          <w:tcPr>
            <w:tcW w:w="1620" w:type="dxa"/>
            <w:vAlign w:val="bottom"/>
          </w:tcPr>
          <w:p>
            <w:pPr>
              <w:spacing w:after="0"/>
              <w:rPr>
                <w:sz w:val="18"/>
                <w:szCs w:val="18"/>
                <w:color w:val="auto"/>
              </w:rPr>
            </w:pPr>
          </w:p>
        </w:tc>
      </w:tr>
      <w:tr>
        <w:trPr>
          <w:trHeight w:val="212"/>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25% (by Blue</w:t>
            </w:r>
          </w:p>
        </w:tc>
        <w:tc>
          <w:tcPr>
            <w:tcW w:w="1620" w:type="dxa"/>
            <w:vAlign w:val="bottom"/>
          </w:tcPr>
          <w:p>
            <w:pPr>
              <w:spacing w:after="0"/>
              <w:rPr>
                <w:sz w:val="18"/>
                <w:szCs w:val="18"/>
                <w:color w:val="auto"/>
              </w:rPr>
            </w:pPr>
          </w:p>
        </w:tc>
      </w:tr>
      <w:tr>
        <w:trPr>
          <w:trHeight w:val="212"/>
        </w:trPr>
        <w:tc>
          <w:tcPr>
            <w:tcW w:w="3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Mountain Production</w:t>
            </w:r>
          </w:p>
        </w:tc>
        <w:tc>
          <w:tcPr>
            <w:tcW w:w="1620" w:type="dxa"/>
            <w:vAlign w:val="bottom"/>
          </w:tcPr>
          <w:p>
            <w:pPr>
              <w:spacing w:after="0"/>
              <w:rPr>
                <w:sz w:val="18"/>
                <w:szCs w:val="18"/>
                <w:color w:val="auto"/>
              </w:rPr>
            </w:pPr>
          </w:p>
        </w:tc>
      </w:tr>
      <w:tr>
        <w:trPr>
          <w:trHeight w:val="23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Mounds Production Company, LLC</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Illinois</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Significant</w:t>
            </w:r>
          </w:p>
        </w:tc>
      </w:tr>
      <w:tr>
        <w:trPr>
          <w:trHeight w:val="2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Taft Production Company</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Delaware</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r>
        <w:trPr>
          <w:trHeight w:val="2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Amlan Trading (Shenzhen) Company, Ltd.</w:t>
            </w:r>
          </w:p>
        </w:tc>
        <w:tc>
          <w:tcPr>
            <w:tcW w:w="2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People’s Republic of China</w:t>
            </w:r>
          </w:p>
        </w:tc>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Insignificant</w:t>
            </w:r>
          </w:p>
        </w:tc>
      </w:tr>
    </w:tbl>
    <w:p>
      <w:pPr>
        <w:sectPr>
          <w:pgSz w:w="11900" w:h="16838" w:orient="portrait"/>
          <w:cols w:equalWidth="0" w:num="1">
            <w:col w:w="9780"/>
          </w:cols>
          <w:pgMar w:left="780" w:top="1062" w:right="1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29" w:lineRule="exact"/>
        <w:rPr>
          <w:sz w:val="20"/>
          <w:szCs w:val="20"/>
          <w:color w:val="auto"/>
        </w:rPr>
      </w:pPr>
    </w:p>
    <w:p>
      <w:pPr>
        <w:ind w:left="4360" w:right="3139" w:hanging="2443"/>
        <w:spacing w:after="0" w:line="273" w:lineRule="auto"/>
        <w:rPr>
          <w:sz w:val="20"/>
          <w:szCs w:val="20"/>
          <w:color w:val="auto"/>
        </w:rPr>
      </w:pPr>
      <w:r>
        <w:rPr>
          <w:rFonts w:ascii="Times New Roman" w:cs="Times New Roman" w:eastAsia="Times New Roman" w:hAnsi="Times New Roman"/>
          <w:sz w:val="17"/>
          <w:szCs w:val="17"/>
          <w:b w:val="1"/>
          <w:bCs w:val="1"/>
          <w:color w:val="auto"/>
        </w:rPr>
        <w:t>OIL-DRI CORPORATION OF AMERICA AND SUBSIDIARIES Computation of Earnings Per Share</w:t>
      </w: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6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2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19050</wp:posOffset>
            </wp:positionV>
            <wp:extent cx="15138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0" w:lineRule="exact"/>
        <w:rPr>
          <w:sz w:val="20"/>
          <w:szCs w:val="20"/>
          <w:color w:val="auto"/>
        </w:rPr>
      </w:pPr>
    </w:p>
    <w:tbl>
      <w:tblPr>
        <w:tblLayout w:type="fixed"/>
        <w:tblInd w:w="12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stockholders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2,120</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Distributed and undistributed earnings allocated to non-vested stock</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available to common shareholders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2,089</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Calculation</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5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 Basic Common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4,948</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 Basic Class B Common</w:t>
            </w:r>
          </w:p>
        </w:tc>
        <w:tc>
          <w:tcPr>
            <w:tcW w:w="2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2,009</w:t>
            </w:r>
          </w:p>
        </w:tc>
        <w:tc>
          <w:tcPr>
            <w:tcW w:w="2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Common Stock relating to stock options and non-vested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59</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92"/>
        </w:trPr>
        <w:tc>
          <w:tcPr>
            <w:tcW w:w="20" w:type="dxa"/>
            <w:vAlign w:val="bottom"/>
            <w:tcBorders>
              <w:bottom w:val="single" w:sz="8" w:color="CCEEFF"/>
            </w:tcBorders>
          </w:tcPr>
          <w:p>
            <w:pPr>
              <w:spacing w:after="0"/>
              <w:rPr>
                <w:sz w:val="24"/>
                <w:szCs w:val="24"/>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 Assuming dilution</w:t>
            </w: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7,016</w:t>
            </w: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Basic Common</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0.32</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Borders>
              <w:bottom w:val="single" w:sz="8" w:color="CCEEFF"/>
            </w:tcBorders>
          </w:tcPr>
          <w:p>
            <w:pPr>
              <w:spacing w:after="0"/>
              <w:rPr>
                <w:sz w:val="24"/>
                <w:szCs w:val="24"/>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Per Share: Basic Class B Common</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0.24</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0.30</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jc w:val="right"/>
              <w:ind w:right="20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5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6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15"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63" w:lineRule="exact"/>
        <w:rPr>
          <w:rFonts w:ascii="Times New Roman" w:cs="Times New Roman" w:eastAsia="Times New Roman" w:hAnsi="Times New Roman"/>
          <w:sz w:val="18"/>
          <w:szCs w:val="18"/>
          <w:color w:val="auto"/>
        </w:rPr>
      </w:pPr>
    </w:p>
    <w:p>
      <w:pPr>
        <w:ind w:left="1280" w:hanging="321"/>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63" w:lineRule="exact"/>
        <w:rPr>
          <w:rFonts w:ascii="Times New Roman" w:cs="Times New Roman" w:eastAsia="Times New Roman" w:hAnsi="Times New Roman"/>
          <w:sz w:val="18"/>
          <w:szCs w:val="18"/>
          <w:color w:val="auto"/>
        </w:rPr>
      </w:pPr>
    </w:p>
    <w:p>
      <w:pPr>
        <w:jc w:val="both"/>
        <w:ind w:left="1280" w:hanging="321"/>
        <w:spacing w:after="0" w:line="259"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1280" w:hanging="321"/>
        <w:spacing w:after="0" w:line="273"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8"/>
          <w:szCs w:val="18"/>
          <w:color w:val="auto"/>
        </w:rPr>
      </w:pPr>
    </w:p>
    <w:p>
      <w:pPr>
        <w:jc w:val="both"/>
        <w:ind w:left="1280" w:hanging="321"/>
        <w:spacing w:after="0" w:line="272" w:lineRule="auto"/>
        <w:tabs>
          <w:tab w:leader="none" w:pos="12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44" w:lineRule="exact"/>
        <w:rPr>
          <w:rFonts w:ascii="Times New Roman" w:cs="Times New Roman" w:eastAsia="Times New Roman" w:hAnsi="Times New Roman"/>
          <w:sz w:val="17"/>
          <w:szCs w:val="17"/>
          <w:color w:val="auto"/>
        </w:rPr>
      </w:pPr>
    </w:p>
    <w:p>
      <w:pPr>
        <w:jc w:val="both"/>
        <w:ind w:left="1920" w:hanging="325"/>
        <w:spacing w:after="0" w:line="259"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280" w:hanging="321"/>
        <w:spacing w:after="0" w:line="304" w:lineRule="auto"/>
        <w:tabs>
          <w:tab w:leader="none" w:pos="12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Times New Roman" w:cs="Times New Roman" w:eastAsia="Times New Roman" w:hAnsi="Times New Roman"/>
          <w:sz w:val="17"/>
          <w:szCs w:val="17"/>
          <w:color w:val="auto"/>
        </w:rPr>
      </w:pPr>
    </w:p>
    <w:p>
      <w:pPr>
        <w:ind w:left="1920" w:hanging="325"/>
        <w:spacing w:after="0" w:line="273"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8"/>
          <w:szCs w:val="18"/>
          <w:color w:val="auto"/>
        </w:rPr>
      </w:pPr>
    </w:p>
    <w:p>
      <w:pPr>
        <w:ind w:left="1920" w:hanging="325"/>
        <w:spacing w:after="0" w:line="273" w:lineRule="auto"/>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5, 2014</w:t>
            </w:r>
          </w:p>
        </w:tc>
      </w:tr>
      <w:tr>
        <w:trPr>
          <w:trHeight w:val="25"/>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25"/>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r>
      <w:tr>
        <w:trPr>
          <w:trHeight w:val="371"/>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15"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T. Smith, certify that:</w:t>
      </w:r>
    </w:p>
    <w:p>
      <w:pPr>
        <w:spacing w:after="0" w:line="163" w:lineRule="exact"/>
        <w:rPr>
          <w:rFonts w:ascii="Times New Roman" w:cs="Times New Roman" w:eastAsia="Times New Roman" w:hAnsi="Times New Roman"/>
          <w:sz w:val="18"/>
          <w:szCs w:val="18"/>
          <w:color w:val="auto"/>
        </w:rPr>
      </w:pPr>
    </w:p>
    <w:p>
      <w:pPr>
        <w:ind w:left="1280" w:hanging="321"/>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63" w:lineRule="exact"/>
        <w:rPr>
          <w:rFonts w:ascii="Times New Roman" w:cs="Times New Roman" w:eastAsia="Times New Roman" w:hAnsi="Times New Roman"/>
          <w:sz w:val="18"/>
          <w:szCs w:val="18"/>
          <w:color w:val="auto"/>
        </w:rPr>
      </w:pPr>
    </w:p>
    <w:p>
      <w:pPr>
        <w:jc w:val="both"/>
        <w:ind w:left="1280" w:hanging="321"/>
        <w:spacing w:after="0" w:line="259"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1280" w:hanging="321"/>
        <w:spacing w:after="0" w:line="273"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8"/>
          <w:szCs w:val="18"/>
          <w:color w:val="auto"/>
        </w:rPr>
      </w:pPr>
    </w:p>
    <w:p>
      <w:pPr>
        <w:jc w:val="both"/>
        <w:ind w:left="1280" w:hanging="321"/>
        <w:spacing w:after="0" w:line="272" w:lineRule="auto"/>
        <w:tabs>
          <w:tab w:leader="none" w:pos="12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44" w:lineRule="exact"/>
        <w:rPr>
          <w:rFonts w:ascii="Times New Roman" w:cs="Times New Roman" w:eastAsia="Times New Roman" w:hAnsi="Times New Roman"/>
          <w:sz w:val="17"/>
          <w:szCs w:val="17"/>
          <w:color w:val="auto"/>
        </w:rPr>
      </w:pPr>
    </w:p>
    <w:p>
      <w:pPr>
        <w:jc w:val="both"/>
        <w:ind w:left="1920" w:hanging="325"/>
        <w:spacing w:after="0" w:line="259"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8"/>
          <w:szCs w:val="18"/>
          <w:color w:val="auto"/>
        </w:rPr>
      </w:pPr>
    </w:p>
    <w:p>
      <w:pPr>
        <w:jc w:val="both"/>
        <w:ind w:left="1920" w:hanging="325"/>
        <w:spacing w:after="0" w:line="259"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1280" w:hanging="321"/>
        <w:spacing w:after="0" w:line="304" w:lineRule="auto"/>
        <w:tabs>
          <w:tab w:leader="none" w:pos="12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Times New Roman" w:cs="Times New Roman" w:eastAsia="Times New Roman" w:hAnsi="Times New Roman"/>
          <w:sz w:val="17"/>
          <w:szCs w:val="17"/>
          <w:color w:val="auto"/>
        </w:rPr>
      </w:pPr>
    </w:p>
    <w:p>
      <w:pPr>
        <w:ind w:left="1920" w:hanging="325"/>
        <w:spacing w:after="0" w:line="273"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8"/>
          <w:szCs w:val="18"/>
          <w:color w:val="auto"/>
        </w:rPr>
      </w:pPr>
    </w:p>
    <w:p>
      <w:pPr>
        <w:ind w:left="1920" w:hanging="325"/>
        <w:spacing w:after="0" w:line="273" w:lineRule="auto"/>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5, 2014</w:t>
            </w:r>
          </w:p>
        </w:tc>
      </w:tr>
      <w:tr>
        <w:trPr>
          <w:trHeight w:val="25"/>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T. Smith</w:t>
            </w:r>
          </w:p>
        </w:tc>
      </w:tr>
      <w:tr>
        <w:trPr>
          <w:trHeight w:val="25"/>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T. Smith</w:t>
            </w:r>
          </w:p>
        </w:tc>
      </w:tr>
      <w:tr>
        <w:trPr>
          <w:trHeight w:val="371"/>
        </w:trPr>
        <w:tc>
          <w:tcPr>
            <w:tcW w:w="9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39"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December 5, 2014</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3649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49980" cy="825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39"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December 5, 2014</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3649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9980" cy="825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Daniel T. Smith</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Vice President and Chief Financial Officer</w:t>
      </w:r>
    </w:p>
    <w:p>
      <w:pPr>
        <w:spacing w:after="0" w:line="2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79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6"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65"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65"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77"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7"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65"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65"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1"/>
        </w:trPr>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Legal Actions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Section</w:t>
            </w:r>
          </w:p>
        </w:tc>
        <w:tc>
          <w:tcPr>
            <w:tcW w:w="1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Section 104</w:t>
            </w:r>
          </w:p>
        </w:tc>
        <w:tc>
          <w:tcPr>
            <w:tcW w:w="7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Section</w:t>
            </w:r>
          </w:p>
        </w:tc>
        <w:tc>
          <w:tcPr>
            <w:tcW w:w="1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Dollar</w:t>
            </w: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“Significant and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Section 110(b)</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Imminent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Value of Proposed</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Pending as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Initiated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Resolved</w:t>
            </w: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Substantial”</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104(b)</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Citations 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(2)Flagrant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Danger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MSHA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Last Day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During</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During</w:t>
            </w:r>
          </w:p>
        </w:tc>
        <w:tc>
          <w:tcPr>
            <w:tcW w:w="0" w:type="dxa"/>
            <w:vAlign w:val="bottom"/>
          </w:tcPr>
          <w:p>
            <w:pPr>
              <w:spacing w:after="0"/>
              <w:rPr>
                <w:sz w:val="1"/>
                <w:szCs w:val="1"/>
                <w:color w:val="auto"/>
              </w:rPr>
            </w:pPr>
          </w:p>
        </w:tc>
      </w:tr>
      <w:tr>
        <w:trPr>
          <w:trHeight w:val="231"/>
        </w:trPr>
        <w:tc>
          <w:tcPr>
            <w:tcW w:w="1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Mine location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Assessments</w:t>
            </w:r>
          </w:p>
        </w:tc>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265"/>
        </w:trPr>
        <w:tc>
          <w:tcPr>
            <w:tcW w:w="16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5"/>
        </w:trPr>
        <w:tc>
          <w:tcPr>
            <w:tcW w:w="1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9"/>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2,056</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Mountain,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902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5"/>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
        </w:trPr>
        <w:tc>
          <w:tcPr>
            <w:tcW w:w="1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three months ended October 31, 2014.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5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2"/>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468"/>
    </w:lvl>
  </w:abstractNum>
  <w:abstractNum w:abstractNumId="3">
    <w:nsid w:val="7545E146"/>
    <w:multiLevelType w:val="hybridMultilevel"/>
    <w:lvl w:ilvl="0">
      <w:lvlJc w:val="left"/>
      <w:lvlText w:val="(%1)"/>
      <w:numFmt w:val="decimal"/>
      <w:start w:val="470"/>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50"/>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lowerLetter"/>
      <w:start w:val="8"/>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1">
    <w:nsid w:val="66EF438D"/>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2020-02-18T23:15:25Z</dcterms:created>
  <dcterms:modified xsi:type="dcterms:W3CDTF">2020-02-18T23:15:25Z</dcterms:modified>
</cp:coreProperties>
</file>