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c>
          <w:tcPr>
            <w:tcW w:w="0" w:type="dxa"/>
            <w:vAlign w:val="bottom"/>
          </w:tcPr>
          <w:p>
            <w:pPr>
              <w:spacing w:after="0"/>
              <w:rPr>
                <w:sz w:val="1"/>
                <w:szCs w:val="1"/>
                <w:color w:val="auto"/>
              </w:rPr>
            </w:pP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c>
          <w:tcPr>
            <w:tcW w:w="0" w:type="dxa"/>
            <w:vAlign w:val="bottom"/>
          </w:tcPr>
          <w:p>
            <w:pPr>
              <w:spacing w:after="0"/>
              <w:rPr>
                <w:sz w:val="1"/>
                <w:szCs w:val="1"/>
                <w:color w:val="auto"/>
              </w:rPr>
            </w:pP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c>
          <w:tcPr>
            <w:tcW w:w="0" w:type="dxa"/>
            <w:vAlign w:val="bottom"/>
          </w:tcPr>
          <w:p>
            <w:pPr>
              <w:spacing w:after="0"/>
              <w:rPr>
                <w:sz w:val="1"/>
                <w:szCs w:val="1"/>
                <w:color w:val="auto"/>
              </w:rPr>
            </w:pPr>
          </w:p>
        </w:tc>
      </w:tr>
      <w:tr>
        <w:trPr>
          <w:trHeight w:val="432"/>
        </w:trPr>
        <w:tc>
          <w:tcPr>
            <w:tcW w:w="2080" w:type="dxa"/>
            <w:vAlign w:val="bottom"/>
            <w:vMerge w:val="restart"/>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October 31, 2018</w:t>
            </w:r>
          </w:p>
        </w:tc>
        <w:tc>
          <w:tcPr>
            <w:tcW w:w="0" w:type="dxa"/>
            <w:vAlign w:val="bottom"/>
          </w:tcPr>
          <w:p>
            <w:pPr>
              <w:spacing w:after="0"/>
              <w:rPr>
                <w:sz w:val="1"/>
                <w:szCs w:val="1"/>
                <w:color w:val="auto"/>
              </w:rPr>
            </w:pP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c>
          <w:tcPr>
            <w:tcW w:w="0" w:type="dxa"/>
            <w:vAlign w:val="bottom"/>
          </w:tcPr>
          <w:p>
            <w:pPr>
              <w:spacing w:after="0"/>
              <w:rPr>
                <w:sz w:val="1"/>
                <w:szCs w:val="1"/>
                <w:color w:val="auto"/>
              </w:rPr>
            </w:pP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c>
          <w:tcPr>
            <w:tcW w:w="0" w:type="dxa"/>
            <w:vAlign w:val="bottom"/>
          </w:tcPr>
          <w:p>
            <w:pPr>
              <w:spacing w:after="0"/>
              <w:rPr>
                <w:sz w:val="1"/>
                <w:szCs w:val="1"/>
                <w:color w:val="auto"/>
              </w:rPr>
            </w:pP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c>
          <w:tcPr>
            <w:tcW w:w="0" w:type="dxa"/>
            <w:vAlign w:val="bottom"/>
          </w:tcPr>
          <w:p>
            <w:pPr>
              <w:spacing w:after="0"/>
              <w:rPr>
                <w:sz w:val="1"/>
                <w:szCs w:val="1"/>
                <w:color w:val="auto"/>
              </w:rPr>
            </w:pP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0" w:type="dxa"/>
            <w:vAlign w:val="bottom"/>
          </w:tcPr>
          <w:p>
            <w:pPr>
              <w:spacing w:after="0"/>
              <w:rPr>
                <w:sz w:val="1"/>
                <w:szCs w:val="1"/>
                <w:color w:val="auto"/>
              </w:rPr>
            </w:pP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x No o</w:t>
      </w:r>
    </w:p>
    <w:p>
      <w:pPr>
        <w:spacing w:after="0" w:line="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1165" w:right="279" w:bottom="1440" w:gutter="0" w:footer="0" w:header="0"/>
        </w:sectPr>
      </w:pPr>
    </w:p>
    <w:p>
      <w:pPr>
        <w:spacing w:after="0" w:line="127"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company o</w:t>
      </w:r>
    </w:p>
    <w:p>
      <w:pPr>
        <w:spacing w:after="0" w:line="237" w:lineRule="exact"/>
        <w:rPr>
          <w:sz w:val="24"/>
          <w:szCs w:val="24"/>
          <w:color w:val="auto"/>
        </w:rPr>
      </w:pPr>
    </w:p>
    <w:p>
      <w:pPr>
        <w:sectPr>
          <w:pgSz w:w="11900" w:h="16838" w:orient="portrait"/>
          <w:cols w:equalWidth="0" w:num="5">
            <w:col w:w="3080" w:space="200"/>
            <w:col w:w="1380" w:space="220"/>
            <w:col w:w="1640" w:space="120"/>
            <w:col w:w="1260" w:space="500"/>
            <w:col w:w="2980"/>
          </w:cols>
          <w:pgMar w:left="240" w:top="1165" w:right="279" w:bottom="1440" w:gutter="0" w:footer="0" w:header="0"/>
          <w:type w:val="continuous"/>
        </w:sect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October 31, 2018.</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5,214,612 Shares and Class B Stock – 2,245,238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22</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25</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Such statements are subject to certain risks, uncertainties and assumptions that could cause actual results to differ materially, including, but not limited to, those described in Item 1A, Risk Factors, of our Annual Report on Form 10-K for the fiscal year ended July 31, 2018, which contains, among other risk factors, a description of the issues that may arise with the implementation of our new enterprise resource planning system which became operational on August 1, 2018.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Oil-Dri is a registered trademark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2,652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39,935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$815 and $817 at October 31, 2018 and July 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33,602</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25,413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3,941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85,219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83,014</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239,779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236,091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(152,441)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(149,385)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87,338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86,706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1,253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of $276 and $267 at October 31, 2018 and July 31, 2018,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$5,729 and $5,540 at October 31, 2018 and July 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6,902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24,394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196,951</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194,682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Consolidated Balance Sheet (continued)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ind w:left="66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4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13,287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4,278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860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4,170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8,383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35,717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30,949</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Notes payable, net of unamortized debt issuance costs</w:t>
            </w:r>
          </w:p>
        </w:tc>
        <w:tc>
          <w:tcPr>
            <w:tcW w:w="1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3,031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of $53 and $60 at October 31, 2018 and July 31, 2018, respectively</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6,298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16,218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3,900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29,447</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65,164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62,797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8,135,349 shares at October 31, 2018</w:t>
            </w: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8,086,849 shares at July 31, 2018</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2,569,979 shares at October 31, 2018</w:t>
            </w:r>
          </w:p>
        </w:tc>
        <w:tc>
          <w:tcPr>
            <w:tcW w:w="1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80"/>
              <w:spacing w:after="0"/>
              <w:rPr>
                <w:sz w:val="20"/>
                <w:szCs w:val="20"/>
                <w:color w:val="auto"/>
              </w:rPr>
            </w:pPr>
            <w:r>
              <w:rPr>
                <w:rFonts w:ascii="Arial" w:cs="Arial" w:eastAsia="Arial" w:hAnsi="Arial"/>
                <w:sz w:val="18"/>
                <w:szCs w:val="18"/>
                <w:color w:val="auto"/>
              </w:rPr>
              <w:t>and 2,468,979 shares at July 31, 2018</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39,186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158,185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158,935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(10,512)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Less Treasury Stock, at cost (2,920,737 Common and 324,741 Class B shares at</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(56,154)</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180"/>
              <w:spacing w:after="0"/>
              <w:rPr>
                <w:sz w:val="20"/>
                <w:szCs w:val="20"/>
                <w:color w:val="auto"/>
              </w:rPr>
            </w:pPr>
            <w:r>
              <w:rPr>
                <w:rFonts w:ascii="Arial" w:cs="Arial" w:eastAsia="Arial" w:hAnsi="Arial"/>
                <w:sz w:val="18"/>
                <w:szCs w:val="18"/>
                <w:color w:val="auto"/>
              </w:rPr>
              <w:t>October 31, 2018 and 2,914,092 Common and 324,741 Class B shares at July 31, 2018)</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131,787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131,885</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196,951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194,682</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66,143</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66,646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 (1)</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(50,133)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(47,671)</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16,010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18,975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 (1)</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(15,007)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(14,760)</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1,003</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4,215</w:t>
            </w:r>
          </w:p>
        </w:tc>
      </w:tr>
      <w:tr>
        <w:trPr>
          <w:trHeight w:val="291"/>
        </w:trPr>
        <w:tc>
          <w:tcPr>
            <w:tcW w:w="8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 (1)</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91"/>
        </w:trPr>
        <w:tc>
          <w:tcPr>
            <w:tcW w:w="8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Benefit (Expense)</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(789)</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934</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3,050</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3,050</w:t>
            </w: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158,935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154,735</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(1,656)</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158,185</w:t>
            </w:r>
          </w:p>
        </w:tc>
        <w:tc>
          <w:tcPr>
            <w:tcW w:w="2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156,226</w:t>
            </w:r>
          </w:p>
        </w:tc>
      </w:tr>
      <w:tr>
        <w:trPr>
          <w:trHeight w:val="284"/>
        </w:trPr>
        <w:tc>
          <w:tcPr>
            <w:tcW w:w="8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0.13</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0.10</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0.34</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0.12</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5,076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2,069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2,090</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7,243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0.2400</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0.2300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0.1800</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0.1725</w:t>
            </w:r>
          </w:p>
        </w:tc>
      </w:tr>
    </w:tbl>
    <w:p>
      <w:pPr>
        <w:spacing w:after="0" w:line="256" w:lineRule="exact"/>
        <w:rPr>
          <w:sz w:val="20"/>
          <w:szCs w:val="20"/>
          <w:color w:val="auto"/>
        </w:rPr>
      </w:pPr>
    </w:p>
    <w:p>
      <w:pPr>
        <w:jc w:val="both"/>
        <w:ind w:firstLine="8"/>
        <w:spacing w:after="0" w:line="286" w:lineRule="auto"/>
        <w:tabs>
          <w:tab w:leader="none" w:pos="275"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Prior year amounts have been retrospectively adjusted to conform to the current year presentation of the non-service cost components of net periodic benefit cost required by new guidance under Accounting Standards Codification (“ASC”) 715, </w:t>
      </w:r>
      <w:r>
        <w:rPr>
          <w:rFonts w:ascii="Arial" w:cs="Arial" w:eastAsia="Arial" w:hAnsi="Arial"/>
          <w:sz w:val="17"/>
          <w:szCs w:val="17"/>
          <w:i w:val="1"/>
          <w:iCs w:val="1"/>
          <w:color w:val="auto"/>
        </w:rPr>
        <w:t>Improving the Presentation of Net Periodic Pension Cost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Net Periodic Postretirement Benefit Cost. </w:t>
      </w:r>
      <w:r>
        <w:rPr>
          <w:rFonts w:ascii="Arial" w:cs="Arial" w:eastAsia="Arial" w:hAnsi="Arial"/>
          <w:sz w:val="17"/>
          <w:szCs w:val="17"/>
          <w:color w:val="auto"/>
        </w:rPr>
        <w:t>See Note 2 of the Notes to Condensed Consolidated Financial Statements for details.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906</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3,050</w:t>
            </w: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167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181</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1,009</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960" w:type="dxa"/>
            <w:vAlign w:val="bottom"/>
            <w:gridSpan w:val="5"/>
          </w:tcPr>
          <w:p>
            <w:pPr>
              <w:ind w:left="40"/>
              <w:spacing w:after="0"/>
              <w:rPr>
                <w:sz w:val="20"/>
                <w:szCs w:val="20"/>
                <w:color w:val="auto"/>
              </w:rPr>
            </w:pPr>
            <w:r>
              <w:rPr>
                <w:rFonts w:ascii="Arial" w:cs="Arial" w:eastAsia="Arial" w:hAnsi="Arial"/>
                <w:sz w:val="18"/>
                <w:szCs w:val="18"/>
                <w:b w:val="1"/>
                <w:bCs w:val="1"/>
                <w:color w:val="auto"/>
                <w:w w:val="91"/>
              </w:rPr>
              <w:t>For the Three Months Ended October</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7"/>
                <w:szCs w:val="17"/>
                <w:color w:val="auto"/>
              </w:rPr>
            </w:pPr>
          </w:p>
        </w:tc>
        <w:tc>
          <w:tcPr>
            <w:tcW w:w="10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934</w:t>
            </w:r>
          </w:p>
        </w:tc>
        <w:tc>
          <w:tcPr>
            <w:tcW w:w="6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3,305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Loss on the sale of fixed assets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(6,367)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(1,196)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Increase (Decrease) in 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7,290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(1,780)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Deferred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Pension and postretirement benefits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479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Adjustments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684</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Capital expenditures</w:t>
            </w:r>
          </w:p>
        </w:tc>
        <w:tc>
          <w:tcPr>
            <w:tcW w:w="4480" w:type="dxa"/>
            <w:vAlign w:val="bottom"/>
            <w:tcBorders>
              <w:top w:val="single" w:sz="8" w:color="CCEEFF"/>
            </w:tcBorders>
            <w:gridSpan w:val="3"/>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(4,058)</w:t>
            </w:r>
          </w:p>
        </w:tc>
        <w:tc>
          <w:tcPr>
            <w:tcW w:w="2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(3,948)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Dispositions of short-term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8,430</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Provided by Investing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424</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Principal payments on 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(1,627)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 of treasury stock</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(4,845)</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(3,738)</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12,757</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57"/>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9,019</w:t>
            </w:r>
          </w:p>
        </w:tc>
        <w:tc>
          <w:tcPr>
            <w:tcW w:w="2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8,401</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ind w:left="5660"/>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46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60" w:type="dxa"/>
            <w:vAlign w:val="bottom"/>
          </w:tcPr>
          <w:p>
            <w:pPr>
              <w:spacing w:after="0"/>
              <w:rPr>
                <w:sz w:val="18"/>
                <w:szCs w:val="18"/>
                <w:color w:val="auto"/>
              </w:rPr>
            </w:pPr>
          </w:p>
        </w:tc>
        <w:tc>
          <w:tcPr>
            <w:tcW w:w="2960" w:type="dxa"/>
            <w:vAlign w:val="bottom"/>
            <w:gridSpan w:val="5"/>
          </w:tcPr>
          <w:p>
            <w:pPr>
              <w:ind w:left="40"/>
              <w:spacing w:after="0"/>
              <w:rPr>
                <w:sz w:val="20"/>
                <w:szCs w:val="20"/>
                <w:color w:val="auto"/>
              </w:rPr>
            </w:pPr>
            <w:r>
              <w:rPr>
                <w:rFonts w:ascii="Arial" w:cs="Arial" w:eastAsia="Arial" w:hAnsi="Arial"/>
                <w:sz w:val="18"/>
                <w:szCs w:val="18"/>
                <w:b w:val="1"/>
                <w:bCs w:val="1"/>
                <w:color w:val="auto"/>
                <w:w w:val="91"/>
              </w:rPr>
              <w:t>For the Three Months Ended October</w:t>
            </w: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79"/>
              </w:rPr>
              <w:t>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1,656</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5100" w:firstLine="8"/>
        <w:spacing w:after="0" w:line="503"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2018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In addition, certain prior year reclassifications were made to conform to the current year presentation. Operating results for the three months ended October 31, 2018 are not necessarily an indication of the results that may be expected for the fiscal year ending July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Use of Estimates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and expenses during the reporting period, as well as the related disclosures. All of our estimates and assumptions are revised periodically. Actual results could differ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Except as described herein, our significant accounting policies, which are detailed in our Annual Report on Form 10-K for the fiscal year ended July 31, 2018 have not materially changed. However, the unaudited Condensed Consolidated Financial Statements reflect changes required upon adoption of new accounting guidance, as described in Note 2. The following is a description of certain of our significant accounting policies.</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We recognize revenue when performance obligations under the terms of the contracts with customers are satisfied. Our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$96,000 and $242,000 as of October 31, 2018 and July 31, 2018, respectively. This liability is reported in Other Accrued Expenses on the Condensed Consolidated Balance Sheet. Revenue recognized during the first quarter ended October 31, 2018 that was included in the liability for advance payments at the beginning of the period was $84,000.</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(“SG&amp;A”) include salaries, wages and benefits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record an allowance for doubtful accounts based on our historical experience and a periodic review of our accounts receivable,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Overburden Removal and Mining Costs. </w:t>
      </w:r>
      <w:r>
        <w:rPr>
          <w:rFonts w:ascii="Arial" w:cs="Arial" w:eastAsia="Arial" w:hAnsi="Arial"/>
          <w:sz w:val="16"/>
          <w:szCs w:val="16"/>
          <w:color w:val="auto"/>
        </w:rPr>
        <w:t>We mine sorbent materials on property that we either own or lease as part of our overall operations. A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77" w:lineRule="exact"/>
        <w:rPr>
          <w:sz w:val="20"/>
          <w:szCs w:val="20"/>
          <w:color w:val="auto"/>
        </w:rPr>
      </w:pPr>
    </w:p>
    <w:p>
      <w:pPr>
        <w:ind w:right="586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AND REGULATIONS Recently Issued Pronouncements</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February 2016, the Financial Accounting Standards Board (“FASB”) issued guidance under ASC 842, </w:t>
      </w:r>
      <w:r>
        <w:rPr>
          <w:rFonts w:ascii="Arial" w:cs="Arial" w:eastAsia="Arial" w:hAnsi="Arial"/>
          <w:sz w:val="16"/>
          <w:szCs w:val="16"/>
          <w:i w:val="1"/>
          <w:iCs w:val="1"/>
          <w:color w:val="auto"/>
        </w:rPr>
        <w:t>Leases</w:t>
      </w:r>
      <w:r>
        <w:rPr>
          <w:rFonts w:ascii="Arial" w:cs="Arial" w:eastAsia="Arial" w:hAnsi="Arial"/>
          <w:sz w:val="16"/>
          <w:szCs w:val="16"/>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Pronouncements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May 2014, the FASB issued guidance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subsequently issued several amendments to further clarify the principles for recognizing revenue. This guidance establishes a single comprehensive revenue recognition model for all contracts with customers and will supersede most existing revenue guidance. The core principle of ASC 606 is that entities should recognize revenue to depict the transfer of promised goods or services to customers in an amount that reflects the consideration to which the entity expects to be entitled to receive in exchange.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 xml:space="preserve">Oil-Dri adopted the new guidance on a modified retrospective basis effective August 1, 2018. We applied the practical expedient available under ASC 606 to disregard determining significant financing components if the good is transferred and payment is received within one year. We also adopted the policy election to exclude from the transaction price all amounts collected from customers for sales and other taxes. We do not expect a material impact on our annual Consolidated Financial Statements from the adoption of this guidance. Results for periods beginning on or after August 1, 2018 are recognized and presented in accordance with ASC 606, while prior period amounts have not been adjusted and continue to be reported in accordance with the prior account guidance 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January 2016, the FASB issued guidance under ASC 825,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This guidance addresses certain aspects of recognition, measurement, presentation and disclosure of financial instruments. This guidance was effective for our first quarter of fiscal year 2019. The provisions relevant to us relate to fair value disclosures for our notes payable, which are measured at amortized cost on the balance sheet. These provisions require the use of the exit price notion when measuring the fair value of financial instruments for disclosure purposes, as well as eliminate the requirement to disclose the method and significant assumptions used to estimate the fair value in such disclosure. This guidance impacted our disclosures only on a prospective basis and did not have a material impact on our unaudited Condensed Consolidated Financial Statements. See Note 4 of the Notes to unaudited Condensed Consolidated Financial Statements for further information about Fair Value Measurements.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March 2017, the FASB issued guidance under ASC 715,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w:t>
      </w:r>
      <w:r>
        <w:rPr>
          <w:rFonts w:ascii="Arial" w:cs="Arial" w:eastAsia="Arial" w:hAnsi="Arial"/>
          <w:sz w:val="17"/>
          <w:szCs w:val="17"/>
          <w:color w:val="auto"/>
        </w:rPr>
        <w:t>which requires presenting the service cost component of net periodic benefit cost in the same income statement line item(s) as other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costs arising from services rendered during the period. This standard also requires that other components of the net periodic benefit cost be presented separately from the line items that includes service costs and outside of any subtotal of operating income, if one is presented, on a retrospective basis. We adopted this new guidance in the first quarter of fiscal 2019 and accordingly recorded the non-service cost components of net periodic benefit cost in Other Income (Expense) in the line item Other, net on the unaudited Condensed Consolidated Statements of Income and Retained Earnings. As such, the adoption did not have a material impact on our Consolidated Financial Statements. See Note 8 of the Notes to unaudited Condensed Consolidated Financial Statements for further information about our pension and postretirement health plans.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19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14,223</w:t>
            </w:r>
          </w:p>
        </w:tc>
      </w:tr>
      <w:tr>
        <w:trPr>
          <w:trHeight w:val="243"/>
        </w:trPr>
        <w:tc>
          <w:tcPr>
            <w:tcW w:w="192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5,908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5,349</w:t>
            </w:r>
          </w:p>
        </w:tc>
      </w:tr>
      <w:tr>
        <w:trPr>
          <w:trHeight w:val="27"/>
        </w:trPr>
        <w:tc>
          <w:tcPr>
            <w:tcW w:w="19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r>
      <w:tr>
        <w:trPr>
          <w:trHeight w:val="257"/>
        </w:trPr>
        <w:tc>
          <w:tcPr>
            <w:tcW w:w="192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25,413</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22,521</w:t>
            </w:r>
          </w:p>
        </w:tc>
      </w:tr>
      <w:tr>
        <w:trPr>
          <w:trHeight w:val="20"/>
        </w:trPr>
        <w:tc>
          <w:tcPr>
            <w:tcW w:w="19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 items, but also took into consideration the overall value of the inventory as of the balance sheet date. The inventory obsolescence reserve values at October 31, 2018 and July 31, 2018 were $1,140,000 and $1,136,000, respectively. The reserve increased due to higher levels of discontinued, slow moving and unsaleable inventory.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equivalents of $6,503,000 and $9,920,000 as of October 31, 2018 and July 31, 2018, respectively, were classified as Level 1. These cash instruments are primarily money market mutual funds and are included in cash and cash equivalents on the unaudited Condensed Consolidated Balance Sheet.</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Short-term investments included U.S. Treasury securities and certificates of deposit. We intend and have the ability to hold our short-term investments to maturity; therefore, these investments were reported at amortized cost, which approximated fair value as of October 31, 2018 and July 31, 2018.</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Balances of accounts receivable and accounts payable approximated their fair values at October 31, 2018 and July 31, 2018 due to the short maturity and nature of those balances.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payable are reported at the face amount of future maturities. The estimated fair value of notes payable, including current maturities, was $6,533,000 and $9,553,000 as of October 31, 2018 and July 31, 2018, respectively, and are classified as Level 2. The fair value as of October 31, 2018, was determined using the exit price notion of fair value required by the adoption of new accounting guidance for fiscal year 2019, as discussed in Note 2 of the Notes to unaudited Condensed Consolidated Financial Statements.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unaudited Condensed Consolidated Financial Statements for further information about goodwill and other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Intangible amortization expense was $210,000 and $254,000 in the first quarter of fiscal years 2019 and 2018, respectively. Estimated intangible amortization for the remainder of fiscal year 2019 is $627,000. Estimated intangible amortization for the next five fiscal years is as follows (in thousands):</w:t>
      </w:r>
    </w:p>
    <w:p>
      <w:pPr>
        <w:spacing w:after="0" w:line="57"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2020</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2021</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2022</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2023</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2024</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1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goodwill impairment analysis in the fourth quarter of fiscal year 2018 and no impairment was identified. There have been no triggering events that would indicate a new impairment analysis is needed.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87"/>
              </w:rPr>
              <w:t>Pension Benefits</w:t>
            </w:r>
          </w:p>
        </w:tc>
        <w:tc>
          <w:tcPr>
            <w:tcW w:w="480" w:type="dxa"/>
            <w:vAlign w:val="bottom"/>
          </w:tcPr>
          <w:p>
            <w:pPr>
              <w:spacing w:after="0"/>
              <w:rPr>
                <w:sz w:val="20"/>
                <w:szCs w:val="20"/>
                <w:color w:val="auto"/>
              </w:rPr>
            </w:pPr>
          </w:p>
        </w:tc>
      </w:tr>
      <w:tr>
        <w:trPr>
          <w:trHeight w:val="270"/>
        </w:trPr>
        <w:tc>
          <w:tcPr>
            <w:tcW w:w="4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87"/>
              </w:rPr>
              <w:t>(in thousands)</w:t>
            </w:r>
          </w:p>
        </w:tc>
        <w:tc>
          <w:tcPr>
            <w:tcW w:w="480" w:type="dxa"/>
            <w:vAlign w:val="bottom"/>
          </w:tcPr>
          <w:p>
            <w:pPr>
              <w:spacing w:after="0"/>
              <w:rPr>
                <w:sz w:val="23"/>
                <w:szCs w:val="23"/>
                <w:color w:val="auto"/>
              </w:rPr>
            </w:pPr>
          </w:p>
        </w:tc>
      </w:tr>
      <w:tr>
        <w:trPr>
          <w:trHeight w:val="27"/>
        </w:trPr>
        <w:tc>
          <w:tcPr>
            <w:tcW w:w="4780" w:type="dxa"/>
            <w:vAlign w:val="bottom"/>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r>
      <w:tr>
        <w:trPr>
          <w:trHeight w:val="218"/>
        </w:trPr>
        <w:tc>
          <w:tcPr>
            <w:tcW w:w="4780" w:type="dxa"/>
            <w:vAlign w:val="bottom"/>
          </w:tcPr>
          <w:p>
            <w:pPr>
              <w:spacing w:after="0"/>
              <w:rPr>
                <w:sz w:val="18"/>
                <w:szCs w:val="18"/>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5"/>
              </w:rPr>
              <w:t>31,</w:t>
            </w:r>
          </w:p>
        </w:tc>
        <w:tc>
          <w:tcPr>
            <w:tcW w:w="48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w:t>
            </w:r>
          </w:p>
        </w:tc>
        <w:tc>
          <w:tcPr>
            <w:tcW w:w="1160" w:type="dxa"/>
            <w:vAlign w:val="bottom"/>
            <w:tcBorders>
              <w:bottom w:val="single" w:sz="8" w:color="CCEEFF"/>
            </w:tcBorders>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540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497</w:t>
            </w: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(702)</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(486)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78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4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w:t>
            </w:r>
          </w:p>
        </w:tc>
        <w:tc>
          <w:tcPr>
            <w:tcW w:w="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0"/>
        </w:trPr>
        <w:tc>
          <w:tcPr>
            <w:tcW w:w="478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68"/>
        </w:trPr>
        <w:tc>
          <w:tcPr>
            <w:tcW w:w="4780" w:type="dxa"/>
            <w:vAlign w:val="bottom"/>
          </w:tcPr>
          <w:p>
            <w:pPr>
              <w:spacing w:after="0"/>
              <w:rPr>
                <w:sz w:val="24"/>
                <w:szCs w:val="24"/>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Postretirement Health Benefits</w:t>
            </w:r>
          </w:p>
        </w:tc>
      </w:tr>
      <w:tr>
        <w:trPr>
          <w:trHeight w:val="270"/>
        </w:trPr>
        <w:tc>
          <w:tcPr>
            <w:tcW w:w="4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87"/>
              </w:rPr>
              <w:t>(in thousands)</w:t>
            </w:r>
          </w:p>
        </w:tc>
        <w:tc>
          <w:tcPr>
            <w:tcW w:w="480" w:type="dxa"/>
            <w:vAlign w:val="bottom"/>
          </w:tcPr>
          <w:p>
            <w:pPr>
              <w:spacing w:after="0"/>
              <w:rPr>
                <w:sz w:val="23"/>
                <w:szCs w:val="23"/>
                <w:color w:val="auto"/>
              </w:rPr>
            </w:pPr>
          </w:p>
        </w:tc>
      </w:tr>
      <w:tr>
        <w:trPr>
          <w:trHeight w:val="27"/>
        </w:trPr>
        <w:tc>
          <w:tcPr>
            <w:tcW w:w="4780" w:type="dxa"/>
            <w:vAlign w:val="bottom"/>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r>
      <w:tr>
        <w:trPr>
          <w:trHeight w:val="218"/>
        </w:trPr>
        <w:tc>
          <w:tcPr>
            <w:tcW w:w="4780" w:type="dxa"/>
            <w:vAlign w:val="bottom"/>
          </w:tcPr>
          <w:p>
            <w:pPr>
              <w:spacing w:after="0"/>
              <w:rPr>
                <w:sz w:val="18"/>
                <w:szCs w:val="18"/>
                <w:color w:val="auto"/>
              </w:rPr>
            </w:pPr>
          </w:p>
        </w:tc>
        <w:tc>
          <w:tcPr>
            <w:tcW w:w="30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5"/>
              </w:rPr>
              <w:t>31,</w:t>
            </w:r>
          </w:p>
        </w:tc>
        <w:tc>
          <w:tcPr>
            <w:tcW w:w="48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160" w:type="dxa"/>
            <w:vAlign w:val="bottom"/>
            <w:tcBorders>
              <w:bottom w:val="single" w:sz="8" w:color="CCEEFF"/>
            </w:tcBorders>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r>
      <w:tr>
        <w:trPr>
          <w:trHeight w:val="20"/>
        </w:trPr>
        <w:tc>
          <w:tcPr>
            <w:tcW w:w="4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non-service cost components of net periodic benefit cost are included in Other Income (Expense) in the line item Other, net on the unaudited Condensed Consolidated Statements of Income and Retained Earnings.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were not required to make, and did not make, a contribution to the pension plan during the first three months of fiscal year 2019. We have no minimum funding requirements for the remainder of fiscal year 2019. We contributed $335,000 to our pension plan during the first three months of fiscal year 2018.</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made a significant voluntary contribution to the pension plan in excess of the minimum required contribution in the third quarter of fiscal year 2018. This voluntary contribution improved the plan's funded status and contributed to a lower net periodic benefit expense for the first three months of fiscal year 2019 compared to the same period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w w:val="94"/>
              </w:rPr>
              <w:t>Assumptions used in the previous calculations were as follows: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94"/>
        </w:trPr>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4"/>
          </w:tcPr>
          <w:p>
            <w:pPr>
              <w:ind w:left="520"/>
              <w:spacing w:after="0"/>
              <w:rPr>
                <w:sz w:val="20"/>
                <w:szCs w:val="20"/>
                <w:color w:val="auto"/>
              </w:rPr>
            </w:pPr>
            <w:r>
              <w:rPr>
                <w:rFonts w:ascii="Arial" w:cs="Arial" w:eastAsia="Arial" w:hAnsi="Arial"/>
                <w:sz w:val="18"/>
                <w:szCs w:val="18"/>
                <w:b w:val="1"/>
                <w:bCs w:val="1"/>
                <w:color w:val="auto"/>
              </w:rPr>
              <w:t>Pension Benefits</w:t>
            </w: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7"/>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4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For the Three Months Ended October 31,</w:t>
            </w:r>
          </w:p>
        </w:tc>
        <w:tc>
          <w:tcPr>
            <w:tcW w:w="104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ind w:left="220"/>
              <w:spacing w:after="0"/>
              <w:rPr>
                <w:sz w:val="20"/>
                <w:szCs w:val="20"/>
                <w:color w:val="auto"/>
              </w:rPr>
            </w:pPr>
            <w:r>
              <w:rPr>
                <w:rFonts w:ascii="Arial" w:cs="Arial" w:eastAsia="Arial" w:hAnsi="Arial"/>
                <w:sz w:val="18"/>
                <w:szCs w:val="18"/>
                <w:b w:val="1"/>
                <w:bCs w:val="1"/>
                <w:color w:val="auto"/>
              </w:rPr>
              <w:t>2018</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w w:val="97"/>
              </w:rPr>
              <w:t>4.04%</w:t>
            </w:r>
          </w:p>
        </w:tc>
        <w:tc>
          <w:tcPr>
            <w:tcW w:w="1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040" w:type="dxa"/>
            <w:vAlign w:val="bottom"/>
          </w:tcPr>
          <w:p>
            <w:pPr>
              <w:ind w:left="520"/>
              <w:spacing w:after="0"/>
              <w:rPr>
                <w:sz w:val="20"/>
                <w:szCs w:val="20"/>
                <w:color w:val="auto"/>
              </w:rPr>
            </w:pPr>
            <w:r>
              <w:rPr>
                <w:rFonts w:ascii="Arial" w:cs="Arial" w:eastAsia="Arial" w:hAnsi="Arial"/>
                <w:sz w:val="18"/>
                <w:szCs w:val="18"/>
                <w:b w:val="1"/>
                <w:bCs w:val="1"/>
                <w:color w:val="auto"/>
                <w:w w:val="97"/>
              </w:rPr>
              <w:t>3.50%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7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0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w w:val="97"/>
              </w:rPr>
              <w:t>7.00%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7.50%. The graded trend rate is expected to decrease to an ultimate rate of 4.50% in fiscal year 2038.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16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Business to Business Products</w:t>
            </w:r>
          </w:p>
        </w:tc>
        <w:tc>
          <w:tcPr>
            <w:tcW w:w="140" w:type="dxa"/>
            <w:vAlign w:val="bottom"/>
          </w:tcPr>
          <w:p>
            <w:pPr>
              <w:spacing w:after="0"/>
              <w:rPr>
                <w:sz w:val="18"/>
                <w:szCs w:val="18"/>
                <w:color w:val="auto"/>
              </w:rPr>
            </w:pPr>
          </w:p>
        </w:tc>
        <w:tc>
          <w:tcPr>
            <w:tcW w:w="25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Retail and Wholesale Products</w:t>
            </w:r>
          </w:p>
        </w:tc>
      </w:tr>
      <w:tr>
        <w:trPr>
          <w:trHeight w:val="234"/>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9"/>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gridSpan w:val="9"/>
          </w:tcPr>
          <w:p>
            <w:pPr>
              <w:jc w:val="right"/>
              <w:ind w:right="130"/>
              <w:spacing w:after="0"/>
              <w:rPr>
                <w:sz w:val="20"/>
                <w:szCs w:val="20"/>
                <w:color w:val="auto"/>
              </w:rPr>
            </w:pPr>
            <w:r>
              <w:rPr>
                <w:rFonts w:ascii="Arial" w:cs="Arial" w:eastAsia="Arial" w:hAnsi="Arial"/>
                <w:sz w:val="18"/>
                <w:szCs w:val="18"/>
                <w:b w:val="1"/>
                <w:bCs w:val="1"/>
                <w:color w:val="auto"/>
                <w:w w:val="91"/>
              </w:rPr>
              <w:t>For the Three Months Ended October 31,</w:t>
            </w: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172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Cat Litter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3,215</w:t>
            </w:r>
          </w:p>
        </w:tc>
        <w:tc>
          <w:tcPr>
            <w:tcW w:w="5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32,395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30,822</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7,777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8,117</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Agricultural and Horticultural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11,895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645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620</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Animal Health and Nutrition</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25,326</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27,087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40,817</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39,559</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Assets</w:t>
            </w:r>
          </w:p>
        </w:tc>
      </w:tr>
      <w:tr>
        <w:trPr>
          <w:trHeight w:val="27"/>
        </w:trPr>
        <w:tc>
          <w:tcPr>
            <w:tcW w:w="8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2018</w:t>
            </w:r>
          </w:p>
        </w:tc>
      </w:tr>
      <w:tr>
        <w:trPr>
          <w:trHeight w:val="27"/>
        </w:trPr>
        <w:tc>
          <w:tcPr>
            <w:tcW w:w="8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r>
      <w:tr>
        <w:trPr>
          <w:trHeight w:val="237"/>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61,626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65,143</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Retail and Wholesale Products Group</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94,271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89,623</w:t>
            </w:r>
          </w:p>
        </w:tc>
      </w:tr>
      <w:tr>
        <w:trPr>
          <w:trHeight w:val="27"/>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Assets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41,054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39,916</w:t>
            </w: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196,951</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194,682</w:t>
            </w:r>
          </w:p>
        </w:tc>
      </w:tr>
      <w:tr>
        <w:trPr>
          <w:trHeight w:val="20"/>
        </w:trPr>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gridSpan w:val="9"/>
          </w:tcPr>
          <w:p>
            <w:pPr>
              <w:jc w:val="center"/>
              <w:ind w:left="590"/>
              <w:spacing w:after="0"/>
              <w:rPr>
                <w:sz w:val="20"/>
                <w:szCs w:val="20"/>
                <w:color w:val="auto"/>
              </w:rPr>
            </w:pPr>
            <w:r>
              <w:rPr>
                <w:rFonts w:ascii="Arial" w:cs="Arial" w:eastAsia="Arial" w:hAnsi="Arial"/>
                <w:sz w:val="18"/>
                <w:szCs w:val="18"/>
                <w:b w:val="1"/>
                <w:bCs w:val="1"/>
                <w:color w:val="auto"/>
                <w:w w:val="91"/>
              </w:rPr>
              <w:t>For the Three Months Ended October 31,</w:t>
            </w:r>
          </w:p>
        </w:tc>
        <w:tc>
          <w:tcPr>
            <w:tcW w:w="9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Income (Loss)</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25,326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 Group</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40,817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39,559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2,365</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66,143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(7,026)</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 Benefit (Expense)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(789)</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non-vested restricted stock as of October 31, 2018 was issued under the 2006 Plan with vesting periods generally between two years and five years. We determined the fair value of restricted stock as of the grant date. We recognize the related compensation expense over the period from the date of grant to the date the shares vest.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were 23,000 restricted shares of Common Stock granted during the first quarters of both fiscal years 2019 and 2018. There were 126,000 and 1,000 restricted shares of Class B Stock granted during the first quarters of fiscal years 2019 and 2018, respectively. Stock-based compensation expense related to non-vested restricted stock for the first quarter of fiscal years 2019 and 2018 was $660,000 and $502,000,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8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1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816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2018</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32.74</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37.90</w:t>
            </w:r>
          </w:p>
        </w:tc>
      </w:tr>
      <w:tr>
        <w:trPr>
          <w:trHeight w:val="27"/>
        </w:trPr>
        <w:tc>
          <w:tcPr>
            <w:tcW w:w="8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30.14</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34.19</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October 31, 2018</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35.98</w:t>
            </w:r>
          </w:p>
        </w:tc>
      </w:tr>
      <w:tr>
        <w:trPr>
          <w:trHeight w:val="20"/>
        </w:trPr>
        <w:tc>
          <w:tcPr>
            <w:tcW w:w="8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income by component as of October 31, 2018 (in thousands):</w:t>
      </w:r>
    </w:p>
    <w:p>
      <w:pPr>
        <w:spacing w:after="0" w:line="39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Pension and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Cumulative</w:t>
            </w:r>
          </w:p>
        </w:tc>
        <w:tc>
          <w:tcPr>
            <w:tcW w:w="1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Postretirement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Translation</w:t>
            </w:r>
          </w:p>
        </w:tc>
        <w:tc>
          <w:tcPr>
            <w:tcW w:w="1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Health Benefits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Adjustment</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(Loss) Income</w:t>
            </w: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(10,615)</w:t>
            </w: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w w:val="91"/>
              </w:rPr>
              <w:t>Other comprehensive loss before reclassifications, net of</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(a)</w:t>
            </w:r>
          </w:p>
        </w:tc>
        <w:tc>
          <w:tcPr>
            <w:tcW w:w="1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09"/>
        </w:trPr>
        <w:tc>
          <w:tcPr>
            <w:tcW w:w="4180" w:type="dxa"/>
            <w:vAlign w:val="bottom"/>
          </w:tcPr>
          <w:p>
            <w:pPr>
              <w:ind w:left="20"/>
              <w:spacing w:after="0"/>
              <w:rPr>
                <w:sz w:val="20"/>
                <w:szCs w:val="20"/>
                <w:color w:val="auto"/>
              </w:rPr>
            </w:pPr>
            <w:r>
              <w:rPr>
                <w:rFonts w:ascii="Arial" w:cs="Arial" w:eastAsia="Arial" w:hAnsi="Arial"/>
                <w:sz w:val="18"/>
                <w:szCs w:val="18"/>
                <w:color w:val="auto"/>
                <w:w w:val="95"/>
              </w:rPr>
              <w:t>Net current-period other comprehensive income (loss),</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(10,217)</w:t>
            </w:r>
          </w:p>
        </w:tc>
        <w:tc>
          <w:tcPr>
            <w:tcW w:w="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(10,512)</w:t>
            </w: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77"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is net of tax expense of $53,000. Amount is included in the components of net periodic benefit cost for the pension and postretirement health plans. See Note 6 of the Notes to unaudited Condensed Consolidated Financial Statements for further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used an estimated annual effective tax rate in determining our quarterly provision for income taxes, which is based on expected annual taxable income and the assessment of various tax deductions, including depletion. Certain significant or unusual items are</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separately recognized in the quarter in which they occur and can be a source of variability in the effective tax rates from quarter to quarter. Tax expense for the first quarter of fiscal year 2019 was reduced by $175,000 based on initial findings during an ongoing federal income tax return examination. Excluding this tax adjustment, the effective tax rate for the first quarter of fiscal year 2019 would have been 14%, compared to 21% for the same period of the prior year. The decrease in the effective tax rate for the current period was primarily due to the corporate income tax rate reduction resulting from enactment of the Tax Cuts and Job Act (the “2017 Tax Act”) during the fourth quarter of fiscal year 2018.</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2017 Tax Act included a number of changes to existing U.S. tax laws that impact us, most notably a reduction of the U.S. corporate statutory income tax rate from 35% to 21% effective January 1, 2018 and acceleration of depreciation for certain assets placed into service after September 27, 2017, as well as prospective changes, including repeal of the domestic manufacturing deduction and capitalization of research and development expenditures.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continued to obtain, prepare and analyze information necessary to finalize the accounting for the impacts of the 2017 Tax Act. As such, our financial results reflect provisional estimates of items for which the income tax effects of the 2017 Tax Act have not been completed as of October 31, 2018. Adjustments to the provisional charges will be recorded as discrete items in the provision for income taxes in the period in when those adjustments become reasonably estimable and/or the accounting is complete. We will complete our analysis no later than December 22,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One member of our Board of Directors is the President and Chief Executive Officer of a customer of ours. That customer was a customer of ours before the board member joined that customer and before he became a member of our Board of Directors. Total net sales to that customer, including sales to subsidiaries of that customer, were $97,000 and $86,000 for the first quarters of fiscal years 2019 and 2018, respectively. Outstanding accounts receivable from that customer, and its subsidiaries, were $60,000 and $14,000 as of October 31, 2018 and July 31, 2018,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member of our Board of Directors, and of the Compensation Committee of our Board of Directors, is the President and Chief Executive Officer as well as a director and shareholder of a law firm that regularly provides services to us. Total payments to that vendor for fees and cost reimbursements were $46,000 and $63,000 for the first quarters of fiscal years 2019 and 2018, respectively. Outstanding accounts payable to that vendor were $9,000 as of October 31, 2018. There were no outstanding accounts payable to that vendor as of July 31, 2018.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2018.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2018, which contained, among other risk factors, a description of the issues that may arise with the implementation of our new enterprise resource planning system which became operational on August 1,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unaudited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2018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Consolidated net sales for the three months ended October 31, 2018 were $66,143,000, compared to $66,646,000 for the three months ended October 31, 2017. Net sales were up for the Retail and Wholesale Products Group, but were down for the Business to Business Products Group.</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Consolidated gross profit for the three months ended October 31, 2018 was $16,010,000, which was 24.2% of net sales, compared to $18,975,000, which was 28.5% of net sales, for the first quarter of fiscal year 2018. Gross profit was negatively impacted by higher freight, packaging and non-fuel manufacturing costs, which were partially offset by lower natural gas costs. Freight costs per ton increased more than 20% over the same quarter of the prior fiscal year. A shortage of drivers and new regulations in the trucking industry resulted in less truck availability and higher freight rates. The truck shortage has shifted transportation demand to railroads, which are also facing capacity constraints. Furthermore, we incurred additional freight costs for an increased number of product transfers between our plants and warehouses to support customer service during the start up of our new enterprise resource planning (“ERP”) system on August 1, 2018, and during disruptions due to Hurricane Michael. Packaging costs per ton were approximately 13% higher compared to the first quarter of the prior fiscal year. Significant amounts of our packaging purchases are subject to contractual price adjustments throughout the year based on underlying commodity prices, including both resin and paper-based packaging. Non-fuel manufacturing costs per ton produced were up approximately 5%, including higher labor costs. In addition, our plants incurred some processing interruptions during the ERP system startup and one plant lost electricity for three days after Hurricane Michael. Conversely, the cost per manufactured ton for natural gas used to operate kilns that dry our clay was approximately 6% lower in the first quarter of fiscal year 2019 compared to the first quarter of fiscal year 2018.</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SG&amp;A expenses were approximately 2% higher for the first quarter of fiscal year 2019 compared to the first quarter of fiscal year 2018. The discussion below describes the SG&amp;A expenses allocated to the operating segments. The remaining unallocated corporate expenses in the first quarter of fiscal year 2019 were approximately 10% lower compared to the first quarter of the prior year. This decrease was due primarily to a lower estimated annual incentive bonus accrual, which was partially offset by higher costs related to the implementation of our new ERP system. The bonus accruals were based on performance targets established for each fiscal year.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A tax benefit of $50,000 was recorded for the first quarter of fiscal year 2019, compared to tax expense of $789,000 for the first quarter of fiscal year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10 of the Notes to unaudited Condensed Consolidated Financial Statements for further information about income taxes.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net income of $906,000 was reported for the first quarter of fiscal year 2019, a 70% decrease compared to net income of $3,050,000 for the first quarter of fiscal year 2018. The increased costs for freight, packaging, manufacturing and SG&amp;A described above drove the decline in net income. Diluted net earnings per share of $0.12 was reported for the first quarter of fiscal year 2019, compared to diluted net income per share of $0.41 for the first quarter of fiscal year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sales of the Business to Business Products Group for the first quarter of fiscal year 2019 were $25,326,000, a decrease of $1,761,000, or 7%, from net sales of $27,087,000 for the first quarter of fiscal year 2018. Net sales of fluids purification products were down approximately 6%. Price competition due to the strength of the U.S. Dollar in Brazil resulted in loss of sales to local suppliers. This decline was partially offset by higher domestic sales of fluids purification products due to the characteristics of recent crops that are processed to create edible oils. Net sales of our co-packaged coarse cat litter for the first quarter were down approximately 15% compared to the first quarter of the prior year. Net sales of our animal health and nutrition products were approximately 10% lower than the first quarter of the prior year. Sales of these products to Asia weakened due to a swine virus outbreak and sales to a distributor in Africa were down due to timing of orders. Net sales of agricultural and horticultural products were essentially flat.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expenses for the Business to Business Products Group were approximately 5% higher compared to the first quarter of fiscal year 2018, due primarily to increased costs to promote our animal health and nutrition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first quarter of fiscal year 2019 was $7,032,000, a decrease of $1,844,000, or 21%, from operating income of $8,876,000 in the first quarter of fiscal year 2018. Operating income declined as the result of lower sales and higher SG&amp;A expenses as discussed above, along with increased freight, packaging and manufacturing costs. See “Consolidated Results” above for further discussion of freight, packaging and manufacturing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sales of the Retail and Wholesale Products Group for the first quarter of fiscal year 2019 were $40,817,000, an increase of $1,258,000, or 3%, from net sales of $39,559,000 for the first quarter of fiscal year 2018. Total cat litter net sales were 5% higher compared to the first quarter of fiscal year 2018, driven by sales of private label lightweight and traditional scoopable litters. Sales of private label scoopable litters increased to existing customers and a new customer provided incremental sales. In addition, sales of private label coarse litter to our largest customer were up compared to the first quarter of the prior year. Both our branded scoopable and coarse litter sales also contributed to the overall sales increase, including more e-commerce sales of our lightweight litter. Net sales of industrial and automotive absorbent products were down slightly compared to the first quarter of fiscal year 2018.</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expenses for the Retail and Wholesale Products Group were approximately 22% higher compared to the first quarter of fiscal year 2018. The increase was driven by about $416,000 higher advertising expense, including spending for television and social media promotional integrations with a national talk show. We expect advertising expense for the full year of fiscal year 2019 to be similar to fiscal year 2018. SG&amp;A expense also included customer compliance fees for shipping and data communication problems during the start up of the ERP system.</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first quarter of fiscal year 2019, the Retail and Wholesale Products Group reported operating income of $9,000, a decrease of $2,356,000, compared to operating income of $2,365,000 for the first quarter of fiscal year 2018. The decrease in operating income was driven by increased freight, packaging and manufacturing costs, along with higher SG&amp;A expenses, as discussed above. These cost increases were partially offset by higher sales. See “Consolidated Results” above for further discussion of freight, packaging and manufacturing costs.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Foreign operations included our subsidiaries in Canada and the United Kingdom, which are reported in the Retail and Wholesale Products Group, and our subsidiaries in China and Mexico, which are reported in the Business to Business Products Group. Net sales by our foreign subsidiaries during the first quarter of fiscal year 2019 were $3,443,000, a 17% increase compared to net sales of $2,937,000 in the first quarter of fiscal year 2018. Our subsidiary in Mexico was acquired in the fourth quarter of fiscal year 2018 and provided small amount of incremental sales in the first quarter of fiscal 2019. Net sales were up slightly for fluids purification products sold by our subsidiary in the United Kingdom, due primarily to higher sales to a major customer. Net sales were also up for cat litter sold by our subsidiary in Canada, due primarily to increased distribution and promotion. Partially offsetting these increases were lower sales of animal health and nutrition products by our subsidiary in China. Our foreign subsidiaries' net sales represented approximately 5% and 4% of consolidated net sales during the first quarters of fiscal years 2019 and 2018, respectively.</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subsidiaries reported net income attributable to Oil-Dri of $236,000 for the first quarter of fiscal year 2019, compared to net income of $199,000 for the first quarter of fiscal year 2018. The improved profitability was driven by the increased sales discussed above, which was partially offset by unfavorable changes in foreign currency exchange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capital requirements include: funding working capital needs; purchasing and upgrading equipment, facilities, information systems and real estate; supporting new product development; investing in infrastructure; repurchasing stock; paying dividends; making pension contributions; and business acquisitions. During the first three months of fiscal year 2019, we principally used cash generated from operations to fund these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16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For the Three Months Ended October</w:t>
      </w:r>
    </w:p>
    <w:p>
      <w:pPr>
        <w:spacing w:after="0" w:line="2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22860</wp:posOffset>
            </wp:positionV>
            <wp:extent cx="1920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1,431</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three months of fiscal years 2019 and 2018 were as follows: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less allowance for doubtful accounts, increased $6,410,000 in the first three months of fiscal year 2019 compared to a decrease of $696,000 in the first three months of fiscal year 2018. The implementation of the new ERP system on August 1, 2018 resulted in delays in sending invoices to some customers, which had an adverse impact on our cash flow. The variation in accounts receivable balances also reflected differences in the level and timing of sales and collections, as well as the payment terms provided to various customers.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Inventory increased $2,933,000 in the first three months of fiscal year 2019 compared to an increase of $154,000 in the first three months of fiscal year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Finished goods, packaging and other raw materials inventories increased due to anticipated sales requirements and processing interruptions during the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ERP system implementation.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Prepaid expenses increased $1,196,000 in the first three months of fiscal year 2019 compared to an increase of $1,361,000 in the first three months of fiscal year 2018. Prepayments of annual insurance premiums contributed to the increase in both fiscal years. In addition, prepaid income taxes increased in the first three months of fiscal year 2019 and prepaid advertising expenses increased the first three months of fiscal year 2018.</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payable increased $7,290,000 in the first three months of fiscal year 2019 compared to a decrease of $825,000 in the first three months of fiscal year 2018. Higher costs for packaging and other operating expenses contributed to the increase in accounts payable at the end of the first quarter of fiscal year 2019. In addition, we carefully managed our cash flow during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first quarter due to transitional issues related to the new ERP system. Trade and freight payables varied in both periods due to the timing of payments, fluctuations in the cost of goods and services we purchased, production volume levels and vendor payment terms.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Accrued expenses decreased $1,780,000 in the first three months of fiscal year 2019 compared to a decrease of $3,275,000 in the first three months of fiscal year 2018. The payout of the prior fiscal year's discretionary incentive bonus drove lower accrued salaries in the first three months of both fiscal years. Furthermore, the accrual at the end of the first quarter of fiscal 2019 was significantly lower than as of the same period in the prior fiscal year. Accrued plant expenses also fluctuated due to timing of payments, changes in the cost of goods and services we purchased, production volume levels and vendor payment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provided by investing activities was $424,000 in the first three months of fiscal year 2019 compared to cash provided by investing activities of $1,431,000 in the first three months of fiscal year 2018. Purchases and dispositions of investment securities in both periods were impacted by variations in the timing of investment maturities, the operating cash needs of the Company and the availability of investment options. Cash used for capital expenditures was $4,058,000 and $4,045,000 in the first three months of fiscal years 2019 and 2018,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financing activities of $4,845,000 in the first three months of fiscal year 2019 was comparable to cash used in financing activities of $4,663,000 in the first three months of fiscal year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cash and investment balances held by our foreign subsidiaries of $1,984,000 as of October 31, 2018 were slightly lower than the October 31, 2017 balances of $2,051,000. See further discussion in “Foreign Operations” above.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 $25,000,000 unsecured revolving credit agreement with BMO Harris which expires on December 4, 2019. The agreement also provides for a maximum of $5,000,000 for foreign letters of credit. Under the agreement we may select a variable interest rate based on either the BMO Harris prime rate or a LIBOR-based rate, plus a margin that varies depending on our debt to earnings ratio, or a fixed rate as agreed between us and BMO Harris. As of October 31, 2018, the variable rates would have been 5.25% for the BMO Harris prime-based rate or 3.46%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October 31, 2018 and 2017 we were in compliance with the covenants. There were no borrowings during the first three months of either fiscal years 2019 or 2018.</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31, 2018, we had remaining authority to repurchase 296,277 shares of Common Stock under a repurchase plan approved by our Board of Directors (the “Board”). In addition, on March 21, 2018, the Board authorized the repurchase of 300,000 shares of Class B Stock; however, there have been no repurchases of Class B Stock. Repurchases may be made on the open market (pursuant to Rule 10b5-1 plans or otherwise) or in negotiated transactions. The timing and number of shares repurchased will be determined by our management.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plan to continue promoting our lightweight cat litter products and we expect advertising expense in fiscal year 2019 to similar to fiscal year 2018. We also anticipate that our capital expenditures for the full fiscal year 2019 will be higher than in fiscal year 2018 due to planned spending at our manufacturing facilities. </w:t>
      </w:r>
      <w:r>
        <w:rPr>
          <w:rFonts w:ascii="Arial" w:cs="Arial" w:eastAsia="Arial" w:hAnsi="Arial"/>
          <w:sz w:val="18"/>
          <w:szCs w:val="18"/>
          <w:color w:val="222222"/>
        </w:rPr>
        <w:t>We do not believe that these increased cash</w:t>
      </w:r>
      <w:r>
        <w:rPr>
          <w:rFonts w:ascii="Arial" w:cs="Arial" w:eastAsia="Arial" w:hAnsi="Arial"/>
          <w:sz w:val="18"/>
          <w:szCs w:val="18"/>
          <w:color w:val="auto"/>
        </w:rPr>
        <w:t xml:space="preserve"> </w:t>
      </w:r>
      <w:r>
        <w:rPr>
          <w:rFonts w:ascii="Arial" w:cs="Arial" w:eastAsia="Arial" w:hAnsi="Arial"/>
          <w:sz w:val="18"/>
          <w:szCs w:val="18"/>
          <w:color w:val="222222"/>
        </w:rPr>
        <w:t>outflows will dramatically impact our cash position; however our cash requirements are subject to change as business conditions warrant and opportunities arise.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engaged in a multi-year implementation of a new ERP system designed to upgrade our technology and improve our financial and operational information. While the Company believes that this new system and related changes to internal controls will ultimately strengthen its internal control over financial reporting, there are inherent risks in implementing a new ERP system. The Company has appropriately considered these changes in its design of and testing for effectiveness of internal controls over financial reporting and concluded, as part of the evaluation described in the above paragraph, that the implementation of the new ERP in these circumstances has not materially changed the effectiveness of its internal control over financial reporting.</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other than those described herein, in our internal control over financial reporting (as defined in Rule 13a-15(f) under the Exchange Act) that occurred during the fiscal quarter ended October 31, 2018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9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1A,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lawsuits, we believe that none of the pending proceedings will have a material adverse effect on our business, financial condition, results of operations or cash flows; however, some proceedings, particularly the matters described below, could have a more significant impact than others.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3, 2015, we brought suit in the United States District Court for the Northern District of Illinois, Eastern Division, against Nestlé Purina PetCare Company (“Nestlé”) seeking monetary damages and injunctive relief based on Nestlé’s alleged infringement of a patent held by us. The case was stayed for approximately two years, pending the Inter Partes Review (“IPR”) discussed immediately below; the stay was lifted in March 2017, and fact discovery is now complete in the case, and expert discovery is currently proceeding. The Court provided the parties with a claim construction decision on September 5, 2018, and has set a March 18, 2019 trial date.</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14, 2015, Nestlé filed a petition for the IPR with the Patent Trial and Appeal Board (“PTAB”) of the United States Patent and Trademark Office to challenge certain of the claims in our patent. The PTAB agreed to consider Nestlé’s petition, but on June 20, 2016, issued an order stating that Nestlé had not shown by a preponderance of the evidence that any of the challenged claims in our patent are unpatentable. In July 2016, Nestlé filed a motion for reconsideration of the PTAB’s decision, which was denied in February 2017. Nestlé timely filed an appeal of the PTAB’s decision to the U.S. Court of Appeals for the Federal Circuit. In November 2017, Nestlé filed a motion in that Court to remand the case to the PTAB for consideration of additional evidence that it claims should have been provided to the PTAB. On June 11, 2018, the Federal Circuit remanded the case back to the Board based on the agreement of the parties to consider an expanded record, as well as for the Board to consider the previously non-instituted grounds set forth in Nestle’s IPR Petition. Briefing concerning these issues has now been completed, and the parties are awaiting a final decision in the IPR from the Board.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nature and current legal standing of the litigation with Nestlé, we cannot estimate the possible damages, if any, and the total expense associated with the lawsuits. Although no assurances can be given as to the results of the lawsuits, based on the present status, management does not believe that such results will have a material adverse effect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three months ended October 31, 2018, we did not sell any securities which were not registered under the Securities Act of 1933. The following chart summarizes our Common Stock purchases during this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2"/>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Total Number of Shares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Purchased as Part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that may yet be</w:t>
            </w:r>
          </w:p>
        </w:tc>
      </w:tr>
      <w:tr>
        <w:trPr>
          <w:trHeight w:val="216"/>
        </w:trPr>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Total Number of Shares</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Publicly Announced Plans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Plans or</w:t>
            </w:r>
          </w:p>
        </w:tc>
      </w:tr>
      <w:tr>
        <w:trPr>
          <w:trHeight w:val="261"/>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2"/>
              </w:rPr>
              <w:t>Ended October 31, 2018</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2</w:t>
            </w:r>
          </w:p>
        </w:tc>
      </w:tr>
      <w:tr>
        <w:trPr>
          <w:trHeight w:val="222"/>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August 1, 2018 to August</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7"/>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31, 2018</w:t>
            </w: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300,822</w:t>
            </w:r>
          </w:p>
        </w:tc>
      </w:tr>
      <w:tr>
        <w:trPr>
          <w:trHeight w:val="229"/>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September 1, 2018 to</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September 30, 2018</w:t>
            </w: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300,822</w:t>
            </w: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2018 to</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31, 2018</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4,545</w:t>
            </w:r>
          </w:p>
        </w:tc>
        <w:tc>
          <w:tcPr>
            <w:tcW w:w="24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$29.79</w:t>
            </w:r>
          </w:p>
        </w:tc>
        <w:tc>
          <w:tcPr>
            <w:tcW w:w="2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296,277</w:t>
            </w:r>
          </w:p>
        </w:tc>
      </w:tr>
      <w:tr>
        <w:trPr>
          <w:trHeight w:val="27"/>
        </w:trPr>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26" w:lineRule="auto"/>
        <w:tabs>
          <w:tab w:leader="none" w:pos="143"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table summarizes repurchases of (and remaining authority to repurchase) shares of our Common Stock. Our Board of Directors authorized the repurchase of 300,000 shares of Class B Stock on March 12, 2018, however there have been no repurchases of Class B Stock as of October 31, 2018, and the authorized Class B Stock is not included in the table above. No shares of our Class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spacing w:after="0" w:line="308" w:lineRule="auto"/>
        <w:rPr>
          <w:sz w:val="20"/>
          <w:szCs w:val="20"/>
          <w:color w:val="auto"/>
        </w:rPr>
      </w:pPr>
      <w:r>
        <w:rPr>
          <w:rFonts w:ascii="Arial" w:cs="Arial" w:eastAsia="Arial" w:hAnsi="Arial"/>
          <w:sz w:val="17"/>
          <w:szCs w:val="17"/>
          <w:color w:val="auto"/>
        </w:rPr>
        <w:t>A Common Stock are currently outstanding. Descriptions of our Common Stock, Class B Stock and Class A Common Stock are contained in the Notes to the Consolidated Financial Statements included in our Annual Report on Form 10-K for the fiscal year ended July 31, 2018 filed with the SEC.</w:t>
      </w:r>
    </w:p>
    <w:p>
      <w:pPr>
        <w:spacing w:after="0" w:line="147" w:lineRule="exact"/>
        <w:rPr>
          <w:sz w:val="20"/>
          <w:szCs w:val="20"/>
          <w:color w:val="auto"/>
        </w:rPr>
      </w:pPr>
    </w:p>
    <w:p>
      <w:pPr>
        <w:jc w:val="both"/>
        <w:ind w:firstLine="8"/>
        <w:spacing w:after="0" w:line="226" w:lineRule="auto"/>
        <w:tabs>
          <w:tab w:leader="none" w:pos="128"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Our Board of Directors authorized repurchases of 250,000 shares of Common Stock on March 11, 2011 and authorized the repurchase of an additional 250,000 shares on June 14, 2012. These authorizations do not have a stated expiration date. The share numbers in this column indicate the number of shares of Common Stock that may yet be repurchased under these authorizations.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160" w:type="dxa"/>
            <w:vAlign w:val="bottom"/>
            <w:gridSpan w:val="5"/>
          </w:tcPr>
          <w:p>
            <w:pPr>
              <w:ind w:left="1200"/>
              <w:spacing w:after="0"/>
              <w:rPr>
                <w:sz w:val="20"/>
                <w:szCs w:val="20"/>
                <w:color w:val="auto"/>
              </w:rPr>
            </w:pPr>
            <w:r>
              <w:rPr>
                <w:rFonts w:ascii="Arial" w:cs="Arial" w:eastAsia="Arial" w:hAnsi="Arial"/>
                <w:sz w:val="18"/>
                <w:szCs w:val="18"/>
                <w:color w:val="auto"/>
              </w:rPr>
              <w:t>Description</w:t>
            </w:r>
          </w:p>
        </w:tc>
        <w:tc>
          <w:tcPr>
            <w:tcW w:w="3300" w:type="dxa"/>
            <w:vAlign w:val="bottom"/>
          </w:tcPr>
          <w:p>
            <w:pPr>
              <w:ind w:left="70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466"/>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Statement re: Computation of Earnings per Share.</w:t>
              </w:r>
            </w:hyperlink>
          </w:p>
        </w:tc>
        <w:tc>
          <w:tcPr>
            <w:tcW w:w="3340" w:type="dxa"/>
            <w:vAlign w:val="bottom"/>
            <w:gridSpan w:val="3"/>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Certifications pursuant to Rule 13a–14(a).</w:t>
              </w:r>
            </w:hyperlink>
          </w:p>
        </w:tc>
        <w:tc>
          <w:tcPr>
            <w:tcW w:w="3900" w:type="dxa"/>
            <w:vAlign w:val="bottom"/>
            <w:gridSpan w:val="4"/>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gridSpan w:val="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Certifications pursuant to Section 1350 of the Sarbanes-Oxley Act of 2002</w:t>
              </w:r>
            </w:hyperlink>
            <w:r>
              <w:rPr>
                <w:rFonts w:ascii="Arial" w:cs="Arial" w:eastAsia="Arial" w:hAnsi="Arial"/>
                <w:sz w:val="18"/>
                <w:szCs w:val="18"/>
                <w:color w:val="000000"/>
              </w:rPr>
              <w:t>.</w:t>
            </w:r>
          </w:p>
        </w:tc>
        <w:tc>
          <w:tcPr>
            <w:tcW w:w="330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2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178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Mine Safety Disclosures</w:t>
              </w:r>
            </w:hyperlink>
          </w:p>
        </w:tc>
        <w:tc>
          <w:tcPr>
            <w:tcW w:w="3600" w:type="dxa"/>
            <w:vAlign w:val="bottom"/>
            <w:tcBorders>
              <w:top w:val="single" w:sz="8" w:color="0000FF"/>
            </w:tcBorders>
            <w:gridSpan w:val="3"/>
          </w:tcPr>
          <w:p>
            <w:pPr>
              <w:spacing w:after="0"/>
              <w:rPr>
                <w:sz w:val="24"/>
                <w:szCs w:val="24"/>
                <w:color w:val="auto"/>
              </w:rPr>
            </w:pPr>
          </w:p>
        </w:tc>
        <w:tc>
          <w:tcPr>
            <w:tcW w:w="1560" w:type="dxa"/>
            <w:vAlign w:val="bottom"/>
            <w:gridSpan w:val="2"/>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41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Instance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bl>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7, 2018</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320"/>
          </w:cols>
          <w:pgMar w:left="580" w:top="584" w:right="99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1620" w:hanging="516"/>
        <w:spacing w:after="0"/>
        <w:tabs>
          <w:tab w:leader="none" w:pos="1620" w:val="left"/>
        </w:tabs>
        <w:numPr>
          <w:ilvl w:val="0"/>
          <w:numId w:val="7"/>
        </w:numPr>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Statement re: Computation of Earnings per Share.</w:t>
        </w:r>
      </w:hyperlink>
    </w:p>
    <w:p>
      <w:pPr>
        <w:spacing w:after="0" w:line="333" w:lineRule="exact"/>
        <w:rPr>
          <w:rFonts w:ascii="Arial" w:cs="Arial" w:eastAsia="Arial" w:hAnsi="Arial"/>
          <w:sz w:val="18"/>
          <w:szCs w:val="18"/>
          <w:u w:val="single" w:color="auto"/>
          <w:color w:val="0000FF"/>
        </w:rPr>
      </w:pPr>
    </w:p>
    <w:p>
      <w:pPr>
        <w:ind w:left="1620" w:hanging="522"/>
        <w:spacing w:after="0"/>
        <w:tabs>
          <w:tab w:leader="none" w:pos="1620" w:val="left"/>
        </w:tabs>
        <w:numPr>
          <w:ilvl w:val="0"/>
          <w:numId w:val="8"/>
        </w:numPr>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Certifications pursuant to Rule 13a–14(a).</w:t>
        </w:r>
      </w:hyperlink>
    </w:p>
    <w:p>
      <w:pPr>
        <w:spacing w:after="0" w:line="333" w:lineRule="exact"/>
        <w:rPr>
          <w:rFonts w:ascii="Arial" w:cs="Arial" w:eastAsia="Arial" w:hAnsi="Arial"/>
          <w:sz w:val="18"/>
          <w:szCs w:val="18"/>
          <w:u w:val="single" w:color="auto"/>
          <w:color w:val="0000FF"/>
        </w:rPr>
      </w:pPr>
    </w:p>
    <w:p>
      <w:pPr>
        <w:ind w:left="1620" w:hanging="522"/>
        <w:spacing w:after="0"/>
        <w:tabs>
          <w:tab w:leader="none" w:pos="1620" w:val="left"/>
        </w:tabs>
        <w:numPr>
          <w:ilvl w:val="0"/>
          <w:numId w:val="8"/>
        </w:numPr>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Certifications pursuant to Section 1350 of the Sarbanes-Oxley Act of 2002.</w:t>
        </w:r>
      </w:hyperlink>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9"/>
        </w:numPr>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Mine Safety Disclosures</w:t>
        </w:r>
      </w:hyperlink>
    </w:p>
    <w:p>
      <w:pPr>
        <w:spacing w:after="0" w:line="185" w:lineRule="exact"/>
        <w:rPr>
          <w:rFonts w:ascii="Arial" w:cs="Arial" w:eastAsia="Arial" w:hAnsi="Arial"/>
          <w:sz w:val="18"/>
          <w:szCs w:val="18"/>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rFonts w:ascii="Arial" w:cs="Arial" w:eastAsia="Arial" w:hAnsi="Arial"/>
          <w:sz w:val="18"/>
          <w:szCs w:val="18"/>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left="1960" w:right="3119"/>
        <w:spacing w:after="0" w:line="261" w:lineRule="auto"/>
        <w:rPr>
          <w:sz w:val="20"/>
          <w:szCs w:val="20"/>
          <w:color w:val="auto"/>
        </w:rPr>
      </w:pPr>
      <w:r>
        <w:rPr>
          <w:rFonts w:ascii="Arial" w:cs="Arial" w:eastAsia="Arial" w:hAnsi="Arial"/>
          <w:sz w:val="18"/>
          <w:szCs w:val="18"/>
          <w:b w:val="1"/>
          <w:bCs w:val="1"/>
          <w:color w:val="auto"/>
        </w:rPr>
        <w:t>OIL-DRI CORPORATION OF AMERICA AND SUBSIDIARIES Computation of Earnings Per Share</w:t>
      </w: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22860</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8"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20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2"/>
              </w:rPr>
              <w:t>Less: Distributed and undistributed earnings allocated</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to non-vested restricted stock</w:t>
            </w: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2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Shares Calculation</w:t>
            </w:r>
          </w:p>
        </w:tc>
        <w:tc>
          <w:tcPr>
            <w:tcW w:w="1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5,076</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2"/>
              </w:rPr>
              <w:t>Average shares outstanding - Basic Class B Common</w:t>
            </w: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2,069</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Potential Common Stock relating to stock options and</w:t>
            </w: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w:t>
            </w:r>
          </w:p>
        </w:tc>
        <w:tc>
          <w:tcPr>
            <w:tcW w:w="17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vMerge w:val="continue"/>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176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7,243</w:t>
            </w: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Common</w:t>
            </w:r>
          </w:p>
        </w:tc>
        <w:tc>
          <w:tcPr>
            <w:tcW w:w="1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Class B Common</w:t>
            </w:r>
          </w:p>
        </w:tc>
        <w:tc>
          <w:tcPr>
            <w:tcW w:w="17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Common</w:t>
            </w:r>
          </w:p>
        </w:tc>
        <w:tc>
          <w:tcPr>
            <w:tcW w:w="2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0" w:right="1440"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tcPr>
          <w:p>
            <w:pPr>
              <w:ind w:left="20"/>
              <w:spacing w:after="0"/>
              <w:rPr>
                <w:sz w:val="20"/>
                <w:szCs w:val="20"/>
                <w:color w:val="auto"/>
              </w:rPr>
            </w:pPr>
            <w:r>
              <w:rPr>
                <w:rFonts w:ascii="Arial" w:cs="Arial" w:eastAsia="Arial" w:hAnsi="Arial"/>
                <w:sz w:val="18"/>
                <w:szCs w:val="18"/>
                <w:color w:val="auto"/>
              </w:rPr>
              <w:t>December 7, 2018</w:t>
            </w:r>
          </w:p>
        </w:tc>
      </w:tr>
      <w:tr>
        <w:trPr>
          <w:trHeight w:val="27"/>
        </w:trPr>
        <w:tc>
          <w:tcPr>
            <w:tcW w:w="9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December 7, 2018</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2018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December 7,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Chairman,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2018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December 7,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October 31, 2018.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256</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2,310</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3"/>
              </w:rPr>
              <w:t>2,305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October 31, 2018.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decimal"/>
      <w:start w:val="11"/>
    </w:lvl>
  </w:abstractNum>
  <w:abstractNum w:abstractNumId="7">
    <w:nsid w:val="12200854"/>
    <w:multiLevelType w:val="hybridMultilevel"/>
    <w:lvl w:ilvl="0">
      <w:lvlJc w:val="left"/>
      <w:lvlText w:val="%1"/>
      <w:numFmt w:val="decimal"/>
      <w:start w:val="31"/>
    </w:lvl>
  </w:abstractNum>
  <w:abstractNum w:abstractNumId="8">
    <w:nsid w:val="4DB127F8"/>
    <w:multiLevelType w:val="hybridMultilevel"/>
    <w:lvl w:ilvl="0">
      <w:lvlJc w:val="left"/>
      <w:lvlText w:val="%1"/>
      <w:numFmt w:val="decimal"/>
      <w:start w:val="95"/>
    </w:lvl>
  </w:abstractNum>
  <w:abstractNum w:abstractNumId="9">
    <w:nsid w:val="216231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0">
    <w:nsid w:val="1F16E9E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2020-02-18T23:33:49Z</dcterms:created>
  <dcterms:modified xsi:type="dcterms:W3CDTF">2020-02-18T23:33:49Z</dcterms:modified>
</cp:coreProperties>
</file>