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r>
        <w:rPr/>
      </w:r>
      <w:bookmarkStart w:id="0" w:name="v214464_8k.htm"/>
      <w:bookmarkStart w:id="1" w:name="ksv214464_8k"/>
      <w:bookmarkStart w:id="2" w:name="v214464_8k.htm"/>
      <w:bookmarkStart w:id="3" w:name="ksv214464_8k"/>
      <w:bookmarkEnd w:id="2"/>
      <w:bookmarkEnd w:id="3"/>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478"/>
        <w:gridCol w:w="4727"/>
      </w:tblGrid>
      <w:tr>
        <w:trPr/>
        <w:tc>
          <w:tcPr>
            <w:tcW w:w="547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of Report (Date of earliest event reported)</w:t>
            </w:r>
          </w:p>
        </w:tc>
        <w:tc>
          <w:tcPr>
            <w:tcW w:w="4727"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March 11, 2011</w:t>
            </w:r>
          </w:p>
        </w:tc>
      </w:tr>
      <w:tr>
        <w:trPr/>
        <w:tc>
          <w:tcPr>
            <w:tcW w:w="10205" w:type="dxa"/>
            <w:gridSpan w:val="2"/>
            <w:tcBorders/>
            <w:shd w:fill="auto" w:val="clear"/>
          </w:tcPr>
          <w:p>
            <w:pPr>
              <w:pStyle w:val="TableContents"/>
              <w:spacing w:before="0" w:after="283"/>
              <w:rPr/>
            </w:pPr>
            <w:r>
              <w:rPr/>
              <w:t xml:space="preserve">  </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Oil-Dri Corporation of America</w:t>
            </w:r>
          </w:p>
        </w:tc>
      </w:tr>
      <w:tr>
        <w:trPr/>
        <w:tc>
          <w:tcPr>
            <w:tcW w:w="1020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ableContents"/>
              <w:spacing w:before="0" w:after="0"/>
              <w:ind w:left="0" w:right="0" w:hanging="0"/>
              <w:rPr/>
            </w:pPr>
            <w:r>
              <w:rPr/>
              <w:t> </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3654"/>
        <w:gridCol w:w="881"/>
        <w:gridCol w:w="2521"/>
        <w:gridCol w:w="881"/>
        <w:gridCol w:w="2268"/>
      </w:tblGrid>
      <w:tr>
        <w:trPr/>
        <w:tc>
          <w:tcPr>
            <w:tcW w:w="3654"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Delaware</w:t>
            </w:r>
          </w:p>
        </w:tc>
        <w:tc>
          <w:tcPr>
            <w:tcW w:w="881" w:type="dxa"/>
            <w:tcBorders>
              <w:bottom w:val="single" w:sz="12" w:space="0" w:color="000000"/>
            </w:tcBorders>
            <w:shd w:fill="auto" w:val="clear"/>
          </w:tcPr>
          <w:p>
            <w:pPr>
              <w:pStyle w:val="TableContents"/>
              <w:spacing w:before="0" w:after="283"/>
              <w:rPr/>
            </w:pPr>
            <w:r>
              <w:rPr/>
              <w:t xml:space="preserve">  </w:t>
            </w:r>
          </w:p>
        </w:tc>
        <w:tc>
          <w:tcPr>
            <w:tcW w:w="2521"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001-12622</w:t>
            </w:r>
          </w:p>
        </w:tc>
        <w:tc>
          <w:tcPr>
            <w:tcW w:w="881" w:type="dxa"/>
            <w:tcBorders>
              <w:bottom w:val="single" w:sz="12" w:space="0" w:color="000000"/>
            </w:tcBorders>
            <w:shd w:fill="auto" w:val="clear"/>
          </w:tcPr>
          <w:p>
            <w:pPr>
              <w:pStyle w:val="TableContents"/>
              <w:spacing w:before="0" w:after="283"/>
              <w:rPr/>
            </w:pPr>
            <w:r>
              <w:rPr/>
              <w:t xml:space="preserve">  </w:t>
            </w:r>
          </w:p>
        </w:tc>
        <w:tc>
          <w:tcPr>
            <w:tcW w:w="2268"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36-2048898</w:t>
            </w:r>
          </w:p>
        </w:tc>
      </w:tr>
      <w:tr>
        <w:trPr/>
        <w:tc>
          <w:tcPr>
            <w:tcW w:w="3654"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 incorporation)</w:t>
            </w:r>
          </w:p>
        </w:tc>
        <w:tc>
          <w:tcPr>
            <w:tcW w:w="881" w:type="dxa"/>
            <w:tcBorders/>
            <w:shd w:fill="auto" w:val="clear"/>
            <w:tcMar>
              <w:bottom w:w="0" w:type="dxa"/>
            </w:tcMar>
          </w:tcPr>
          <w:p>
            <w:pPr>
              <w:pStyle w:val="TableContents"/>
              <w:spacing w:before="0" w:after="283"/>
              <w:rPr/>
            </w:pPr>
            <w:r>
              <w:rPr/>
              <w:t xml:space="preserve">  </w:t>
            </w:r>
          </w:p>
        </w:tc>
        <w:tc>
          <w:tcPr>
            <w:tcW w:w="2521"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(Commission File Number)</w:t>
            </w:r>
          </w:p>
        </w:tc>
        <w:tc>
          <w:tcPr>
            <w:tcW w:w="881" w:type="dxa"/>
            <w:tcBorders/>
            <w:shd w:fill="auto" w:val="clear"/>
            <w:tcMar>
              <w:bottom w:w="0" w:type="dxa"/>
            </w:tcMar>
          </w:tcPr>
          <w:p>
            <w:pPr>
              <w:pStyle w:val="TableContents"/>
              <w:spacing w:before="0" w:after="283"/>
              <w:rPr/>
            </w:pPr>
            <w:r>
              <w:rPr/>
              <w:t xml:space="preserve">  </w:t>
            </w:r>
          </w:p>
        </w:tc>
        <w:tc>
          <w:tcPr>
            <w:tcW w:w="2268"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5163"/>
        <w:gridCol w:w="5042"/>
      </w:tblGrid>
      <w:tr>
        <w:trPr/>
        <w:tc>
          <w:tcPr>
            <w:tcW w:w="5163"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410 North Michigan Avenue</w:t>
            </w:r>
          </w:p>
          <w:p>
            <w:pPr>
              <w:pStyle w:val="TableContents"/>
              <w:spacing w:before="0" w:after="0"/>
              <w:ind w:left="0" w:right="0" w:hanging="0"/>
              <w:jc w:val="center"/>
              <w:rPr>
                <w:rFonts w:ascii="times new roman" w:hAnsi="times new roman"/>
                <w:b/>
                <w:sz w:val="20"/>
              </w:rPr>
            </w:pPr>
            <w:r>
              <w:rPr>
                <w:rFonts w:ascii="times new roman" w:hAnsi="times new roman"/>
                <w:b/>
                <w:sz w:val="20"/>
              </w:rPr>
              <w:t>Suite 400</w:t>
            </w:r>
          </w:p>
          <w:p>
            <w:pPr>
              <w:pStyle w:val="TableContents"/>
              <w:spacing w:before="0" w:after="0"/>
              <w:ind w:left="0" w:right="0" w:hanging="0"/>
              <w:jc w:val="center"/>
              <w:rPr>
                <w:rFonts w:ascii="times new roman" w:hAnsi="times new roman"/>
                <w:b/>
                <w:sz w:val="20"/>
              </w:rPr>
            </w:pPr>
            <w:r>
              <w:rPr>
                <w:rFonts w:ascii="times new roman" w:hAnsi="times new roman"/>
                <w:b/>
                <w:sz w:val="20"/>
              </w:rPr>
              <w:t>Chicago, Illinois</w:t>
            </w:r>
          </w:p>
        </w:tc>
        <w:tc>
          <w:tcPr>
            <w:tcW w:w="5042" w:type="dxa"/>
            <w:tcBorders>
              <w:bottom w:val="single" w:sz="12" w:space="0" w:color="000000"/>
            </w:tcBorders>
            <w:shd w:fill="auto" w:val="clear"/>
          </w:tcPr>
          <w:p>
            <w:pPr>
              <w:pStyle w:val="TableContents"/>
              <w:spacing w:before="0" w:after="0"/>
              <w:ind w:left="0" w:right="0" w:hanging="0"/>
              <w:jc w:val="right"/>
              <w:rPr/>
            </w:pPr>
            <w:r>
              <w:rPr/>
              <w:t> </w:t>
            </w:r>
          </w:p>
          <w:p>
            <w:pPr>
              <w:pStyle w:val="TableContents"/>
              <w:spacing w:before="0" w:after="0"/>
              <w:ind w:left="0" w:right="0" w:hanging="0"/>
              <w:jc w:val="right"/>
              <w:rPr/>
            </w:pPr>
            <w:r>
              <w:rPr/>
              <w:t> </w:t>
            </w:r>
          </w:p>
          <w:p>
            <w:pPr>
              <w:pStyle w:val="TableContents"/>
              <w:spacing w:before="0" w:after="0"/>
              <w:ind w:left="0" w:right="0" w:hanging="0"/>
              <w:jc w:val="right"/>
              <w:rPr>
                <w:rFonts w:ascii="times new roman" w:hAnsi="times new roman"/>
                <w:b/>
                <w:sz w:val="20"/>
              </w:rPr>
            </w:pPr>
            <w:r>
              <w:rPr>
                <w:rFonts w:ascii="times new roman" w:hAnsi="times new roman"/>
                <w:b/>
                <w:sz w:val="20"/>
              </w:rPr>
              <w:t>60611-4213</w:t>
            </w:r>
          </w:p>
        </w:tc>
      </w:tr>
      <w:tr>
        <w:trPr/>
        <w:tc>
          <w:tcPr>
            <w:tcW w:w="5163"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5042" w:type="dxa"/>
            <w:tcBorders/>
            <w:shd w:fill="auto"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(Zip Code)</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476"/>
        <w:gridCol w:w="4729"/>
      </w:tblGrid>
      <w:tr>
        <w:trPr/>
        <w:tc>
          <w:tcPr>
            <w:tcW w:w="547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Registrant’s telephone number, including area code</w:t>
            </w:r>
          </w:p>
        </w:tc>
        <w:tc>
          <w:tcPr>
            <w:tcW w:w="4729"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(312) 321-1515</w:t>
            </w:r>
          </w:p>
        </w:tc>
      </w:tr>
      <w:tr>
        <w:trPr/>
        <w:tc>
          <w:tcPr>
            <w:tcW w:w="10205" w:type="dxa"/>
            <w:gridSpan w:val="2"/>
            <w:tcBorders/>
            <w:shd w:fill="auto" w:val="clear"/>
          </w:tcPr>
          <w:p>
            <w:pPr>
              <w:pStyle w:val="TableContents"/>
              <w:spacing w:before="0" w:after="283"/>
              <w:rPr/>
            </w:pPr>
            <w:r>
              <w:rPr/>
              <w:t xml:space="preserve">  </w:t>
            </w:r>
          </w:p>
        </w:tc>
      </w:tr>
      <w:tr>
        <w:trPr/>
        <w:tc>
          <w:tcPr>
            <w:tcW w:w="10205" w:type="dxa"/>
            <w:gridSpan w:val="2"/>
            <w:tcBorders>
              <w:bottom w:val="single" w:sz="12" w:space="0" w:color="000000"/>
            </w:tcBorders>
            <w:shd w:fill="auto" w:val="clear"/>
            <w:tcMar>
              <w:bottom w:w="28" w:type="dxa"/>
            </w:tcMar>
          </w:tcPr>
          <w:p>
            <w:pPr>
              <w:pStyle w:val="TableContents"/>
              <w:spacing w:before="0" w:after="283"/>
              <w:rPr/>
            </w:pPr>
            <w:r>
              <w:rPr/>
              <w:t xml:space="preserve">  </w:t>
            </w:r>
          </w:p>
        </w:tc>
      </w:tr>
      <w:tr>
        <w:trPr/>
        <w:tc>
          <w:tcPr>
            <w:tcW w:w="10205" w:type="dxa"/>
            <w:gridSpan w:val="2"/>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p>
            <w:pPr>
              <w:pStyle w:val="TableContents"/>
              <w:spacing w:before="0" w:after="0"/>
              <w:ind w:left="0" w:right="0" w:hanging="0"/>
              <w:rPr/>
            </w:pPr>
            <w:r>
              <w:rPr/>
              <w:t> </w:t>
            </w:r>
          </w:p>
        </w:tc>
      </w:tr>
    </w:tbl>
    <w:p>
      <w:pPr>
        <w:pStyle w:val="TextBody"/>
        <w:spacing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Wingdings" w:hAnsi="Wingdings"/>
          <w:sz w:val="20"/>
        </w:rPr>
        <w:t>o</w:t>
      </w:r>
      <w:r>
        <w:rPr>
          <w:rFonts w:ascii="Times New Roman" w:hAnsi="Times New Roman"/>
          <w:sz w:val="20"/>
        </w:rPr>
        <w:t>  Written communications pursuant to Rule 425 under the Securities Act (17 CFR 230.425)</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Wingdings" w:hAnsi="Wingdings"/>
          <w:sz w:val="20"/>
        </w:rPr>
        <w:t>o</w:t>
      </w:r>
      <w:r>
        <w:rPr>
          <w:rFonts w:ascii="Times New Roman" w:hAnsi="Times New Roman"/>
          <w:sz w:val="20"/>
        </w:rPr>
        <w:t>  Soliciting material pursuant to Rule 14a-12 under the Exchange Act (17 CFR 240.14a-12)</w:t>
      </w:r>
    </w:p>
    <w:p>
      <w:pPr>
        <w:pStyle w:val="TextBody"/>
        <w:spacing w:before="0" w:after="0"/>
        <w:ind w:left="0" w:right="0" w:hanging="0"/>
        <w:rPr/>
      </w:pPr>
      <w:r>
        <w:rPr/>
      </w:r>
    </w:p>
    <w:p>
      <w:pPr>
        <w:pStyle w:val="TextBody"/>
        <w:spacing w:before="0" w:after="0"/>
        <w:ind w:left="0" w:right="0" w:hanging="0"/>
        <w:jc w:val="both"/>
        <w:rPr/>
      </w:pPr>
      <w:r>
        <w:rPr>
          <w:rFonts w:ascii="Wingdings" w:hAnsi="Wingdings"/>
          <w:sz w:val="20"/>
        </w:rPr>
        <w:t>o</w:t>
      </w:r>
      <w:r>
        <w:rPr>
          <w:rFonts w:ascii="Times New Roman" w:hAnsi="Times New Roman"/>
          <w:sz w:val="20"/>
        </w:rPr>
        <w:t>  Pre-commencement communications pursuant to Rule 14d-2(b) under the Exchange Act (17 CFR 240.14d-2(b))</w:t>
      </w:r>
    </w:p>
    <w:p>
      <w:pPr>
        <w:pStyle w:val="TextBody"/>
        <w:spacing w:before="0" w:after="0"/>
        <w:ind w:left="0" w:right="0" w:hanging="0"/>
        <w:rPr/>
      </w:pPr>
      <w:r>
        <w:rPr/>
      </w:r>
    </w:p>
    <w:p>
      <w:pPr>
        <w:pStyle w:val="TextBody"/>
        <w:spacing w:before="0" w:after="0"/>
        <w:ind w:left="0" w:right="0" w:hanging="0"/>
        <w:jc w:val="both"/>
        <w:rPr/>
      </w:pPr>
      <w:r>
        <w:rPr>
          <w:rFonts w:ascii="Wingdings" w:hAnsi="Wingdings"/>
          <w:sz w:val="20"/>
        </w:rPr>
        <w:t>o</w:t>
      </w:r>
      <w:r>
        <w:rPr>
          <w:rFonts w:ascii="Times New Roman" w:hAnsi="Times New Roman"/>
          <w:sz w:val="20"/>
        </w:rPr>
        <w:t>  Pre-commencement communications pursuant to Rule 13e-4(c) under the Exchange Act (17 CFR 240.13e-4(c))</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4" w:name="hangingindent"/>
      <w:bookmarkStart w:id="5" w:name="hangingindent"/>
      <w:bookmarkEnd w:id="5"/>
    </w:p>
    <w:tbl>
      <w:tblPr>
        <w:tblW w:w="5000" w:type="pct"/>
        <w:jc w:val="center"/>
        <w:tblInd w:w="0" w:type="dxa"/>
        <w:tblCellMar>
          <w:top w:w="0" w:type="dxa"/>
          <w:left w:w="0" w:type="dxa"/>
          <w:bottom w:w="0" w:type="dxa"/>
          <w:right w:w="0" w:type="dxa"/>
        </w:tblCellMar>
      </w:tblPr>
      <w:tblGrid>
        <w:gridCol w:w="881"/>
        <w:gridCol w:w="9324"/>
      </w:tblGrid>
      <w:tr>
        <w:trPr/>
        <w:tc>
          <w:tcPr>
            <w:tcW w:w="881" w:type="dxa"/>
            <w:tcBorders/>
            <w:shd w:fill="auto" w:val="clear"/>
          </w:tcPr>
          <w:p>
            <w:pPr>
              <w:pStyle w:val="TableContents"/>
              <w:spacing w:before="0" w:after="0"/>
              <w:ind w:left="0" w:right="0" w:hanging="0"/>
              <w:rPr>
                <w:rFonts w:ascii="Times New Roman" w:hAnsi="Times New Roman"/>
                <w:b/>
                <w:sz w:val="20"/>
                <w:u w:val="single"/>
              </w:rPr>
            </w:pPr>
            <w:r>
              <w:rPr>
                <w:rFonts w:ascii="Times New Roman" w:hAnsi="Times New Roman"/>
                <w:b/>
                <w:sz w:val="20"/>
                <w:u w:val="single"/>
              </w:rPr>
              <w:t>Item 5.02</w:t>
            </w:r>
          </w:p>
        </w:tc>
        <w:tc>
          <w:tcPr>
            <w:tcW w:w="9324"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Departure of Directors or Principal Officers; Election of Directors; Appointment of Principal Officers.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           On March 11, 2011, the Board of Directors of Oil-Dri Corporation of America (the “Registrant”) appointed Douglas A. Graham as Vice President, General Counsel and Secretary.  Mr. Graham, who is 47 years old, joined the Registrant from Exelon Corporation, where he had been Assistant General Counsel for over five years at its Commonwealth Edison Company and Exelon Business Services Company subsidiaries.  Mr. Graham holds a J.D. from the University of Michigan, Ann Arbor.</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u w:val="single"/>
        </w:rPr>
        <w:t>Item 8.01</w:t>
      </w:r>
      <w:r>
        <w:rPr>
          <w:rFonts w:ascii="Times New Roman" w:hAnsi="Times New Roman"/>
          <w:b/>
          <w:sz w:val="20"/>
        </w:rPr>
        <w:t>                      Other Events.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6" w:name="TAB1"/>
      <w:bookmarkEnd w:id="6"/>
      <w:r>
        <w:rPr>
          <w:rFonts w:ascii="Times New Roman" w:hAnsi="Times New Roman"/>
          <w:sz w:val="20"/>
        </w:rPr>
        <w:t>Also on March 11, 2011, the Registrant’s Board of Directors authorized the repurchase of up to an additional 250,000 shares of the Registrant’s Common Stock.  The Registrant’s Board of Directors also declared regular quarterly cash dividends of $0.16 per share of the Registrant’s Common Stock and $0.12 per share of the Registrant’s Class B Stock.  The dividends will be payable on June 3, 2011, to stockholders of record at the close of business on May 20, 2011.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 copy of the Registrant’s press releases announcing these matters is attached hereto as Exhibits 99.1 and 99.2 respectively and the information contained therein is incorporated herein by reference.</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u w:val="single"/>
        </w:rPr>
        <w:t>Item 9.01</w:t>
      </w:r>
      <w:r>
        <w:rPr>
          <w:rFonts w:ascii="Times New Roman" w:hAnsi="Times New Roman"/>
          <w:b/>
          <w:sz w:val="20"/>
        </w:rPr>
        <w:t>                   Financial Statements and Exhibits.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           Exhibits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Exhibit</w:t>
      </w:r>
    </w:p>
    <w:p>
      <w:pPr>
        <w:pStyle w:val="TextBody"/>
        <w:spacing w:before="0" w:after="0"/>
        <w:ind w:left="0" w:right="0" w:hanging="0"/>
        <w:jc w:val="left"/>
        <w:rPr>
          <w:rFonts w:ascii="Times New Roman" w:hAnsi="Times New Roman"/>
          <w:sz w:val="20"/>
        </w:rPr>
      </w:pPr>
      <w:r>
        <w:rPr>
          <w:rFonts w:ascii="Times New Roman" w:hAnsi="Times New Roman"/>
          <w:sz w:val="20"/>
          <w:u w:val="single"/>
        </w:rPr>
        <w:t>Number</w:t>
      </w:r>
      <w:r>
        <w:rPr>
          <w:rFonts w:ascii="Times New Roman" w:hAnsi="Times New Roman"/>
          <w:sz w:val="20"/>
        </w:rPr>
        <w:t>                  </w:t>
      </w:r>
      <w:bookmarkStart w:id="7" w:name="TAB24"/>
      <w:bookmarkEnd w:id="7"/>
      <w:r>
        <w:rPr>
          <w:rFonts w:ascii="Times New Roman" w:hAnsi="Times New Roman"/>
          <w:spacing w:val="180"/>
          <w:sz w:val="20"/>
        </w:rPr>
        <w:t>   </w:t>
      </w:r>
      <w:bookmarkStart w:id="8" w:name="TAB23"/>
      <w:bookmarkEnd w:id="8"/>
      <w:r>
        <w:rPr>
          <w:rFonts w:ascii="Times New Roman" w:hAnsi="Times New Roman"/>
          <w:spacing w:val="180"/>
          <w:sz w:val="20"/>
        </w:rPr>
        <w:t>   </w:t>
      </w:r>
      <w:bookmarkStart w:id="9" w:name="TAB22"/>
      <w:bookmarkEnd w:id="9"/>
      <w:r>
        <w:rPr>
          <w:rFonts w:ascii="Times New Roman" w:hAnsi="Times New Roman"/>
          <w:spacing w:val="180"/>
          <w:sz w:val="20"/>
        </w:rPr>
        <w:t>   </w:t>
      </w:r>
      <w:bookmarkStart w:id="10" w:name="TAB21"/>
      <w:bookmarkEnd w:id="10"/>
      <w:r>
        <w:rPr>
          <w:rFonts w:ascii="Times New Roman" w:hAnsi="Times New Roman"/>
          <w:spacing w:val="180"/>
          <w:sz w:val="20"/>
        </w:rPr>
        <w:t>   </w:t>
      </w:r>
      <w:bookmarkStart w:id="11" w:name="TAB2"/>
      <w:bookmarkEnd w:id="11"/>
      <w:r>
        <w:rPr>
          <w:rFonts w:ascii="Times New Roman" w:hAnsi="Times New Roman"/>
          <w:spacing w:val="180"/>
          <w:sz w:val="20"/>
        </w:rPr>
        <w:t>   </w:t>
      </w:r>
      <w:r>
        <w:rPr>
          <w:rFonts w:ascii="Times New Roman" w:hAnsi="Times New Roman"/>
          <w:sz w:val="20"/>
          <w:u w:val="single"/>
        </w:rPr>
        <w:t>Description of Exhibits</w:t>
      </w:r>
    </w:p>
    <w:p>
      <w:pPr>
        <w:pStyle w:val="TextBody"/>
        <w:spacing w:before="0" w:after="0"/>
        <w:ind w:left="0" w:right="0" w:hanging="0"/>
        <w:rPr/>
      </w:pPr>
      <w:r>
        <w:rPr/>
      </w:r>
    </w:p>
    <w:p>
      <w:pPr>
        <w:pStyle w:val="Normal"/>
        <w:spacing w:before="0" w:after="0"/>
        <w:rPr>
          <w:sz w:val="4"/>
          <w:szCs w:val="4"/>
        </w:rPr>
      </w:pPr>
      <w:r>
        <w:rPr>
          <w:sz w:val="4"/>
          <w:szCs w:val="4"/>
        </w:rPr>
      </w:r>
      <w:bookmarkStart w:id="12" w:name="hangingindent1"/>
      <w:bookmarkStart w:id="13" w:name="hangingindent1"/>
      <w:bookmarkEnd w:id="13"/>
    </w:p>
    <w:tbl>
      <w:tblPr>
        <w:tblW w:w="5000" w:type="pct"/>
        <w:jc w:val="center"/>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99.1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Press Release dated March 11, 2011, announcing appointment of Vice President, General Counsel and Secretary.</w:t>
            </w:r>
          </w:p>
        </w:tc>
      </w:tr>
    </w:tbl>
    <w:p>
      <w:pPr>
        <w:pStyle w:val="Normal"/>
        <w:spacing w:before="0" w:after="0"/>
        <w:rPr>
          <w:sz w:val="4"/>
          <w:szCs w:val="4"/>
        </w:rPr>
      </w:pPr>
      <w:r>
        <w:rPr>
          <w:sz w:val="4"/>
          <w:szCs w:val="4"/>
        </w:rPr>
      </w:r>
      <w:bookmarkStart w:id="14" w:name="hangingindent2"/>
      <w:bookmarkStart w:id="15" w:name="hangingindent2"/>
      <w:bookmarkEnd w:id="15"/>
    </w:p>
    <w:tbl>
      <w:tblPr>
        <w:tblW w:w="5000" w:type="pct"/>
        <w:jc w:val="center"/>
        <w:tblInd w:w="0" w:type="dxa"/>
        <w:tblCellMar>
          <w:top w:w="0" w:type="dxa"/>
          <w:left w:w="0" w:type="dxa"/>
          <w:bottom w:w="0" w:type="dxa"/>
          <w:right w:w="0" w:type="dxa"/>
        </w:tblCellMar>
      </w:tblPr>
      <w:tblGrid>
        <w:gridCol w:w="388"/>
        <w:gridCol w:w="9817"/>
      </w:tblGrid>
      <w:tr>
        <w:trPr/>
        <w:tc>
          <w:tcPr>
            <w:tcW w:w="38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99.2</w:t>
            </w:r>
          </w:p>
        </w:tc>
        <w:tc>
          <w:tcPr>
            <w:tcW w:w="981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Press Release dated March 11, 2011 announcing repurchase authorization and declaration of quarterly cash dividends.</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 w:name="PGBRK"/>
      <w:bookmarkStart w:id="17" w:name="PGBRK"/>
      <w:bookmarkEnd w:id="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 w:name="FTR"/>
      <w:bookmarkStart w:id="19" w:name="FTR"/>
      <w:bookmarkEnd w:id="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 w:name="GLFTR"/>
      <w:bookmarkEnd w:id="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 w:name="PN"/>
      <w:bookmarkEnd w:id="21"/>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 w:name="HDR"/>
      <w:bookmarkStart w:id="23" w:name="HDR"/>
      <w:bookmarkEnd w:id="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4" w:name="GLHDR"/>
      <w:bookmarkEnd w:id="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103"/>
        <w:gridCol w:w="305"/>
        <w:gridCol w:w="3572"/>
        <w:gridCol w:w="1225"/>
      </w:tblGrid>
      <w:tr>
        <w:trPr/>
        <w:tc>
          <w:tcPr>
            <w:tcW w:w="5103" w:type="dxa"/>
            <w:tcBorders/>
            <w:shd w:fill="auto" w:val="clear"/>
          </w:tcPr>
          <w:p>
            <w:pPr>
              <w:pStyle w:val="TableContents"/>
              <w:spacing w:before="0" w:after="283"/>
              <w:rPr/>
            </w:pPr>
            <w:r>
              <w:rPr/>
              <w:t> </w:t>
            </w:r>
          </w:p>
        </w:tc>
        <w:tc>
          <w:tcPr>
            <w:tcW w:w="3877" w:type="dxa"/>
            <w:gridSpan w:val="2"/>
            <w:tcBorders/>
            <w:shd w:fill="auto" w:val="cle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OIL-DRI CORPORATION OF AMERICA</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r>
        <w:trPr/>
        <w:tc>
          <w:tcPr>
            <w:tcW w:w="5103" w:type="dxa"/>
            <w:tcBorders>
              <w:bottom w:val="single" w:sz="4" w:space="0" w:color="FFFFFF"/>
            </w:tcBorders>
            <w:shd w:fill="auto" w:val="clear"/>
            <w:tcMar>
              <w:bottom w:w="28" w:type="dxa"/>
            </w:tcMar>
          </w:tcPr>
          <w:p>
            <w:pPr>
              <w:pStyle w:val="TableContents"/>
              <w:spacing w:before="0" w:after="0"/>
              <w:ind w:left="0" w:right="0" w:hanging="0"/>
              <w:jc w:val="left"/>
              <w:rPr/>
            </w:pPr>
            <w:r>
              <w:rPr/>
              <w:t> </w:t>
            </w:r>
          </w:p>
        </w:tc>
        <w:tc>
          <w:tcPr>
            <w:tcW w:w="305"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2" w:type="dxa"/>
            <w:tcBorders>
              <w:bottom w:val="single" w:sz="1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Douglas A. Graham</w:t>
            </w:r>
          </w:p>
        </w:tc>
        <w:tc>
          <w:tcPr>
            <w:tcW w:w="1225" w:type="dxa"/>
            <w:tcBorders>
              <w:bottom w:val="single" w:sz="4" w:space="0" w:color="FFFFFF"/>
            </w:tcBorders>
            <w:shd w:fill="auto" w:val="clear"/>
            <w:tcMar>
              <w:bottom w:w="28" w:type="dxa"/>
            </w:tcM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Douglas A. Graham</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Vice President and General Counsel</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bl>
    <w:p>
      <w:pPr>
        <w:pStyle w:val="TextBody"/>
        <w:spacing w:before="0" w:after="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  March 11, 2011</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 w:name="PGBRK1"/>
      <w:bookmarkStart w:id="26" w:name="PGBRK1"/>
      <w:bookmarkEnd w:id="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 w:name="FTR1"/>
      <w:bookmarkStart w:id="28" w:name="FTR1"/>
      <w:bookmarkEnd w:id="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9" w:name="GLFTR1"/>
      <w:bookmarkEnd w:id="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0" w:name="PN1"/>
      <w:bookmarkEnd w:id="30"/>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 w:name="HDR1"/>
      <w:bookmarkStart w:id="32" w:name="HDR1"/>
      <w:bookmarkEnd w:id="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3" w:name="GLHDR1"/>
      <w:bookmarkEnd w:id="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Exhibit Index</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Exhibit</w:t>
      </w:r>
    </w:p>
    <w:p>
      <w:pPr>
        <w:pStyle w:val="TextBody"/>
        <w:spacing w:before="0" w:after="0"/>
        <w:ind w:left="2880" w:right="0" w:hanging="0"/>
        <w:jc w:val="left"/>
        <w:rPr>
          <w:rFonts w:ascii="Times New Roman" w:hAnsi="Times New Roman"/>
          <w:sz w:val="20"/>
        </w:rPr>
      </w:pPr>
      <w:r>
        <w:rPr>
          <w:rFonts w:ascii="Times New Roman" w:hAnsi="Times New Roman"/>
          <w:sz w:val="20"/>
          <w:u w:val="single"/>
        </w:rPr>
        <w:t>Number</w:t>
      </w:r>
      <w:r>
        <w:rPr>
          <w:rFonts w:ascii="Times New Roman" w:hAnsi="Times New Roman"/>
          <w:sz w:val="20"/>
        </w:rPr>
        <w:t>                      </w:t>
      </w:r>
      <w:bookmarkStart w:id="34" w:name="TAB11"/>
      <w:bookmarkEnd w:id="34"/>
      <w:r>
        <w:rPr>
          <w:rFonts w:ascii="Times New Roman" w:hAnsi="Times New Roman"/>
          <w:sz w:val="20"/>
          <w:u w:val="single"/>
        </w:rPr>
        <w:t>Description of Exhibits</w:t>
      </w:r>
    </w:p>
    <w:p>
      <w:pPr>
        <w:pStyle w:val="TextBody"/>
        <w:spacing w:before="0" w:after="0"/>
        <w:ind w:left="0" w:right="0" w:hanging="0"/>
        <w:jc w:val="left"/>
        <w:rPr/>
      </w:pPr>
      <w:r>
        <w:rPr/>
        <w:br/>
        <w:t> </w:t>
      </w:r>
    </w:p>
    <w:p>
      <w:pPr>
        <w:pStyle w:val="Normal"/>
        <w:spacing w:before="0" w:after="0"/>
        <w:rPr>
          <w:sz w:val="4"/>
          <w:szCs w:val="4"/>
        </w:rPr>
      </w:pPr>
      <w:r>
        <w:rPr>
          <w:sz w:val="4"/>
          <w:szCs w:val="4"/>
        </w:rPr>
      </w:r>
      <w:bookmarkStart w:id="35" w:name="hangingindent3"/>
      <w:bookmarkStart w:id="36" w:name="hangingindent3"/>
      <w:bookmarkEnd w:id="36"/>
    </w:p>
    <w:tbl>
      <w:tblPr>
        <w:tblW w:w="5000" w:type="pct"/>
        <w:jc w:val="center"/>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99.1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Press Release dated March 11, 2011, announcing appointment of Vice President, General Counsel and Secretary.</w:t>
            </w:r>
          </w:p>
          <w:p>
            <w:pPr>
              <w:pStyle w:val="TableContents"/>
              <w:spacing w:before="0" w:after="0"/>
              <w:jc w:val="left"/>
              <w:rPr/>
            </w:pPr>
            <w:r>
              <w:rPr/>
              <w:t> </w:t>
            </w:r>
          </w:p>
        </w:tc>
      </w:tr>
    </w:tbl>
    <w:p>
      <w:pPr>
        <w:pStyle w:val="Normal"/>
        <w:spacing w:before="0" w:after="0"/>
        <w:rPr>
          <w:sz w:val="4"/>
          <w:szCs w:val="4"/>
        </w:rPr>
      </w:pPr>
      <w:r>
        <w:rPr>
          <w:sz w:val="4"/>
          <w:szCs w:val="4"/>
        </w:rPr>
      </w:r>
      <w:bookmarkStart w:id="37" w:name="hangingindent4"/>
      <w:bookmarkStart w:id="38" w:name="hangingindent4"/>
      <w:bookmarkEnd w:id="38"/>
    </w:p>
    <w:tbl>
      <w:tblPr>
        <w:tblW w:w="5000" w:type="pct"/>
        <w:jc w:val="center"/>
        <w:tblInd w:w="0" w:type="dxa"/>
        <w:tblCellMar>
          <w:top w:w="0" w:type="dxa"/>
          <w:left w:w="0" w:type="dxa"/>
          <w:bottom w:w="0" w:type="dxa"/>
          <w:right w:w="0" w:type="dxa"/>
        </w:tblCellMar>
      </w:tblPr>
      <w:tblGrid>
        <w:gridCol w:w="388"/>
        <w:gridCol w:w="9817"/>
      </w:tblGrid>
      <w:tr>
        <w:trPr/>
        <w:tc>
          <w:tcPr>
            <w:tcW w:w="38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99.2</w:t>
            </w:r>
          </w:p>
        </w:tc>
        <w:tc>
          <w:tcPr>
            <w:tcW w:w="981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Press Release dated March 11, 2011 announcing repurchase authorization and declaration of quarterly cash dividends.</w:t>
            </w:r>
          </w:p>
        </w:tc>
      </w:tr>
    </w:tbl>
    <w:p>
      <w:pPr>
        <w:pStyle w:val="TextBody"/>
        <w:spacing w:before="0" w:after="0"/>
        <w:ind w:left="0" w:right="0" w:hanging="0"/>
        <w:rPr/>
      </w:pPr>
      <w:r>
        <w:rPr/>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9" w:name="PGBRK2"/>
      <w:bookmarkStart w:id="40" w:name="PGBRK2"/>
      <w:bookmarkEnd w:id="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 w:name="FTR2"/>
      <w:bookmarkStart w:id="42" w:name="FTR2"/>
      <w:bookmarkEnd w:id="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3" w:name="GLFTR2"/>
      <w:bookmarkEnd w:id="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4" w:name="PN2"/>
      <w:bookmarkEnd w:id="44"/>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 w:name="HDR2"/>
      <w:bookmarkStart w:id="46" w:name="HDR2"/>
      <w:bookmarkEnd w:id="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7" w:name="GLHDR2"/>
      <w:bookmarkEnd w:id="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ind w:left="1800" w:right="0" w:hanging="0"/>
        <w:jc w:val="left"/>
        <w:rPr/>
      </w:pPr>
      <w:r>
        <w:rPr/>
        <w:t> </w:t>
      </w:r>
      <w:r>
        <w:br w:type="page"/>
      </w:r>
    </w:p>
    <w:p>
      <w:pPr>
        <w:pStyle w:val="TextBody"/>
        <w:spacing w:before="0" w:after="0"/>
        <w:ind w:left="0" w:right="0" w:hanging="0"/>
        <w:jc w:val="left"/>
        <w:rPr/>
      </w:pPr>
      <w:bookmarkStart w:id="48" w:name="v214464_ex99-1.htm"/>
      <w:bookmarkStart w:id="49" w:name="ksv214464_ex991"/>
      <w:bookmarkEnd w:id="48"/>
      <w:bookmarkEnd w:id="49"/>
      <w:r>
        <w:rPr/>
        <w:t> </w:t>
      </w:r>
    </w:p>
    <w:tbl>
      <w:tblPr>
        <w:tblW w:w="5000" w:type="pct"/>
        <w:jc w:val="left"/>
        <w:tblInd w:w="0" w:type="dxa"/>
        <w:tblCellMar>
          <w:top w:w="0" w:type="dxa"/>
          <w:left w:w="0" w:type="dxa"/>
          <w:bottom w:w="0" w:type="dxa"/>
          <w:right w:w="0" w:type="dxa"/>
        </w:tblCellMar>
      </w:tblPr>
      <w:tblGrid>
        <w:gridCol w:w="1826"/>
        <w:gridCol w:w="8379"/>
      </w:tblGrid>
      <w:tr>
        <w:trPr/>
        <w:tc>
          <w:tcPr>
            <w:tcW w:w="1826" w:type="dxa"/>
            <w:vMerge w:val="restart"/>
            <w:tcBorders/>
            <w:shd w:fill="auto" w:val="clear"/>
          </w:tcPr>
          <w:p>
            <w:pPr>
              <w:pStyle w:val="TableContents"/>
              <w:spacing w:before="0" w:after="0"/>
              <w:ind w:left="0" w:right="0" w:hanging="0"/>
              <w:jc w:val="left"/>
              <w:rPr/>
            </w:pPr>
            <w:r>
              <w:rPr/>
              <w:drawing>
                <wp:inline distT="0" distB="0" distL="0" distR="0">
                  <wp:extent cx="1114425" cy="6086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4425" cy="6086475"/>
                          </a:xfrm>
                          <a:prstGeom prst="rect">
                            <a:avLst/>
                          </a:prstGeom>
                        </pic:spPr>
                      </pic:pic>
                    </a:graphicData>
                  </a:graphic>
                </wp:inline>
              </w:drawing>
            </w:r>
          </w:p>
          <w:p>
            <w:pPr>
              <w:pStyle w:val="TableContents"/>
              <w:spacing w:before="0" w:after="0"/>
              <w:ind w:left="0" w:right="0" w:hanging="0"/>
              <w:jc w:val="left"/>
              <w:rPr/>
            </w:pPr>
            <w:r>
              <w:rPr/>
              <w:t> </w:t>
            </w:r>
          </w:p>
        </w:tc>
        <w:tc>
          <w:tcPr>
            <w:tcW w:w="8379" w:type="dxa"/>
            <w:tcBorders>
              <w:bottom w:val="single" w:sz="12"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Exhibit 99.1</w:t>
            </w:r>
          </w:p>
          <w:p>
            <w:pPr>
              <w:pStyle w:val="TableContents"/>
              <w:spacing w:before="0" w:after="0"/>
              <w:ind w:left="0" w:right="0" w:hanging="0"/>
              <w:jc w:val="right"/>
              <w:rPr>
                <w:rFonts w:ascii="times new roman" w:hAnsi="times new roman"/>
                <w:b/>
                <w:sz w:val="36"/>
              </w:rPr>
            </w:pPr>
            <w:r>
              <w:rPr>
                <w:rFonts w:ascii="times new roman" w:hAnsi="times new roman"/>
                <w:b/>
                <w:sz w:val="36"/>
              </w:rPr>
              <w:t>News Release</w:t>
            </w:r>
          </w:p>
        </w:tc>
      </w:tr>
      <w:tr>
        <w:trPr/>
        <w:tc>
          <w:tcPr>
            <w:tcW w:w="1826" w:type="dxa"/>
            <w:vMerge w:val="continue"/>
            <w:tcBorders/>
            <w:shd w:fill="auto" w:val="clear"/>
          </w:tcPr>
          <w:p>
            <w:pPr>
              <w:pStyle w:val="Normal"/>
              <w:rPr/>
            </w:pPr>
            <w:r>
              <w:rPr/>
            </w:r>
          </w:p>
        </w:tc>
        <w:tc>
          <w:tcPr>
            <w:tcW w:w="8379" w:type="dxa"/>
            <w:tcBorders/>
            <w:shd w:fill="auto" w:val="clear"/>
          </w:tcPr>
          <w:p>
            <w:pPr>
              <w:pStyle w:val="TableContents"/>
              <w:spacing w:before="0" w:after="0"/>
              <w:ind w:left="180" w:right="0" w:hanging="0"/>
              <w:jc w:val="right"/>
              <w:rPr/>
            </w:pPr>
            <w:r>
              <w:rPr/>
              <w:t> </w:t>
            </w:r>
          </w:p>
          <w:p>
            <w:pPr>
              <w:pStyle w:val="TableContents"/>
              <w:spacing w:before="0" w:after="0"/>
              <w:ind w:left="180" w:right="0" w:hanging="0"/>
              <w:jc w:val="right"/>
              <w:rPr/>
            </w:pPr>
            <w:r>
              <w:rPr/>
              <w:t xml:space="preserve">  </w:t>
            </w:r>
          </w:p>
          <w:p>
            <w:pPr>
              <w:pStyle w:val="TableContents"/>
              <w:spacing w:before="0" w:after="0"/>
              <w:ind w:left="180" w:right="0" w:hanging="0"/>
              <w:jc w:val="left"/>
              <w:rPr>
                <w:rFonts w:ascii="times new roman" w:hAnsi="times new roman"/>
                <w:b/>
                <w:sz w:val="20"/>
              </w:rPr>
            </w:pPr>
            <w:r>
              <w:rPr>
                <w:rFonts w:ascii="times new roman" w:hAnsi="times new roman"/>
                <w:b/>
                <w:sz w:val="20"/>
              </w:rPr>
              <w:t>News Announcement </w:t>
            </w:r>
          </w:p>
          <w:p>
            <w:pPr>
              <w:pStyle w:val="TableContents"/>
              <w:spacing w:before="0" w:after="0"/>
              <w:ind w:left="18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CONTACT</w:t>
            </w:r>
          </w:p>
          <w:p>
            <w:pPr>
              <w:pStyle w:val="TableContents"/>
              <w:spacing w:before="0" w:after="0"/>
              <w:ind w:left="180" w:right="0" w:hanging="0"/>
              <w:jc w:val="left"/>
              <w:rPr>
                <w:rFonts w:ascii="times new roman" w:hAnsi="times new roman"/>
                <w:sz w:val="20"/>
              </w:rPr>
            </w:pPr>
            <w:r>
              <w:rPr>
                <w:rFonts w:ascii="times new roman" w:hAnsi="times new roman"/>
                <w:sz w:val="20"/>
              </w:rPr>
              <w:t>Ronda J. Williams, Investor Relations</w:t>
            </w:r>
          </w:p>
          <w:p>
            <w:pPr>
              <w:pStyle w:val="TableContents"/>
              <w:spacing w:before="0" w:after="0"/>
              <w:ind w:left="180" w:right="0" w:hanging="0"/>
              <w:jc w:val="left"/>
              <w:rPr>
                <w:rFonts w:ascii="times new roman" w:hAnsi="times new roman"/>
                <w:sz w:val="20"/>
              </w:rPr>
            </w:pPr>
            <w:r>
              <w:rPr>
                <w:rFonts w:ascii="times new roman" w:hAnsi="times new roman"/>
                <w:sz w:val="20"/>
              </w:rPr>
              <w:t>Oil-Dri Corporation of America</w:t>
            </w:r>
          </w:p>
          <w:p>
            <w:pPr>
              <w:pStyle w:val="TableContents"/>
              <w:spacing w:before="0" w:after="0"/>
              <w:ind w:left="180" w:right="0" w:hanging="0"/>
              <w:jc w:val="left"/>
              <w:rPr>
                <w:rFonts w:ascii="times new roman" w:hAnsi="times new roman"/>
                <w:sz w:val="20"/>
              </w:rPr>
            </w:pPr>
            <w:r>
              <w:rPr>
                <w:rFonts w:ascii="times new roman" w:hAnsi="times new roman"/>
                <w:sz w:val="20"/>
              </w:rPr>
              <w:t>312/706-3232; ronda.williams@oildri.com</w:t>
            </w:r>
          </w:p>
          <w:p>
            <w:pPr>
              <w:pStyle w:val="TableContents"/>
              <w:spacing w:before="0" w:after="0"/>
              <w:ind w:left="180" w:right="0" w:hanging="0"/>
              <w:jc w:val="center"/>
              <w:rPr/>
            </w:pPr>
            <w:r>
              <w:rPr/>
              <w:t> </w:t>
            </w:r>
          </w:p>
          <w:p>
            <w:pPr>
              <w:pStyle w:val="TableContents"/>
              <w:spacing w:before="0" w:after="0"/>
              <w:ind w:left="180" w:right="0" w:hanging="0"/>
              <w:jc w:val="center"/>
              <w:rPr/>
            </w:pPr>
            <w:r>
              <w:rPr/>
              <w:t> </w:t>
            </w:r>
          </w:p>
          <w:p>
            <w:pPr>
              <w:pStyle w:val="TableContents"/>
              <w:spacing w:before="0" w:after="0"/>
              <w:ind w:left="180" w:right="0" w:hanging="0"/>
              <w:jc w:val="center"/>
              <w:rPr>
                <w:rFonts w:ascii="times new roman" w:hAnsi="times new roman"/>
                <w:b/>
                <w:sz w:val="20"/>
              </w:rPr>
            </w:pPr>
            <w:r>
              <w:rPr>
                <w:rFonts w:ascii="times new roman" w:hAnsi="times new roman"/>
                <w:b/>
                <w:sz w:val="20"/>
              </w:rPr>
              <w:t>Douglas Graham is Appointed Vice President, General Counsel and Corporate Secretary</w:t>
            </w:r>
          </w:p>
          <w:p>
            <w:pPr>
              <w:pStyle w:val="TableContents"/>
              <w:spacing w:before="0" w:after="0"/>
              <w:ind w:left="180" w:right="0" w:hanging="0"/>
              <w:jc w:val="left"/>
              <w:rPr/>
            </w:pPr>
            <w:r>
              <w:rPr/>
            </w:r>
          </w:p>
          <w:p>
            <w:pPr>
              <w:pStyle w:val="TableContents"/>
              <w:spacing w:before="0" w:after="0"/>
              <w:ind w:left="18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CHICAGO, IL – (March 11, 2011) – Oil-Dri Corporation of America (NYSE: ODC) today announced that Douglas Graham has been appointed Vice President, General Counsel and Corporate Secretary to the Company.</w:t>
            </w:r>
          </w:p>
          <w:p>
            <w:pPr>
              <w:pStyle w:val="TableContents"/>
              <w:spacing w:before="0" w:after="0"/>
              <w:ind w:left="180" w:right="0" w:hanging="0"/>
              <w:jc w:val="left"/>
              <w:rPr/>
            </w:pPr>
            <w:r>
              <w:rPr/>
              <w:t> </w:t>
            </w:r>
          </w:p>
          <w:p>
            <w:pPr>
              <w:pStyle w:val="TableContents"/>
              <w:spacing w:before="0" w:after="0"/>
              <w:ind w:left="180" w:right="0" w:hanging="0"/>
              <w:jc w:val="left"/>
              <w:rPr/>
            </w:pPr>
            <w:r>
              <w:rPr/>
              <w:t>“</w:t>
            </w:r>
            <w:r>
              <w:rPr>
                <w:rFonts w:ascii="times new roman" w:hAnsi="times new roman"/>
                <w:sz w:val="20"/>
              </w:rPr>
              <w:t>We are pleased to have Doug join our team,” said Dan Jaffee, President and CEO. “In his new role, Doug will be responsible for all of Oil-Dri’s legal services, including dispute resolution, contract negotiations and intellectual property management.”</w:t>
            </w:r>
          </w:p>
          <w:p>
            <w:pPr>
              <w:pStyle w:val="TableContents"/>
              <w:spacing w:before="0" w:after="0"/>
              <w:ind w:left="18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Graham joins Oil-Dri from Exelon Corp., where he most recently served as Assistant General Counsel at its Commonwealth Edison Co. subsidiary, and focused on business counseling, governmental relations, compliance, and regulatory matters.  During nearly 11 years at Exelon, he also handled litigation and provided labor and employment advice.</w:t>
            </w:r>
          </w:p>
          <w:p>
            <w:pPr>
              <w:pStyle w:val="TableContents"/>
              <w:spacing w:before="0" w:after="0"/>
              <w:ind w:left="18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Prior to his tenure at Exelon and ComEd, Graham worked in-house for the Tribune Company, United Airlines, as well as at the law firm of Jenner &amp; Block. Among many honors received, Graham was recognized by the Chicago Lawyer in 2003 as one of Illinois’ “40 Under 40 Lawyers to Watch.”</w:t>
            </w:r>
          </w:p>
          <w:p>
            <w:pPr>
              <w:pStyle w:val="TableContents"/>
              <w:spacing w:before="0" w:after="0"/>
              <w:ind w:left="18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Graham received his Juris Doctor with Distinction from the University of Michigan Law School.  He also has an undergraduate degree in Economics and History Honors from the University of Michigan.</w:t>
            </w:r>
          </w:p>
          <w:p>
            <w:pPr>
              <w:pStyle w:val="TableContents"/>
              <w:spacing w:before="0" w:after="0"/>
              <w:ind w:left="180" w:right="0" w:hanging="0"/>
              <w:jc w:val="center"/>
              <w:rPr/>
            </w:pPr>
            <w:r>
              <w:rPr/>
              <w:t> </w:t>
            </w:r>
          </w:p>
          <w:p>
            <w:pPr>
              <w:pStyle w:val="TableContents"/>
              <w:spacing w:before="0" w:after="0"/>
              <w:ind w:left="180" w:right="0" w:hanging="0"/>
              <w:jc w:val="center"/>
              <w:rPr>
                <w:rFonts w:ascii="times new roman" w:hAnsi="times new roman"/>
                <w:sz w:val="20"/>
              </w:rPr>
            </w:pPr>
            <w:r>
              <w:rPr>
                <w:rFonts w:ascii="times new roman" w:hAnsi="times new roman"/>
                <w:sz w:val="20"/>
              </w:rPr>
              <w:t>###</w:t>
            </w:r>
          </w:p>
          <w:p>
            <w:pPr>
              <w:pStyle w:val="TableContents"/>
              <w:spacing w:before="0" w:after="0"/>
              <w:ind w:left="180" w:right="0" w:hanging="0"/>
              <w:jc w:val="left"/>
              <w:rPr/>
            </w:pPr>
            <w:r>
              <w:rPr/>
              <w:br/>
              <w:t> </w:t>
            </w:r>
          </w:p>
          <w:p>
            <w:pPr>
              <w:pStyle w:val="TableContents"/>
              <w:spacing w:before="0" w:after="0"/>
              <w:ind w:left="180" w:right="0" w:hanging="0"/>
              <w:jc w:val="left"/>
              <w:rPr>
                <w:rFonts w:ascii="times new roman" w:hAnsi="times new roman"/>
                <w:i/>
                <w:sz w:val="20"/>
              </w:rPr>
            </w:pPr>
            <w:r>
              <w:rPr>
                <w:rFonts w:ascii="times new roman" w:hAnsi="times new roman"/>
                <w:i/>
                <w:sz w:val="20"/>
              </w:rPr>
              <w:t>Oil-Dri Corporation of America is a leading supplier of specialty sorbent products for agricultural, horticultural, fluids purification, specialty markets, industrial and automotive, and is the world’s largest manufacturer of cat litter.</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0" w:name="PGBRK3"/>
      <w:bookmarkStart w:id="51" w:name="PGBRK3"/>
      <w:bookmarkEnd w:id="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 w:name="FTR3"/>
      <w:bookmarkStart w:id="53" w:name="FTR3"/>
      <w:bookmarkEnd w:id="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4" w:name="GLFTR3"/>
      <w:bookmarkEnd w:id="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5" w:name="PN3"/>
      <w:bookmarkEnd w:id="55"/>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 w:name="HDR3"/>
      <w:bookmarkStart w:id="57" w:name="HDR3"/>
      <w:bookmarkEnd w:id="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8" w:name="GLHDR3"/>
      <w:bookmarkEnd w:id="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ind w:left="0" w:right="0" w:hanging="0"/>
        <w:rPr/>
      </w:pPr>
      <w:r>
        <w:rPr/>
        <w:t> </w:t>
      </w:r>
      <w:r>
        <w:br w:type="page"/>
      </w:r>
    </w:p>
    <w:p>
      <w:pPr>
        <w:pStyle w:val="TextBody"/>
        <w:spacing w:before="0" w:after="0"/>
        <w:ind w:left="0" w:right="0" w:hanging="0"/>
        <w:jc w:val="left"/>
        <w:rPr/>
      </w:pPr>
      <w:bookmarkStart w:id="59" w:name="v214464_ex99-2.htm"/>
      <w:bookmarkStart w:id="60" w:name="ksv214464_ex992"/>
      <w:bookmarkEnd w:id="59"/>
      <w:bookmarkEnd w:id="60"/>
      <w:r>
        <w:rPr/>
        <w:t> </w:t>
      </w:r>
    </w:p>
    <w:p>
      <w:pPr>
        <w:pStyle w:val="TextBody"/>
        <w:spacing w:before="0" w:after="0"/>
        <w:ind w:left="0" w:right="0" w:hanging="0"/>
        <w:jc w:val="left"/>
        <w:rPr/>
      </w:pPr>
      <w:r>
        <w:rPr/>
        <w:t> </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1826"/>
        <w:gridCol w:w="8379"/>
      </w:tblGrid>
      <w:tr>
        <w:trPr/>
        <w:tc>
          <w:tcPr>
            <w:tcW w:w="1826" w:type="dxa"/>
            <w:vMerge w:val="restart"/>
            <w:tcBorders/>
            <w:shd w:fill="auto" w:val="clear"/>
          </w:tcPr>
          <w:p>
            <w:pPr>
              <w:pStyle w:val="TableContents"/>
              <w:spacing w:before="0" w:after="0"/>
              <w:ind w:left="0" w:right="0" w:hanging="0"/>
              <w:jc w:val="left"/>
              <w:rPr/>
            </w:pPr>
            <w:r>
              <w:rPr/>
              <w:drawing>
                <wp:inline distT="0" distB="0" distL="0" distR="0">
                  <wp:extent cx="1114425" cy="6086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4425" cy="6086475"/>
                          </a:xfrm>
                          <a:prstGeom prst="rect">
                            <a:avLst/>
                          </a:prstGeom>
                        </pic:spPr>
                      </pic:pic>
                    </a:graphicData>
                  </a:graphic>
                </wp:inline>
              </w:drawing>
            </w:r>
          </w:p>
          <w:p>
            <w:pPr>
              <w:pStyle w:val="TableContents"/>
              <w:spacing w:before="0" w:after="0"/>
              <w:ind w:left="0" w:right="0" w:hanging="0"/>
              <w:jc w:val="left"/>
              <w:rPr/>
            </w:pPr>
            <w:r>
              <w:rPr/>
              <w:t> </w:t>
            </w:r>
          </w:p>
        </w:tc>
        <w:tc>
          <w:tcPr>
            <w:tcW w:w="8379" w:type="dxa"/>
            <w:tcBorders>
              <w:bottom w:val="single" w:sz="12"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Exhibit 99.2</w:t>
            </w:r>
          </w:p>
          <w:p>
            <w:pPr>
              <w:pStyle w:val="TableContents"/>
              <w:spacing w:before="0" w:after="0"/>
              <w:ind w:left="0" w:right="0" w:hanging="0"/>
              <w:jc w:val="right"/>
              <w:rPr>
                <w:rFonts w:ascii="times new roman" w:hAnsi="times new roman"/>
                <w:b/>
                <w:sz w:val="36"/>
              </w:rPr>
            </w:pPr>
            <w:r>
              <w:rPr>
                <w:rFonts w:ascii="times new roman" w:hAnsi="times new roman"/>
                <w:b/>
                <w:sz w:val="36"/>
              </w:rPr>
              <w:t>News Release</w:t>
            </w:r>
          </w:p>
        </w:tc>
      </w:tr>
      <w:tr>
        <w:trPr/>
        <w:tc>
          <w:tcPr>
            <w:tcW w:w="1826" w:type="dxa"/>
            <w:vMerge w:val="continue"/>
            <w:tcBorders/>
            <w:shd w:fill="auto" w:val="clear"/>
          </w:tcPr>
          <w:p>
            <w:pPr>
              <w:pStyle w:val="Normal"/>
              <w:rPr/>
            </w:pPr>
            <w:r>
              <w:rPr/>
            </w:r>
          </w:p>
        </w:tc>
        <w:tc>
          <w:tcPr>
            <w:tcW w:w="8379" w:type="dxa"/>
            <w:tcBorders/>
            <w:shd w:fill="auto" w:val="clear"/>
          </w:tcPr>
          <w:p>
            <w:pPr>
              <w:pStyle w:val="TableContents"/>
              <w:spacing w:before="0" w:after="0"/>
              <w:ind w:left="180" w:right="0" w:hanging="0"/>
              <w:jc w:val="right"/>
              <w:rPr/>
            </w:pPr>
            <w:r>
              <w:rPr/>
              <w:t> </w:t>
            </w:r>
          </w:p>
          <w:p>
            <w:pPr>
              <w:pStyle w:val="TableContents"/>
              <w:spacing w:before="0" w:after="0"/>
              <w:ind w:left="180" w:right="0" w:hanging="0"/>
              <w:jc w:val="right"/>
              <w:rPr/>
            </w:pPr>
            <w:r>
              <w:rPr/>
              <w:t xml:space="preserve">  </w:t>
            </w:r>
          </w:p>
          <w:p>
            <w:pPr>
              <w:pStyle w:val="TableContents"/>
              <w:spacing w:before="0" w:after="0"/>
              <w:ind w:left="180" w:right="0" w:hanging="0"/>
              <w:jc w:val="left"/>
              <w:rPr>
                <w:rFonts w:ascii="times new roman" w:hAnsi="times new roman"/>
                <w:b/>
                <w:sz w:val="20"/>
              </w:rPr>
            </w:pPr>
            <w:r>
              <w:rPr>
                <w:rFonts w:ascii="times new roman" w:hAnsi="times new roman"/>
                <w:b/>
                <w:sz w:val="20"/>
              </w:rPr>
              <w:t>News Announcement </w:t>
            </w:r>
          </w:p>
          <w:p>
            <w:pPr>
              <w:pStyle w:val="TableContents"/>
              <w:spacing w:before="0" w:after="0"/>
              <w:ind w:left="18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CONTACT</w:t>
            </w:r>
          </w:p>
          <w:p>
            <w:pPr>
              <w:pStyle w:val="TableContents"/>
              <w:spacing w:before="0" w:after="0"/>
              <w:ind w:left="180" w:right="0" w:hanging="0"/>
              <w:jc w:val="left"/>
              <w:rPr>
                <w:rFonts w:ascii="times new roman" w:hAnsi="times new roman"/>
                <w:sz w:val="20"/>
              </w:rPr>
            </w:pPr>
            <w:r>
              <w:rPr>
                <w:rFonts w:ascii="times new roman" w:hAnsi="times new roman"/>
                <w:sz w:val="20"/>
              </w:rPr>
              <w:t>Ronda J. Williams, Investor Relations</w:t>
            </w:r>
          </w:p>
          <w:p>
            <w:pPr>
              <w:pStyle w:val="TableContents"/>
              <w:spacing w:before="0" w:after="0"/>
              <w:ind w:left="180" w:right="0" w:hanging="0"/>
              <w:jc w:val="left"/>
              <w:rPr>
                <w:rFonts w:ascii="times new roman" w:hAnsi="times new roman"/>
                <w:sz w:val="20"/>
              </w:rPr>
            </w:pPr>
            <w:r>
              <w:rPr>
                <w:rFonts w:ascii="times new roman" w:hAnsi="times new roman"/>
                <w:sz w:val="20"/>
              </w:rPr>
              <w:t>Oil-Dri Corporation of America</w:t>
            </w:r>
          </w:p>
          <w:p>
            <w:pPr>
              <w:pStyle w:val="TableContents"/>
              <w:spacing w:before="0" w:after="0"/>
              <w:ind w:left="180" w:right="0" w:hanging="0"/>
              <w:jc w:val="left"/>
              <w:rPr>
                <w:rFonts w:ascii="times new roman" w:hAnsi="times new roman"/>
                <w:sz w:val="20"/>
              </w:rPr>
            </w:pPr>
            <w:r>
              <w:rPr>
                <w:rFonts w:ascii="times new roman" w:hAnsi="times new roman"/>
                <w:sz w:val="20"/>
              </w:rPr>
              <w:t>312/706-3232; ronda.williams@oildri.com</w:t>
            </w:r>
          </w:p>
          <w:p>
            <w:pPr>
              <w:pStyle w:val="TableContents"/>
              <w:spacing w:before="0" w:after="0"/>
              <w:ind w:left="180" w:right="0" w:hanging="0"/>
              <w:jc w:val="center"/>
              <w:rPr/>
            </w:pPr>
            <w:r>
              <w:rPr/>
              <w:t> </w:t>
            </w:r>
          </w:p>
          <w:p>
            <w:pPr>
              <w:pStyle w:val="TableContents"/>
              <w:spacing w:before="0" w:after="0"/>
              <w:ind w:left="180" w:right="0" w:hanging="0"/>
              <w:jc w:val="center"/>
              <w:rPr/>
            </w:pPr>
            <w:r>
              <w:rPr/>
              <w:t> </w:t>
            </w:r>
          </w:p>
          <w:p>
            <w:pPr>
              <w:pStyle w:val="TableContents"/>
              <w:spacing w:before="0" w:after="0"/>
              <w:ind w:left="180" w:right="0" w:hanging="0"/>
              <w:jc w:val="center"/>
              <w:rPr>
                <w:rFonts w:ascii="times new roman" w:hAnsi="times new roman"/>
                <w:b/>
                <w:sz w:val="20"/>
              </w:rPr>
            </w:pPr>
            <w:r>
              <w:rPr>
                <w:rFonts w:ascii="times new roman" w:hAnsi="times new roman"/>
                <w:b/>
                <w:sz w:val="20"/>
              </w:rPr>
              <w:t>Oil-Dri Board of Directors Authorizes Additional Common Stock Repurchases</w:t>
            </w:r>
          </w:p>
          <w:p>
            <w:pPr>
              <w:pStyle w:val="TableContents"/>
              <w:spacing w:before="0" w:after="0"/>
              <w:ind w:left="180" w:right="0" w:hanging="0"/>
              <w:jc w:val="center"/>
              <w:rPr>
                <w:rFonts w:ascii="times new roman" w:hAnsi="times new roman"/>
                <w:b/>
                <w:sz w:val="20"/>
              </w:rPr>
            </w:pPr>
            <w:r>
              <w:rPr>
                <w:rFonts w:ascii="times new roman" w:hAnsi="times new roman"/>
                <w:b/>
                <w:sz w:val="20"/>
              </w:rPr>
              <w:t>and Declares Dividends</w:t>
            </w:r>
          </w:p>
          <w:p>
            <w:pPr>
              <w:pStyle w:val="TableContents"/>
              <w:spacing w:before="0" w:after="0"/>
              <w:ind w:left="180" w:right="0" w:hanging="0"/>
              <w:jc w:val="center"/>
              <w:rPr/>
            </w:pPr>
            <w:r>
              <w:rPr/>
            </w:r>
          </w:p>
          <w:p>
            <w:pPr>
              <w:pStyle w:val="TableContents"/>
              <w:spacing w:before="0" w:after="0"/>
              <w:ind w:left="180" w:right="0" w:hanging="0"/>
              <w:jc w:val="left"/>
              <w:rPr>
                <w:rFonts w:ascii="times new roman" w:hAnsi="times new roman"/>
                <w:sz w:val="20"/>
              </w:rPr>
            </w:pPr>
            <w:r>
              <w:rPr>
                <w:rFonts w:ascii="times new roman" w:hAnsi="times new roman"/>
                <w:sz w:val="20"/>
              </w:rPr>
              <w:t>CHICAGO, IL – (March 11, 2011) – The Board of Directors of Oil-Dri Corporation of America (NYSE: ODC) today announced that it has authorized the repurchase of an additional 250,000 shares of its Common Stock and has declared quarterly cash dividends of $0.16 per share of the Company’s Common Stock and $0.12 per share of the Company’s Class B Stock.</w:t>
            </w:r>
          </w:p>
          <w:p>
            <w:pPr>
              <w:pStyle w:val="TableContents"/>
              <w:spacing w:before="0" w:after="0"/>
              <w:ind w:left="180" w:right="0" w:hanging="0"/>
              <w:jc w:val="center"/>
              <w:rPr/>
            </w:pPr>
            <w:r>
              <w:rPr/>
            </w:r>
          </w:p>
          <w:p>
            <w:pPr>
              <w:pStyle w:val="TableContents"/>
              <w:spacing w:before="0" w:after="0"/>
              <w:ind w:left="180" w:right="0" w:hanging="0"/>
              <w:jc w:val="left"/>
              <w:rPr>
                <w:rFonts w:ascii="times new roman" w:hAnsi="times new roman"/>
                <w:sz w:val="20"/>
              </w:rPr>
            </w:pPr>
            <w:r>
              <w:rPr>
                <w:rFonts w:ascii="times new roman" w:hAnsi="times new roman"/>
                <w:sz w:val="20"/>
              </w:rPr>
              <w:t>The dividends will be payable on June 3, 2011, to stockholders of record at the close of business on May 20, 2011.  The Company has paid cash dividends continuously since 1974.</w:t>
            </w:r>
          </w:p>
          <w:p>
            <w:pPr>
              <w:pStyle w:val="TableContents"/>
              <w:spacing w:before="0" w:after="0"/>
              <w:ind w:left="180" w:right="0" w:hanging="0"/>
              <w:jc w:val="center"/>
              <w:rPr/>
            </w:pPr>
            <w:r>
              <w:rPr/>
            </w:r>
          </w:p>
          <w:p>
            <w:pPr>
              <w:pStyle w:val="TableContents"/>
              <w:spacing w:before="0" w:after="0"/>
              <w:ind w:left="180" w:right="0" w:hanging="0"/>
              <w:jc w:val="center"/>
              <w:rPr>
                <w:rFonts w:ascii="times new roman" w:hAnsi="times new roman"/>
                <w:sz w:val="20"/>
              </w:rPr>
            </w:pPr>
            <w:r>
              <w:rPr>
                <w:rFonts w:ascii="times new roman" w:hAnsi="times new roman"/>
                <w:sz w:val="20"/>
              </w:rPr>
              <w:t>###</w:t>
            </w:r>
          </w:p>
          <w:p>
            <w:pPr>
              <w:pStyle w:val="TableContents"/>
              <w:spacing w:before="0" w:after="0"/>
              <w:ind w:left="180" w:right="0" w:hanging="0"/>
              <w:jc w:val="center"/>
              <w:rPr/>
            </w:pPr>
            <w:r>
              <w:rPr/>
              <w:t> </w:t>
            </w:r>
          </w:p>
          <w:p>
            <w:pPr>
              <w:pStyle w:val="TableContents"/>
              <w:spacing w:before="0" w:after="0"/>
              <w:ind w:left="180" w:right="0" w:hanging="0"/>
              <w:jc w:val="center"/>
              <w:rPr/>
            </w:pPr>
            <w:r>
              <w:rPr/>
              <w:t> </w:t>
            </w:r>
          </w:p>
          <w:p>
            <w:pPr>
              <w:pStyle w:val="TableContents"/>
              <w:spacing w:before="0" w:after="0"/>
              <w:ind w:left="180" w:right="0" w:hanging="0"/>
              <w:jc w:val="center"/>
              <w:rPr/>
            </w:pPr>
            <w:r>
              <w:rPr/>
              <w:t> </w:t>
            </w:r>
          </w:p>
          <w:p>
            <w:pPr>
              <w:pStyle w:val="HorizontalLine"/>
              <w:pBdr>
                <w:bottom w:val="single" w:sz="12" w:space="0" w:color="808080"/>
              </w:pBdr>
              <w:ind w:left="180" w:right="0" w:hanging="0"/>
              <w:jc w:val="center"/>
              <w:rPr/>
            </w:pPr>
            <w:r>
              <w:rPr/>
            </w:r>
          </w:p>
          <w:p>
            <w:pPr>
              <w:pStyle w:val="TableContents"/>
              <w:spacing w:before="0" w:after="0"/>
              <w:ind w:left="180" w:right="0" w:hanging="0"/>
              <w:jc w:val="center"/>
              <w:rPr/>
            </w:pPr>
            <w:r>
              <w:rPr/>
            </w:r>
          </w:p>
          <w:p>
            <w:pPr>
              <w:pStyle w:val="TableContents"/>
              <w:spacing w:before="0" w:after="0"/>
              <w:ind w:left="180" w:right="0" w:hanging="0"/>
              <w:jc w:val="center"/>
              <w:rPr/>
            </w:pPr>
            <w:r>
              <w:rPr/>
            </w:r>
          </w:p>
          <w:p>
            <w:pPr>
              <w:pStyle w:val="TableContents"/>
              <w:spacing w:before="0" w:after="0"/>
              <w:ind w:left="180" w:right="0" w:hanging="0"/>
              <w:jc w:val="left"/>
              <w:rPr>
                <w:rFonts w:ascii="times new roman" w:hAnsi="times new roman"/>
                <w:i/>
                <w:sz w:val="20"/>
              </w:rPr>
            </w:pPr>
            <w:r>
              <w:rPr>
                <w:rFonts w:ascii="times new roman" w:hAnsi="times new roman"/>
                <w:i/>
                <w:sz w:val="20"/>
              </w:rPr>
              <w:t>Oil-Dri Corporation of America is a leading supplier of specialty sorbent products for industrial, automotive, agricultural, horticultural and specialty markets and the world’s largest manufacturer of cat litter.</w:t>
            </w:r>
          </w:p>
        </w:tc>
      </w:tr>
    </w:tbl>
    <w:p>
      <w:pPr>
        <w:pStyle w:val="TextBody"/>
        <w:spacing w:before="0" w:after="0"/>
        <w:ind w:left="0" w:right="0" w:hanging="0"/>
        <w:jc w:val="left"/>
        <w:rPr/>
      </w:pPr>
      <w:r>
        <w:rPr/>
        <w:t> </w:t>
      </w:r>
    </w:p>
    <w:p>
      <w:pPr>
        <w:pStyle w:val="TextBody"/>
        <w:spacing w:before="0" w:after="0"/>
        <w:ind w:left="0" w:right="0" w:hanging="0"/>
        <w:jc w:val="left"/>
        <w:rPr/>
      </w:pPr>
      <w:r>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928</Words>
  <CharactersWithSpaces>6428</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