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2017</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2017.</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5,136,614 Shares and Class B Stock – 2,182,381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2017.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18,133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$726 and $748 at October 31, 2017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22,759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3,690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88,901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227,077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84,251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$244 and $238 at October 31, 2017 and July 31, 2017,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$4,835 and $4,601 at October 31, 2017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33,765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206,917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7,828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1,748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7,607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6,085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$82 and $89 at October 31, 2017 and July 31, 2017,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29,314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51,060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78,807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8,045,606 shares at October 31, 2017</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8,015,166 shares at July 31, 2017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2,507,122 shares at October 31, 2017</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2,513,512 shares at July 31, 2017</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156,226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154,735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(10,146)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(10,185)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(2,908,992 Common and 324,741 Class B shares at</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(55,761)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October 31, 2017 and 2,907,370 Common and 324,741 Class B shares at July 31, 2017)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128,110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206,917</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66,646</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66,612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(47,677)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(45,887)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18,969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(15,053)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(17,679)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3,046</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154,735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149,945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156,226</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150,475</w:t>
            </w:r>
          </w:p>
        </w:tc>
      </w:tr>
      <w:tr>
        <w:trPr>
          <w:trHeight w:val="284"/>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0.45</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0.41</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2,090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7,211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0.2300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0.1730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0.1650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3,050</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181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3,157</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3,050</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330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2,568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1,325</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18,480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9,946</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8,401</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15,991</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2017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2017 are not necessarily an indication of the results that may be expected for the fiscal year ending July 31,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described herein, our significant accounting policies, which are detailed in our Annual Report on Form 10-K for the fiscal year ended July 31, 2017, have not materially changed. However, the unaudited Condensed Consolidated Financial Statements reflect changes required upon adoption of new accounting guidance, as described in Note 2. The following is a description of certain of our significant accounting policies.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an allowance for doubtful accounts based on our historical experience and a periodic review of our accounts receivable, 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production development costs on new mines and any prepaid royalties that may be offset against future royalties due upon extraction of the minerals are also capitalized. All exploration related costs are expensed as incurred.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Pronouncements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currently in the process of performing a comprehensive evaluation of the revenue requirements, including the impact on how we record certain incentives and advertising arrangements, as well as significant new disclosure requirements. We plan to adopt the standard at the beginning of our first quarter of fiscal year 2019. Transition options to implement this guidance include either a full or modified retrospective approach and early adoption is permitted. We expect to use the modified retrospective implementation method.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which requires presenting the service cost component of net periodic benefit cost in the same income statement line item(s) as other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with early adoption permitted.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the first quarter of fiscal year 2018, we adopted the FASB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that simplified several aspects of the accounting for share-based payment transactions, including accounting for income taxes and classification of excess tax benefits in the statement of cash flows. As a result of implementing this guidance, we recognized $143,000 excess tax benefits as a reduction of income tax expense, rather than in Stockholders' Equity on the unaudited Condensed Consolidated Balance Sheet, and classified in operating activities on the unaudited Condensed Consolidated Statements of Cash Flows. These changes have been applied prospectively in accordance with the guidance and prior period presentations have not been adjusted. The adoption resulted in approximately a 4% benefit to our effective tax rate for the first quarter of fiscal year 2018. In addition, we excluded the excess tax benefits from the assumed proceeds available to repurchase shares under the treasury stock method for the computation of diluted earnings per share. This change did not have a material impact on our diluted earnings per share for the first quarter of fiscal year 2018. The guidance allows for a policy election to either use estimated forfeitures or account for them as they occur to determine the amount of compensation cost to be recognized each period. We have elected to continue to account for forfeitures on an estimated basis. No other material changes resulted from the adoption of this standard.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required deferred tax liabilities and assets to be classified as noncurrent in a classified statement of financial position. Prior periods presented were also restated. We reclassified $2,787,000 from Total Current Assets to Total Other Assets on the unaudited Condensed Consolidated Balance Sheet as of both October 31, 2017 and July 31,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required inventory to be measured at the lower of cost and net realizable value, which is defined as the estimated selling price in the ordinary course of business less reasonably predictable costs of completion, disposal and transportation. Adoption of this guidance did not have a material impact on our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4,988</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22,759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22,615</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October 31, 2017 and July 31, 2017 were $1,072,000 and $619,000,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both"/>
        <w:spacing w:after="0" w:line="342" w:lineRule="auto"/>
        <w:rPr>
          <w:sz w:val="20"/>
          <w:szCs w:val="20"/>
          <w:color w:val="auto"/>
        </w:rPr>
      </w:pPr>
      <w:r>
        <w:rPr>
          <w:rFonts w:ascii="Arial" w:cs="Arial" w:eastAsia="Arial" w:hAnsi="Arial"/>
          <w:sz w:val="16"/>
          <w:szCs w:val="16"/>
          <w:color w:val="auto"/>
        </w:rPr>
        <w:t>Cash equivalents of $2,402,000 and $3,814,000 as of October 31, 2017 and July 31, 2017, respectively, were classified as Level 1. These cash instruments are primarily money market mutual funds and are included in cash and cash equivalents on the unaudited Condensed Consolidated Balance Sheet.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October 31, 2017 and July 31,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October 31, 2017 and July 31, 2017 due to the short maturity and nature of those balances.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$9,645,000 and $13,001,000 as of October 31, 2017 and July 31, 2017,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Intangible amortization expense was $254,000 and $305,000 in the first quarter of fiscal years 2018 and 2017, respectively. Estimated intangible amortization for the remainder of fiscal year 2018 is $758,000. Estimated intangible amortization for the next five fiscal years is as follows (in thousands):</w:t>
      </w:r>
    </w:p>
    <w:p>
      <w:pPr>
        <w:spacing w:after="0" w:line="57"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2017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Pension Benefits</w:t>
            </w:r>
          </w:p>
        </w:tc>
        <w:tc>
          <w:tcPr>
            <w:tcW w:w="48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r>
      <w:tr>
        <w:trPr>
          <w:trHeight w:val="20"/>
        </w:trPr>
        <w:tc>
          <w:tcPr>
            <w:tcW w:w="47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68"/>
        </w:trPr>
        <w:tc>
          <w:tcPr>
            <w:tcW w:w="478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$335,000 to our pension plan during the first quarter of fiscal year 2018. We estimate contributions will be $1,807,000 for the remainder of fiscal year 2018.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For the Three Months Ended October 31,</w:t>
            </w:r>
          </w:p>
        </w:tc>
        <w:tc>
          <w:tcPr>
            <w:tcW w:w="10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2017</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3.75%</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4.5% in fiscal year 2036.</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2017</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90,320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90,508</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51,733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56,730</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206,917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39,559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stock options outstanding at the end of fiscal year 2017 and no stock options were granted during the first three months of fiscal year 2018. No stock options were granted and no stock options were exercised during the first three months of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October 31, 2017 was issued under the 2006 Plan with vesting periods between two years and five years. We determine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 2018, we granted 23,000 restricted shares of Common Stock and 1,000 restricted shares of Class B Stock. During the first quarter of fiscal year 2017, we granted 13,000 restricted shares of Common Stock. Stock-based compensation expense related to non-vested restricted stock for the first quarter of fiscal years 2018 and 2017 was $502,000 and $431,000,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2017</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42.76</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33.77</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October 31, 2017</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October 31, 2017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$110,000. Amount is included in the components of net periodic benefit cost for the pension and postretirement health plans. See Note 6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member of our Board of Directors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$86,000 and $78,000 for the first quarters of fiscal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years 2018 and 2017, respectively. Outstanding accounts receivable from that customer, and its subsidiaries, were $14,000 as of October 31, 2017. There were no outstanding amounts due as of July 31,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$63,000 and $14,000 for the first quarters of fiscal years 2018 and 2017, respectively. Outstanding accounts payable to that vendor were $29,000 and $19,000 as of October 31, 2017 and July 31, 2017,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2017.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2017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net sales for the three months ended October 31, 2017 were $66,646,000, compared to $66,612,000 for the three months ended October 31, 2016. Net sales were up for the Retail and Wholesale Products Group, but were down for the Business to Business Products Group. Consolidated net income was $3,050,000 for the first quarter of fiscal year 2018, compared to $2,009,000 for the first quarter of fiscal year 2017. First quarter operating income increased for the Retail and Wholesale Products Group, but decreased for the Business to Business Products Group. Significantly lower advertising expense in the quarter, as described below, drove improvements in both consolidated net income and the Retail and Wholesale Products Group's operating income. Diluted net income per share was $0.41 for the first quarter of fiscal year 2018, compared to $0.28 for the first quarter of fiscal year 2017.</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gross profit as a percentage of net sales for the first quarter of fiscal year 2018 was 28%, which was lower than the 31% for the first quarter of fiscal year 2017, but was the same as for the full year of fiscal 2017. Gross profit was negatively impacted by higher natural gas and other manufacturing costs, as well as by increased packaging costs. The cost per manufactured ton for natural gas used to operate kilns that dry our clay was approximately 10% higher in the first quarter of fiscal year 2018 compared to the first quarter of fiscal year 2017. Other manufacturing costs per ton produced were up approximately 8%, including higher expenses for repairs, salaries and wages, and purchased ingredients. Packaging costs were approximately 12% higher compared to the first quarter of the prior fiscal year. Significant amounts of our packaging purchases are subject to contractual price adjustments throughout the year based on underlying commodity prices, including both resin and paper-based packaging.</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Total selling, general and administrative expenses were 15% lower for the first quarter of fiscal year 2018 compared to the first quarter of fiscal year 2017. The discussion below describes the selling, general and administrative expenses allocated to the operating segments, particularly lower advertising expense in the Retail and Wholesale Products Group. The remaining unallocated corporate expenses in the first quarter of fiscal year 2018 included higher costs for research and development, implementation of our new </w:t>
      </w:r>
      <w:r>
        <w:rPr>
          <w:rFonts w:ascii="Arial" w:cs="Arial" w:eastAsia="Arial" w:hAnsi="Arial"/>
          <w:sz w:val="18"/>
          <w:szCs w:val="18"/>
          <w:color w:val="222222"/>
        </w:rPr>
        <w:t>enterprise resource planning software and outside legal fees associated with ongoing</w:t>
      </w:r>
      <w:r>
        <w:rPr>
          <w:rFonts w:ascii="Arial" w:cs="Arial" w:eastAsia="Arial" w:hAnsi="Arial"/>
          <w:sz w:val="18"/>
          <w:szCs w:val="18"/>
          <w:color w:val="auto"/>
        </w:rPr>
        <w:t xml:space="preserve"> </w:t>
      </w:r>
      <w:r>
        <w:rPr>
          <w:rFonts w:ascii="Arial" w:cs="Arial" w:eastAsia="Arial" w:hAnsi="Arial"/>
          <w:sz w:val="18"/>
          <w:szCs w:val="18"/>
          <w:color w:val="222222"/>
        </w:rPr>
        <w:t xml:space="preserve">litigation, as described further in Part II. Item 1. </w:t>
      </w:r>
      <w:r>
        <w:rPr>
          <w:rFonts w:ascii="Arial" w:cs="Arial" w:eastAsia="Arial" w:hAnsi="Arial"/>
          <w:sz w:val="18"/>
          <w:szCs w:val="18"/>
          <w:color w:val="000000"/>
        </w:rPr>
        <w:t>“</w:t>
      </w:r>
      <w:r>
        <w:rPr>
          <w:rFonts w:ascii="Arial" w:cs="Arial" w:eastAsia="Arial" w:hAnsi="Arial"/>
          <w:sz w:val="18"/>
          <w:szCs w:val="18"/>
          <w:color w:val="222222"/>
        </w:rPr>
        <w:t>Legal Proceedings</w:t>
      </w:r>
      <w:r>
        <w:rPr>
          <w:rFonts w:ascii="Arial" w:cs="Arial" w:eastAsia="Arial" w:hAnsi="Arial"/>
          <w:sz w:val="18"/>
          <w:szCs w:val="18"/>
          <w:color w:val="000000"/>
        </w:rPr>
        <w:t>”</w:t>
      </w:r>
      <w:r>
        <w:rPr>
          <w:rFonts w:ascii="Arial" w:cs="Arial" w:eastAsia="Arial" w:hAnsi="Arial"/>
          <w:sz w:val="18"/>
          <w:szCs w:val="18"/>
          <w:color w:val="222222"/>
        </w:rPr>
        <w:t xml:space="preserve"> of this Quarterly Report on Form 10-Q. In addition, the </w:t>
      </w:r>
      <w:r>
        <w:rPr>
          <w:rFonts w:ascii="Arial" w:cs="Arial" w:eastAsia="Arial" w:hAnsi="Arial"/>
          <w:sz w:val="18"/>
          <w:szCs w:val="18"/>
          <w:color w:val="000000"/>
        </w:rPr>
        <w:t>estimated annual incentive</w:t>
      </w:r>
      <w:r>
        <w:rPr>
          <w:rFonts w:ascii="Arial" w:cs="Arial" w:eastAsia="Arial" w:hAnsi="Arial"/>
          <w:sz w:val="18"/>
          <w:szCs w:val="18"/>
          <w:color w:val="222222"/>
        </w:rPr>
        <w:t xml:space="preserve"> </w:t>
      </w:r>
      <w:r>
        <w:rPr>
          <w:rFonts w:ascii="Arial" w:cs="Arial" w:eastAsia="Arial" w:hAnsi="Arial"/>
          <w:sz w:val="18"/>
          <w:szCs w:val="18"/>
          <w:color w:val="000000"/>
        </w:rPr>
        <w:t>bonus accrual for the first quarter of fiscal year 2018 was higher compared to the same period of fiscal year 2017. The bonus accruals were based on performance targets established for each fiscal year.</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expense was 21% of pre-tax income for the first quarter of fiscal year 2018, compared to 25% for the first quarter of fiscal year 2017. We used an estimated annual effective tax rate in determining our quarterly provision for income taxes, which is based on expected annual taxable income and the assessment of various tax deductions, including depletion. The effective tax rate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first quarter of fiscal year 2018 was reduced approximately 4% by the recognition of excess tax benefits for share-based compensation upon adoption of new accounting guidance. See Note 2 of the Notes to Condensed Consolidated Financial Statements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of the Business to Business Products Group for the first quarter of fiscal year 2018 were $27,087,000, a decrease of $386,000, or 1%, from net sales of $27,473,000 for the first quarter of fiscal year 2017. Net sales of our animal health and nutrition products decreased approximately 7% across domestic and foreign markets. Sales by our subsidiary in China declined, as described further in “Foreign Operations” below. Higher sales in other Asian markets partially offset the sales decline in China. Net sales of our agricultural chemical carriers to manufacturers of crop protection products were lower and net sales of fluids purification products to edible oil producers were flat compared to the first quarter of the prior fiscal year. Co-packaged coarse cat litter sales increased due to a price adjustment under a co-packaging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Business to Business Products Group were 8% lower compared to the first quarter of fiscal year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due primarily to lower costs to promote our animal health and nutrition products.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quarter of fiscal year 2018 was $8,876,000, a decrease of $532,000, or 6%, from operating income of $9,408,000 in the first quarter of fiscal year 2017. Lower sales and higher natural gas, other manufacturing and packaging costs more than offset the benefit of lower selling, general and administrative expenses. See “Consolidated Results” above for further discussion of manufacturing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first quarter of fiscal year 2018 were $39,559,000, an increase of $420,000, or 1%, from net sales of $39,139,000 for the first quarter of fiscal year 2017. Net sales of industrial and automotive absorbent products were approximately 3% higher due primarily to higher sales to existing customers. Total cat litter net sales were flat compared to the first quarter of fiscal year 2017. Sales of our private label lightweight scoopable litter continued to see strong growth compared to the same quarter of the prior year, due primarily to new distribution and increased sales to current customers. Net sales of total branded scoopable litters increased slightly, with higher sales of traditional scoopable litters more than offsetting lower sales of lightweight litters. As discussed below, spending to advertise our branded lightweight litters was significantly lower in the first quarter of fiscal year 2018 compared to the prior year. These higher sales were offset primarily by approximately 10% lower sales of our branded and private label coarse non-clumping litter. The overall market for heavy coarse litter continued to trend down.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First quarter sales for our subsidiaries in both Canada and the United Kingdom were higher than the same period of the prior year. See “Foreign Operations” below for further discussion about the results of our foreign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41% lower compared to the first quarter of fiscal year 2017. The decrease was driven by approximately $3,200,000 lower advertising expense to promote our Fresh &amp; Light Ultimate Care lightweight cat litter. We plan to continue promoting lightweight litter through the remainder of fiscal year 2018 and we expect advertising expense for the full year of fiscal year 2018 to be at levels similar to fiscal year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quarter of fiscal year 2018 was $2,365,000, compared to an operating loss of $507,000 for the first quarter of fiscal year 2017. The increase in operating income was driven by the lower advertising costs discussed above. The reduction in advertising costs more than offset higher natural gas, other manufacturing and packaging costs. See “Consolidated Results” above for further discussion of manufacturing and packaging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quarter of fiscal year 2018 were $2,937,000, a 7% decrease compared to net sales of $3,151,000 in the first quarter of fiscal year 2017. Our subsidiary in China reported lower sales for animal health and nutrition products with approximately 16% fewer tons sold, predominately driven by the merger of two customers. Sales increased for industrial absorbent products sold by our subsidiary in Canada and for sales of fluids purification products sold by our subsidiary in the United Kingdom. Net sales by our foreign subsidiaries represented approximately 4% and 5% of consolidated net sales during the first quarters of fiscal years 2018 and 2017,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Our foreign subsidiaries reported net income of $199,000 for the first quarter of fiscal year 2018 compared to net income of $31,000 for the first quarter of fiscal year 2017. The strength in value of the British Pound relative to the U.S. Dollar resulted in an exchange rate gain upon conversion of the financial results of our United Kingdom into our financial reporting currency.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October 31, 2017 were $8,317,000, compared to $7,478,000 as of October 31, 2016. The increase was due primarily to higher cash and cash equivalents and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Common Stock; paying dividends; and business acquisitions. During the first three months of fiscal year 2018, we principally used cash generated from operations to fund these requirements. We also have the ability to borrow under our revolving credit agreement with BMO Harris Bank N.A. (“BMO Harris”), as described further below, however we have not borrowed under the credit agreement in recent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2018 and 2017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$696,000 in the first three months of fiscal year 2018 compared to an increase of $640,000 in the first three months of fiscal year 2017. The change in accounts receivable balances reflected differences in the level and timing of sales and collections, as well as the payment terms provided to various customers.</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Prepaid expenses increased $1,361,000 in the first three months of fiscal year 2018 compared to an increase of $1,057,000 in the first three months of fiscal year 2017. Prepayments of annual insurance premiums contributed to the increase in both fiscal years. In addition, prepaid advertising expenses increased in the first three months of fiscal year 2018 and prepayments for computer software licenses were included in the first three months of fiscal year 2017.</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decreased $825,000 in the first three months of fiscal year 2018 compared to an increase of $476,000 in the first three months of fiscal year 2017. Trade and freight payable varied in both periods due to timing of payments, fluctuations in the cost of goods and services we purchased, production volume levels and vendor payment terms. In addition, we performed a review of our vendor payment terms in fiscal year 2017 and adjusted the timing of our payments accordingly. Current accrued estimated income taxes are also included in accounts payable balances.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$3,275,000 in the first three months of fiscal year 2018 compared to a decrease of $3,592,000 in the first three months of fiscal year 2017. The payout of the prior fiscal year's discretionary incentive bonus drove lower accrued salaries in the first three months of both fiscal years 2018 and 2017. Accrued plant expenses fluctuated in the first three months of both fiscal years due to timing of payments, changes in the cost of goods and services we purchased, production volume levels and vendor payment terms. In addition, accrued trade promotions and advertising varied due to the timing of marketing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investing activities was $1,431,000 in the first three months of fiscal year 2018 compared to cash provided by investing activities of $533,000 in the first three months of fiscal year 2017. Cash used for capital expenditures was $4,045,000 and $4,295,000 in the first three months of fiscal years 2018 and 2017, respectively. Capital expenditures in both periods included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right="20"/>
        <w:spacing w:after="0" w:line="259" w:lineRule="auto"/>
        <w:rPr>
          <w:sz w:val="20"/>
          <w:szCs w:val="20"/>
          <w:color w:val="auto"/>
        </w:rPr>
      </w:pPr>
      <w:r>
        <w:rPr>
          <w:rFonts w:ascii="Arial" w:cs="Arial" w:eastAsia="Arial" w:hAnsi="Arial"/>
          <w:sz w:val="18"/>
          <w:szCs w:val="18"/>
          <w:color w:val="auto"/>
        </w:rPr>
        <w:t>spending for an enterprise resource planning system implementation, as well as equipment additions and replacement at our manufacturing facilities. Net dispositions of short-term investments provided cash of $5,468,000 and $4,827,000 in the first three months of fiscal years 2018 and 2017, respectively. Purchases and dispositions of investment securities in both periods are impacted by variations in the timing of investment maturities, the operating cash needs of the Company and the availability of investment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$4,663,000 in the first three months of fiscal year 2018 compared to cash used in financing activities of $4,554,000 in the first three months of fiscal year 2017. Scheduled payments on long-term debt were $3,083,000 in the first three months of both fiscal years 2018 and 2017. Dividend payments in the first three months of fiscal year 2018 were $1,553,000 compared to $1,477,000 paid during the same period of fiscal year 2017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$2,051,000 as of October 31, 2017 were higher than the October 31, 2016 balances of $1,453,000.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October 31, 2017, the variable rates would have been 4.25% for the BMO Harris prime-based rate or 2.36%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2017 and 2016,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2017, we had remaining authority to repurchase 300,822 shares of Common Stock under a repurchase plan approved by our Board of Directors. These repurchases may be made on the open market (pursuant to Rule 10b5-1 plans or otherwise) or in negotiated transactions. The timing and number of shares repurchased will be determined by our management.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plan to continue promoting our lightweight products and we expect advertising expense in fiscal year 2018 to be at similar levels as fiscal year 2017. We also anticipate that our capital expenditures in fiscal year 2018 will be higher than in fiscal year 2017, including costs related to our enterprise resource planning software implementation. </w:t>
      </w:r>
      <w:r>
        <w:rPr>
          <w:rFonts w:ascii="Arial" w:cs="Arial" w:eastAsia="Arial" w:hAnsi="Arial"/>
          <w:sz w:val="17"/>
          <w:szCs w:val="17"/>
          <w:color w:val="222222"/>
        </w:rPr>
        <w:t>We do not believe that these increased expenditures will</w:t>
      </w:r>
      <w:r>
        <w:rPr>
          <w:rFonts w:ascii="Arial" w:cs="Arial" w:eastAsia="Arial" w:hAnsi="Arial"/>
          <w:sz w:val="17"/>
          <w:szCs w:val="17"/>
          <w:color w:val="auto"/>
        </w:rPr>
        <w:t xml:space="preserve"> </w:t>
      </w:r>
      <w:r>
        <w:rPr>
          <w:rFonts w:ascii="Arial" w:cs="Arial" w:eastAsia="Arial" w:hAnsi="Arial"/>
          <w:sz w:val="17"/>
          <w:szCs w:val="17"/>
          <w:color w:val="222222"/>
        </w:rPr>
        <w:t xml:space="preserve">dramatically impact our cash position; however our cash requirements are subject to change as business conditions warrant and opportunities arise. </w:t>
      </w:r>
      <w:r>
        <w:rPr>
          <w:rFonts w:ascii="Arial" w:cs="Arial" w:eastAsia="Arial" w:hAnsi="Arial"/>
          <w:sz w:val="17"/>
          <w:szCs w:val="17"/>
          <w:color w:val="000000"/>
        </w:rPr>
        <w:t>We</w:t>
      </w:r>
      <w:r>
        <w:rPr>
          <w:rFonts w:ascii="Arial" w:cs="Arial" w:eastAsia="Arial" w:hAnsi="Arial"/>
          <w:sz w:val="17"/>
          <w:szCs w:val="17"/>
          <w:color w:val="222222"/>
        </w:rPr>
        <w:t xml:space="preserve"> </w:t>
      </w:r>
      <w:r>
        <w:rPr>
          <w:rFonts w:ascii="Arial" w:cs="Arial" w:eastAsia="Arial" w:hAnsi="Arial"/>
          <w:sz w:val="17"/>
          <w:szCs w:val="17"/>
          <w:color w:val="000000"/>
        </w:rPr>
        <w:t>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contractual obligations and commercial commitments (in thousands) as of October 31, 2017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15,673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25,656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9,459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8,408</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$335,000 during the first three months of fiscal year 2018. We estimate contributions of approximately $1,807,000 will be made during the remainder of fiscal year 2018.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exposed to foreign currency fluctuation risk, primarily the U.S. Dollar relative to the British Pound, Euro, Canadian Dollar and Chinese Yuan.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the first three months of fiscal year 2018; however, historically the overall foreign currency fluctuation risk has not been material to our Consolidated Financial Statements. During the first three months of fiscal year 2018, we did not enter into any hedge contracts to offset any adverse effect of changes in currency exchange rates.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As of October 31, 2017, we have not purchased any natural gas contracts for our planned kiln fuel needs for the remainder of fiscal year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2017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supplement to the description of the litigation under Item 3, “Legal Proceedings,” in the Annual Report on Form 10-K for the fiscal year ended July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Discovery in this case is proceeding.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Nestlé filed a petition for Inter Partes Review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and briefing commenced. In November 2017, Nestle filed a motion in that Court to remand the case to the PTAB for consideration of additional evidence that it claims that we should have provided to the PTAB. On December 4, 2017, we filed a response to the motion to remand.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October 31, 2017,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Ended October 31, 2017</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August 1, 2017 to August</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31, 2017</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301,444</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1, 2017 to</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301,444</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2017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622</w:t>
            </w: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$42.76</w:t>
            </w: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300,822</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the notes to the Consolidated Financial Statements included in our Annual Report on Form 10-K for the fiscal year ended July 31, 2017 filed with the SEC.</w:t>
      </w:r>
    </w:p>
    <w:p>
      <w:pPr>
        <w:spacing w:after="0" w:line="202" w:lineRule="exact"/>
        <w:rPr>
          <w:sz w:val="20"/>
          <w:szCs w:val="20"/>
          <w:color w:val="auto"/>
        </w:rPr>
      </w:pPr>
    </w:p>
    <w:p>
      <w:pPr>
        <w:jc w:val="both"/>
        <w:ind w:firstLine="8"/>
        <w:spacing w:after="0" w:line="232" w:lineRule="auto"/>
        <w:tabs>
          <w:tab w:leader="none" w:pos="1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00" w:type="dxa"/>
            <w:vAlign w:val="bottom"/>
            <w:gridSpan w:val="5"/>
          </w:tcPr>
          <w:p>
            <w:pPr>
              <w:ind w:left="5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Statement re: Computation of Earnings per Share</w:t>
              </w:r>
            </w:hyperlink>
            <w:r>
              <w:rPr>
                <w:rFonts w:ascii="Arial" w:cs="Arial" w:eastAsia="Arial" w:hAnsi="Arial"/>
                <w:sz w:val="18"/>
                <w:szCs w:val="18"/>
                <w:color w:val="000000"/>
              </w:rPr>
              <w: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top w:val="single" w:sz="8" w:color="0000FF"/>
            </w:tcBorders>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Certifications pursuant to Rule 13a–14(a)</w:t>
              </w:r>
            </w:hyperlink>
            <w:r>
              <w:rPr>
                <w:rFonts w:ascii="Arial" w:cs="Arial" w:eastAsia="Arial" w:hAnsi="Arial"/>
                <w:sz w:val="18"/>
                <w:szCs w:val="18"/>
                <w:color w:val="000000"/>
              </w:rPr>
              <w:t>.</w:t>
            </w:r>
          </w:p>
        </w:tc>
        <w:tc>
          <w:tcPr>
            <w:tcW w:w="2120" w:type="dxa"/>
            <w:vAlign w:val="bottom"/>
            <w:gridSpan w:val="3"/>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6"/>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Certifications pursuant to Section 1350 of the Sarbanes-Oxley Act of 2002.</w:t>
              </w:r>
            </w:hyperlink>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Mine Safety Disclosures</w:t>
              </w:r>
            </w:hyperlink>
          </w:p>
        </w:tc>
        <w:tc>
          <w:tcPr>
            <w:tcW w:w="3640" w:type="dxa"/>
            <w:vAlign w:val="bottom"/>
            <w:tcBorders>
              <w:top w:val="single" w:sz="8" w:color="0000FF"/>
            </w:tcBorders>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56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2017</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20"/>
          </w:cols>
          <w:pgMar w:left="580" w:top="584" w:right="9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5"/>
        </w:numPr>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Statement re: Computation of Earnings per Share.</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6"/>
        </w:numPr>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6"/>
        </w:numPr>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Certifications pursuant to Section 1350 of the Sarbanes-Oxley Act of 2002.</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7"/>
        </w:numPr>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22860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8"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Less: Distributed and undistributed earnings allocated</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5,025</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Average shares outstanding - Basic Class B Common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2,090</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Potential Common Stock relating to stock options and</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7,211</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8, 2017</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8, 2017</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8,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8,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2017.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1,227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1,102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116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12,546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2017.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decimal"/>
      <w:start w:val="31"/>
    </w:lvl>
  </w:abstractNum>
  <w:abstractNum w:abstractNumId="6">
    <w:nsid w:val="7545E146"/>
    <w:multiLevelType w:val="hybridMultilevel"/>
    <w:lvl w:ilvl="0">
      <w:lvlJc w:val="left"/>
      <w:lvlText w:val="%1"/>
      <w:numFmt w:val="decimal"/>
      <w:start w:val="95"/>
    </w:lvl>
  </w:abstractNum>
  <w:abstractNum w:abstractNumId="7">
    <w:nsid w:val="515F007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2020-01-19T00:25:28Z</dcterms:created>
  <dcterms:modified xsi:type="dcterms:W3CDTF">2020-01-19T00:25:28Z</dcterms:modified>
</cp:coreProperties>
</file>