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55" w:lineRule="exact"/>
        <w:rPr>
          <w:sz w:val="24"/>
          <w:szCs w:val="24"/>
          <w:color w:val="auto"/>
        </w:rPr>
      </w:pPr>
    </w:p>
    <w:tbl>
      <w:tblPr>
        <w:tblLayout w:type="fixed"/>
        <w:tblInd w:w="280" w:type="dxa"/>
        <w:tblCellMar>
          <w:top w:w="0" w:type="dxa"/>
          <w:left w:w="0" w:type="dxa"/>
          <w:bottom w:w="0" w:type="dxa"/>
          <w:right w:w="0" w:type="dxa"/>
        </w:tblCellMar>
      </w:tblPr>
      <w:tr>
        <w:trPr>
          <w:trHeight w:val="248"/>
        </w:trPr>
        <w:tc>
          <w:tcPr>
            <w:tcW w:w="75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2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March 11, 2026</w:t>
            </w:r>
          </w:p>
        </w:tc>
      </w:tr>
      <w:tr>
        <w:trPr>
          <w:trHeight w:val="522"/>
        </w:trPr>
        <w:tc>
          <w:tcPr>
            <w:tcW w:w="3320" w:type="dxa"/>
            <w:vAlign w:val="bottom"/>
          </w:tcPr>
          <w:p>
            <w:pPr>
              <w:spacing w:after="0"/>
              <w:rPr>
                <w:sz w:val="24"/>
                <w:szCs w:val="24"/>
                <w:color w:val="auto"/>
              </w:rPr>
            </w:pPr>
          </w:p>
        </w:tc>
        <w:tc>
          <w:tcPr>
            <w:tcW w:w="4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2780" w:type="dxa"/>
            <w:vAlign w:val="bottom"/>
          </w:tcPr>
          <w:p>
            <w:pPr>
              <w:spacing w:after="0"/>
              <w:rPr>
                <w:sz w:val="24"/>
                <w:szCs w:val="24"/>
                <w:color w:val="auto"/>
              </w:rPr>
            </w:pPr>
          </w:p>
        </w:tc>
      </w:tr>
      <w:tr>
        <w:trPr>
          <w:trHeight w:val="234"/>
        </w:trPr>
        <w:tc>
          <w:tcPr>
            <w:tcW w:w="3320" w:type="dxa"/>
            <w:vAlign w:val="bottom"/>
          </w:tcPr>
          <w:p>
            <w:pPr>
              <w:spacing w:after="0"/>
              <w:rPr>
                <w:sz w:val="20"/>
                <w:szCs w:val="20"/>
                <w:color w:val="auto"/>
              </w:rPr>
            </w:pPr>
          </w:p>
        </w:tc>
        <w:tc>
          <w:tcPr>
            <w:tcW w:w="4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2780" w:type="dxa"/>
            <w:vAlign w:val="bottom"/>
          </w:tcPr>
          <w:p>
            <w:pPr>
              <w:spacing w:after="0"/>
              <w:rPr>
                <w:sz w:val="20"/>
                <w:szCs w:val="20"/>
                <w:color w:val="auto"/>
              </w:rPr>
            </w:pPr>
          </w:p>
        </w:tc>
      </w:tr>
      <w:tr>
        <w:trPr>
          <w:trHeight w:val="589"/>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00" w:type="dxa"/>
            <w:vAlign w:val="bottom"/>
          </w:tcPr>
          <w:p>
            <w:pPr>
              <w:jc w:val="right"/>
              <w:ind w:right="1730"/>
              <w:spacing w:after="0"/>
              <w:rPr>
                <w:sz w:val="20"/>
                <w:szCs w:val="20"/>
                <w:color w:val="auto"/>
              </w:rPr>
            </w:pPr>
            <w:r>
              <w:rPr>
                <w:rFonts w:ascii="Times New Roman" w:cs="Times New Roman" w:eastAsia="Times New Roman" w:hAnsi="Times New Roman"/>
                <w:sz w:val="18"/>
                <w:szCs w:val="18"/>
                <w:b w:val="1"/>
                <w:bCs w:val="1"/>
                <w:color w:val="auto"/>
              </w:rPr>
              <w:t>001-12622</w:t>
            </w:r>
          </w:p>
        </w:tc>
        <w:tc>
          <w:tcPr>
            <w:tcW w:w="27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36-2048898</w:t>
            </w:r>
          </w:p>
        </w:tc>
      </w:tr>
      <w:tr>
        <w:trPr>
          <w:trHeight w:val="180"/>
        </w:trPr>
        <w:tc>
          <w:tcPr>
            <w:tcW w:w="33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20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243"/>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organization)</w:t>
            </w:r>
          </w:p>
        </w:tc>
        <w:tc>
          <w:tcPr>
            <w:tcW w:w="42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(Commission File Number)</w:t>
            </w:r>
          </w:p>
        </w:tc>
        <w:tc>
          <w:tcPr>
            <w:tcW w:w="2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33"/>
        </w:trPr>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410 North Michigan Avenue, Suite 400</w:t>
            </w:r>
          </w:p>
        </w:tc>
        <w:tc>
          <w:tcPr>
            <w:tcW w:w="42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0"/>
        </w:trPr>
        <w:tc>
          <w:tcPr>
            <w:tcW w:w="33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Chicago, Illinois</w:t>
            </w:r>
          </w:p>
        </w:tc>
        <w:tc>
          <w:tcPr>
            <w:tcW w:w="4200" w:type="dxa"/>
            <w:vAlign w:val="bottom"/>
          </w:tcPr>
          <w:p>
            <w:pPr>
              <w:spacing w:after="0"/>
              <w:rPr>
                <w:sz w:val="19"/>
                <w:szCs w:val="19"/>
                <w:color w:val="auto"/>
              </w:rPr>
            </w:pPr>
          </w:p>
        </w:tc>
        <w:tc>
          <w:tcPr>
            <w:tcW w:w="2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60611-4213</w:t>
            </w:r>
          </w:p>
        </w:tc>
      </w:tr>
      <w:tr>
        <w:trPr>
          <w:trHeight w:val="23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00" w:type="dxa"/>
            <w:vAlign w:val="bottom"/>
          </w:tcPr>
          <w:p>
            <w:pPr>
              <w:spacing w:after="0"/>
              <w:rPr>
                <w:sz w:val="20"/>
                <w:szCs w:val="20"/>
                <w:color w:val="auto"/>
              </w:rPr>
            </w:pP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8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jc w:val="both"/>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5" w:right="339" w:bottom="1440" w:gutter="0" w:footer="0" w:header="0"/>
        </w:sectPr>
      </w:pPr>
    </w:p>
    <w:p>
      <w:pPr>
        <w:spacing w:after="0" w:line="127"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7"/>
          <w:szCs w:val="17"/>
          <w:color w:val="auto"/>
        </w:rPr>
        <w:t>Common Stock, par value $0.10 per share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ODC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93" w:lineRule="exact"/>
        <w:rPr>
          <w:sz w:val="24"/>
          <w:szCs w:val="24"/>
          <w:color w:val="auto"/>
        </w:rPr>
      </w:pPr>
    </w:p>
    <w:p>
      <w:pPr>
        <w:sectPr>
          <w:pgSz w:w="11900" w:h="16838" w:orient="portrait"/>
          <w:cols w:equalWidth="0" w:num="3">
            <w:col w:w="4080" w:space="620"/>
            <w:col w:w="1440" w:space="660"/>
            <w:col w:w="4440"/>
          </w:cols>
          <w:pgMar w:left="320" w:top="995" w:right="339" w:bottom="1440" w:gutter="0" w:footer="0" w:header="0"/>
          <w:type w:val="continuous"/>
        </w:sect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85725</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51435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11, 2026, Oil-Dri Corporation of America (the “Company”) issued a press release announcing its results of operations for its second quarter ended January 31, 2026. A copy of the press release is attached as Exhibit 99.1, and the information contained therein is incorporated herein by reference.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hereto, is being furnished and shall not be deemed “filed” for purposes of Section 18 of the Securities Exchange Act of 1934, as amended (the “Exchange Act”), or otherwise subject to the liabilities of that section. This information shall not be deemed to be incorporated by reference into any filing under the Securities Act of 1933, as amended, or the Exchange Act, except as shall be expressly set forth by specific reference to such disclosure in this Form 8-K in such a filing.</w:t>
      </w:r>
    </w:p>
    <w:p>
      <w:pPr>
        <w:spacing w:after="0" w:line="338"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2"/>
          </w:tcPr>
          <w:p>
            <w:pPr>
              <w:ind w:left="3900"/>
              <w:spacing w:after="0"/>
              <w:rPr>
                <w:sz w:val="20"/>
                <w:szCs w:val="20"/>
                <w:color w:val="auto"/>
              </w:rPr>
            </w:pPr>
            <w:r>
              <w:rPr>
                <w:rFonts w:ascii="Times New Roman" w:cs="Times New Roman" w:eastAsia="Times New Roman" w:hAnsi="Times New Roman"/>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Earnings Press Release of the Company dated March 11, 2026</w:t>
            </w:r>
          </w:p>
        </w:tc>
        <w:tc>
          <w:tcPr>
            <w:tcW w:w="5040" w:type="dxa"/>
            <w:vAlign w:val="bottom"/>
            <w:gridSpan w:val="2"/>
          </w:tcPr>
          <w:p>
            <w:pPr>
              <w:spacing w:after="0"/>
              <w:rPr>
                <w:sz w:val="24"/>
                <w:szCs w:val="24"/>
                <w:color w:val="auto"/>
              </w:rPr>
            </w:pPr>
          </w:p>
        </w:tc>
      </w:tr>
      <w:tr>
        <w:trPr>
          <w:trHeight w:val="304"/>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iXBRL document)</w:t>
            </w:r>
          </w:p>
        </w:tc>
      </w:tr>
      <w:tr>
        <w:trPr>
          <w:trHeight w:val="1559"/>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W. Parker</w:t>
            </w:r>
          </w:p>
        </w:tc>
      </w:tr>
      <w:tr>
        <w:trPr>
          <w:trHeight w:val="218"/>
        </w:trPr>
        <w:tc>
          <w:tcPr>
            <w:tcW w:w="6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W. Parker</w:t>
            </w:r>
          </w:p>
        </w:tc>
      </w:tr>
      <w:tr>
        <w:trPr>
          <w:trHeight w:val="234"/>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General Counsel &amp; Secretary</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ectPr>
          <w:pgSz w:w="11900" w:h="16838" w:orient="portrait"/>
          <w:cols w:equalWidth="0" w:num="1">
            <w:col w:w="11220"/>
          </w:cols>
          <w:pgMar w:left="320" w:top="887"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9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98425</wp:posOffset>
            </wp:positionV>
            <wp:extent cx="65919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1935"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2"/>
          <w:szCs w:val="22"/>
          <w:color w:val="auto"/>
        </w:rPr>
        <w:t>Exhibit 99.1</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Oil-Dri Announces Highest Second Quarter Revenues on Record</w:t>
      </w:r>
    </w:p>
    <w:p>
      <w:pPr>
        <w:spacing w:after="0" w:line="251"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22"/>
          <w:szCs w:val="22"/>
          <w:color w:val="auto"/>
        </w:rPr>
        <w:t>CHICAGO-(March 11, 2026) - Oil-Dri Corporation of America (NYSE: ODC), producer and marketer of sorbent mineral products, today announced results for its second quarter and first six- months of fiscal year 2026.</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3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4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Second Quarter</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c>
          <w:tcPr>
            <w:tcW w:w="1060" w:type="dxa"/>
            <w:vAlign w:val="bottom"/>
          </w:tcPr>
          <w:p>
            <w:pPr>
              <w:spacing w:after="0"/>
              <w:rPr>
                <w:sz w:val="20"/>
                <w:szCs w:val="20"/>
                <w:color w:val="auto"/>
              </w:rPr>
            </w:pPr>
          </w:p>
        </w:tc>
      </w:tr>
      <w:tr>
        <w:trPr>
          <w:trHeight w:val="236"/>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i w:val="1"/>
                <w:iCs w:val="1"/>
                <w:color w:val="auto"/>
                <w:w w:val="99"/>
              </w:rPr>
              <w:t>Ended January 31,</w:t>
            </w: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i w:val="1"/>
                <w:iCs w:val="1"/>
                <w:color w:val="auto"/>
              </w:rPr>
              <w:t>Ended January 31,</w:t>
            </w:r>
          </w:p>
        </w:tc>
        <w:tc>
          <w:tcPr>
            <w:tcW w:w="1060" w:type="dxa"/>
            <w:vAlign w:val="bottom"/>
            <w:tcBorders>
              <w:bottom w:val="single" w:sz="8" w:color="auto"/>
            </w:tcBorders>
          </w:tcPr>
          <w:p>
            <w:pPr>
              <w:spacing w:after="0"/>
              <w:rPr>
                <w:sz w:val="20"/>
                <w:szCs w:val="20"/>
                <w:color w:val="auto"/>
              </w:rPr>
            </w:pPr>
          </w:p>
        </w:tc>
      </w:tr>
      <w:tr>
        <w:trPr>
          <w:trHeight w:val="223"/>
        </w:trPr>
        <w:tc>
          <w:tcPr>
            <w:tcW w:w="3960" w:type="dxa"/>
            <w:vAlign w:val="bottom"/>
            <w:tcBorders>
              <w:left w:val="single" w:sz="8" w:color="auto"/>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19"/>
                <w:szCs w:val="19"/>
                <w:color w:val="auto"/>
              </w:rPr>
            </w:pPr>
          </w:p>
        </w:tc>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9"/>
                <w:szCs w:val="19"/>
                <w:color w:val="auto"/>
              </w:rPr>
            </w:pPr>
          </w:p>
        </w:tc>
        <w:tc>
          <w:tcPr>
            <w:tcW w:w="13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9"/>
        </w:trPr>
        <w:tc>
          <w:tcPr>
            <w:tcW w:w="396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Consolidated Results</w:t>
            </w: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300" w:type="dxa"/>
            <w:vAlign w:val="bottom"/>
            <w:shd w:val="clear" w:color="auto" w:fill="000000"/>
          </w:tcPr>
          <w:p>
            <w:pPr>
              <w:spacing w:after="0"/>
              <w:rPr>
                <w:sz w:val="19"/>
                <w:szCs w:val="19"/>
                <w:color w:val="auto"/>
              </w:rPr>
            </w:pPr>
          </w:p>
        </w:tc>
        <w:tc>
          <w:tcPr>
            <w:tcW w:w="1140" w:type="dxa"/>
            <w:vAlign w:val="bottom"/>
            <w:shd w:val="clear" w:color="auto" w:fill="000000"/>
          </w:tcPr>
          <w:p>
            <w:pPr>
              <w:spacing w:after="0"/>
              <w:rPr>
                <w:sz w:val="19"/>
                <w:szCs w:val="19"/>
                <w:color w:val="auto"/>
              </w:rPr>
            </w:pPr>
          </w:p>
        </w:tc>
        <w:tc>
          <w:tcPr>
            <w:tcW w:w="1060" w:type="dxa"/>
            <w:vAlign w:val="bottom"/>
            <w:tcBorders>
              <w:right w:val="single" w:sz="8" w:color="auto"/>
            </w:tcBorders>
            <w:shd w:val="clear" w:color="auto" w:fill="000000"/>
          </w:tcPr>
          <w:p>
            <w:pPr>
              <w:spacing w:after="0"/>
              <w:rPr>
                <w:sz w:val="19"/>
                <w:szCs w:val="19"/>
                <w:color w:val="auto"/>
              </w:rPr>
            </w:pP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1300" w:type="dxa"/>
            <w:vAlign w:val="bottom"/>
            <w:shd w:val="clear" w:color="auto" w:fill="000000"/>
          </w:tcPr>
          <w:p>
            <w:pPr>
              <w:spacing w:after="0"/>
              <w:rPr>
                <w:sz w:val="19"/>
                <w:szCs w:val="19"/>
                <w:color w:val="auto"/>
              </w:rPr>
            </w:pPr>
          </w:p>
        </w:tc>
        <w:tc>
          <w:tcPr>
            <w:tcW w:w="1060" w:type="dxa"/>
            <w:vAlign w:val="bottom"/>
            <w:tcBorders>
              <w:right w:val="single" w:sz="8" w:color="auto"/>
            </w:tcBorders>
            <w:shd w:val="clear" w:color="auto" w:fill="000000"/>
          </w:tcPr>
          <w:p>
            <w:pPr>
              <w:spacing w:after="0"/>
              <w:rPr>
                <w:sz w:val="19"/>
                <w:szCs w:val="19"/>
                <w:color w:val="auto"/>
              </w:rPr>
            </w:pPr>
          </w:p>
        </w:tc>
      </w:tr>
      <w:tr>
        <w:trPr>
          <w:trHeight w:val="225"/>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117,737</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116,914</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244,859</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(3)%</w:t>
            </w:r>
          </w:p>
        </w:tc>
      </w:tr>
      <w:tr>
        <w:trPr>
          <w:trHeight w:val="230"/>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Income from Operations *</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15,693</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17,482</w:t>
            </w: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38,672</w:t>
            </w: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12,921</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29,297</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(4)%</w:t>
            </w:r>
          </w:p>
        </w:tc>
      </w:tr>
      <w:tr>
        <w:trPr>
          <w:trHeight w:val="230"/>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EBITDA †</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21,735</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22,216</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48,383</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(6)%</w:t>
            </w:r>
          </w:p>
        </w:tc>
      </w:tr>
      <w:tr>
        <w:trPr>
          <w:trHeight w:val="234"/>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Diluted EPS - Common</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0.89</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2.01</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(4)%</w:t>
            </w:r>
          </w:p>
        </w:tc>
      </w:tr>
      <w:tr>
        <w:trPr>
          <w:trHeight w:val="229"/>
        </w:trPr>
        <w:tc>
          <w:tcPr>
            <w:tcW w:w="396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Business to Business</w:t>
            </w: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300" w:type="dxa"/>
            <w:vAlign w:val="bottom"/>
            <w:shd w:val="clear" w:color="auto" w:fill="000000"/>
          </w:tcPr>
          <w:p>
            <w:pPr>
              <w:spacing w:after="0"/>
              <w:rPr>
                <w:sz w:val="19"/>
                <w:szCs w:val="19"/>
                <w:color w:val="auto"/>
              </w:rPr>
            </w:pPr>
          </w:p>
        </w:tc>
        <w:tc>
          <w:tcPr>
            <w:tcW w:w="1140" w:type="dxa"/>
            <w:vAlign w:val="bottom"/>
            <w:shd w:val="clear" w:color="auto" w:fill="000000"/>
          </w:tcPr>
          <w:p>
            <w:pPr>
              <w:spacing w:after="0"/>
              <w:rPr>
                <w:sz w:val="19"/>
                <w:szCs w:val="19"/>
                <w:color w:val="auto"/>
              </w:rPr>
            </w:pPr>
          </w:p>
        </w:tc>
        <w:tc>
          <w:tcPr>
            <w:tcW w:w="1060" w:type="dxa"/>
            <w:vAlign w:val="bottom"/>
            <w:tcBorders>
              <w:right w:val="single" w:sz="8" w:color="auto"/>
            </w:tcBorders>
            <w:shd w:val="clear" w:color="auto" w:fill="000000"/>
          </w:tcPr>
          <w:p>
            <w:pPr>
              <w:spacing w:after="0"/>
              <w:rPr>
                <w:sz w:val="19"/>
                <w:szCs w:val="19"/>
                <w:color w:val="auto"/>
              </w:rPr>
            </w:pPr>
          </w:p>
        </w:tc>
        <w:tc>
          <w:tcPr>
            <w:tcW w:w="240" w:type="dxa"/>
            <w:vAlign w:val="bottom"/>
            <w:shd w:val="clear" w:color="auto" w:fill="000000"/>
          </w:tcPr>
          <w:p>
            <w:pPr>
              <w:spacing w:after="0"/>
              <w:rPr>
                <w:sz w:val="19"/>
                <w:szCs w:val="19"/>
                <w:color w:val="auto"/>
              </w:rPr>
            </w:pPr>
          </w:p>
        </w:tc>
        <w:tc>
          <w:tcPr>
            <w:tcW w:w="920" w:type="dxa"/>
            <w:vAlign w:val="bottom"/>
            <w:shd w:val="clear" w:color="auto" w:fill="000000"/>
          </w:tcPr>
          <w:p>
            <w:pPr>
              <w:spacing w:after="0"/>
              <w:rPr>
                <w:sz w:val="19"/>
                <w:szCs w:val="19"/>
                <w:color w:val="auto"/>
              </w:rPr>
            </w:pPr>
          </w:p>
        </w:tc>
        <w:tc>
          <w:tcPr>
            <w:tcW w:w="140" w:type="dxa"/>
            <w:vAlign w:val="bottom"/>
            <w:shd w:val="clear" w:color="auto" w:fill="000000"/>
          </w:tcPr>
          <w:p>
            <w:pPr>
              <w:spacing w:after="0"/>
              <w:rPr>
                <w:sz w:val="19"/>
                <w:szCs w:val="19"/>
                <w:color w:val="auto"/>
              </w:rPr>
            </w:pPr>
          </w:p>
        </w:tc>
        <w:tc>
          <w:tcPr>
            <w:tcW w:w="1300" w:type="dxa"/>
            <w:vAlign w:val="bottom"/>
            <w:shd w:val="clear" w:color="auto" w:fill="000000"/>
          </w:tcPr>
          <w:p>
            <w:pPr>
              <w:spacing w:after="0"/>
              <w:rPr>
                <w:sz w:val="19"/>
                <w:szCs w:val="19"/>
                <w:color w:val="auto"/>
              </w:rPr>
            </w:pPr>
          </w:p>
        </w:tc>
        <w:tc>
          <w:tcPr>
            <w:tcW w:w="1060" w:type="dxa"/>
            <w:vAlign w:val="bottom"/>
            <w:tcBorders>
              <w:right w:val="single" w:sz="8" w:color="auto"/>
            </w:tcBorders>
            <w:shd w:val="clear" w:color="auto" w:fill="000000"/>
          </w:tcPr>
          <w:p>
            <w:pPr>
              <w:spacing w:after="0"/>
              <w:rPr>
                <w:sz w:val="19"/>
                <w:szCs w:val="19"/>
                <w:color w:val="auto"/>
              </w:rPr>
            </w:pPr>
          </w:p>
        </w:tc>
      </w:tr>
      <w:tr>
        <w:trPr>
          <w:trHeight w:val="225"/>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41,977</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43,416</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91,831</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(6)%</w:t>
            </w:r>
          </w:p>
        </w:tc>
      </w:tr>
      <w:tr>
        <w:trPr>
          <w:trHeight w:val="234"/>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14,322</w:t>
            </w: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31,432</w:t>
            </w:r>
          </w:p>
        </w:tc>
        <w:tc>
          <w:tcPr>
            <w:tcW w:w="106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396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Retail and Wholesale</w:t>
            </w:r>
          </w:p>
        </w:tc>
        <w:tc>
          <w:tcPr>
            <w:tcW w:w="24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300" w:type="dxa"/>
            <w:vAlign w:val="bottom"/>
            <w:shd w:val="clear" w:color="auto" w:fill="000000"/>
          </w:tcPr>
          <w:p>
            <w:pPr>
              <w:spacing w:after="0"/>
              <w:rPr>
                <w:sz w:val="21"/>
                <w:szCs w:val="21"/>
                <w:color w:val="auto"/>
              </w:rPr>
            </w:pPr>
          </w:p>
        </w:tc>
        <w:tc>
          <w:tcPr>
            <w:tcW w:w="1140" w:type="dxa"/>
            <w:vAlign w:val="bottom"/>
            <w:shd w:val="clear" w:color="auto" w:fill="000000"/>
          </w:tcPr>
          <w:p>
            <w:pPr>
              <w:spacing w:after="0"/>
              <w:rPr>
                <w:sz w:val="21"/>
                <w:szCs w:val="21"/>
                <w:color w:val="auto"/>
              </w:rPr>
            </w:pPr>
          </w:p>
        </w:tc>
        <w:tc>
          <w:tcPr>
            <w:tcW w:w="1060" w:type="dxa"/>
            <w:vAlign w:val="bottom"/>
            <w:tcBorders>
              <w:right w:val="single" w:sz="8" w:color="auto"/>
            </w:tcBorders>
            <w:shd w:val="clear" w:color="auto" w:fill="000000"/>
          </w:tcPr>
          <w:p>
            <w:pPr>
              <w:spacing w:after="0"/>
              <w:rPr>
                <w:sz w:val="21"/>
                <w:szCs w:val="21"/>
                <w:color w:val="auto"/>
              </w:rPr>
            </w:pPr>
          </w:p>
        </w:tc>
        <w:tc>
          <w:tcPr>
            <w:tcW w:w="240" w:type="dxa"/>
            <w:vAlign w:val="bottom"/>
            <w:shd w:val="clear" w:color="auto" w:fill="000000"/>
          </w:tcPr>
          <w:p>
            <w:pPr>
              <w:spacing w:after="0"/>
              <w:rPr>
                <w:sz w:val="21"/>
                <w:szCs w:val="21"/>
                <w:color w:val="auto"/>
              </w:rPr>
            </w:pPr>
          </w:p>
        </w:tc>
        <w:tc>
          <w:tcPr>
            <w:tcW w:w="920" w:type="dxa"/>
            <w:vAlign w:val="bottom"/>
            <w:shd w:val="clear" w:color="auto" w:fill="000000"/>
          </w:tcPr>
          <w:p>
            <w:pPr>
              <w:spacing w:after="0"/>
              <w:rPr>
                <w:sz w:val="21"/>
                <w:szCs w:val="21"/>
                <w:color w:val="auto"/>
              </w:rPr>
            </w:pPr>
          </w:p>
        </w:tc>
        <w:tc>
          <w:tcPr>
            <w:tcW w:w="140" w:type="dxa"/>
            <w:vAlign w:val="bottom"/>
            <w:shd w:val="clear" w:color="auto" w:fill="000000"/>
          </w:tcPr>
          <w:p>
            <w:pPr>
              <w:spacing w:after="0"/>
              <w:rPr>
                <w:sz w:val="21"/>
                <w:szCs w:val="21"/>
                <w:color w:val="auto"/>
              </w:rPr>
            </w:pPr>
          </w:p>
        </w:tc>
        <w:tc>
          <w:tcPr>
            <w:tcW w:w="1300" w:type="dxa"/>
            <w:vAlign w:val="bottom"/>
            <w:shd w:val="clear" w:color="auto" w:fill="000000"/>
          </w:tcPr>
          <w:p>
            <w:pPr>
              <w:spacing w:after="0"/>
              <w:rPr>
                <w:sz w:val="21"/>
                <w:szCs w:val="21"/>
                <w:color w:val="auto"/>
              </w:rPr>
            </w:pPr>
          </w:p>
        </w:tc>
        <w:tc>
          <w:tcPr>
            <w:tcW w:w="1060" w:type="dxa"/>
            <w:vAlign w:val="bottom"/>
            <w:tcBorders>
              <w:right w:val="single" w:sz="8" w:color="auto"/>
            </w:tcBorders>
            <w:shd w:val="clear" w:color="auto" w:fill="000000"/>
          </w:tcPr>
          <w:p>
            <w:pPr>
              <w:spacing w:after="0"/>
              <w:rPr>
                <w:sz w:val="21"/>
                <w:szCs w:val="21"/>
                <w:color w:val="auto"/>
              </w:rPr>
            </w:pPr>
          </w:p>
        </w:tc>
      </w:tr>
      <w:tr>
        <w:trPr>
          <w:trHeight w:val="225"/>
        </w:trPr>
        <w:tc>
          <w:tcPr>
            <w:tcW w:w="39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73,498</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153,028</w:t>
            </w: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(1)%</w:t>
            </w:r>
          </w:p>
        </w:tc>
      </w:tr>
      <w:tr>
        <w:trPr>
          <w:trHeight w:val="234"/>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10,772</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11,328</w:t>
            </w:r>
          </w:p>
        </w:tc>
        <w:tc>
          <w:tcPr>
            <w:tcW w:w="106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(5)%</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24,705</w:t>
            </w:r>
          </w:p>
        </w:tc>
        <w:tc>
          <w:tcPr>
            <w:tcW w:w="106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(6)%</w:t>
            </w:r>
          </w:p>
        </w:tc>
      </w:tr>
    </w:tbl>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Comprised of Consolidated Operating Income less unallocated corporate expenses.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Please refer to Reconciliation of Non-GAAP Financial Measures below for a reconciliation of Non-GAAP items to the comparable GAAP measures.</w:t>
      </w:r>
    </w:p>
    <w:p>
      <w:pPr>
        <w:spacing w:after="0" w:line="47"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22"/>
          <w:szCs w:val="22"/>
          <w:color w:val="auto"/>
        </w:rPr>
        <w:t>Daniel S. Jaffee, President and Chief Executive Officer, stated, “Second quarter results were consistent with the expectations we set at the end of fiscal year 2025, as we faced another quarter of challenging year-over-year comparisons. Additionally, a severe weather event temporarily disrupted operations at several of our plants and delayed shipments at the end of the quarter, resulting in an expected meaningful shift of revenues into the next reporting period. Even with these headwinds, we delivered the highest second quarter consolidated net sales in our history, boosted by the strength of our agricultural and cat litter businesses. I am incredibly proud of our dedicated teammates who helped us navigate the winter storm and achieve full operational recovery. Our strategic priorities remain firmly on track, as we continue advancing key initiatives across the organization to support long-term growth. Our confidence in our business remains strong and is reflected in the repurchase of over 150,000 shares year-to-date. At this point in time, we are tracking to our annual plan. To the extent we are able continue this trend, we anticipate that we will surpass last year’s annual net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Results</w:t>
      </w:r>
    </w:p>
    <w:p>
      <w:pPr>
        <w:spacing w:after="0" w:line="32" w:lineRule="exact"/>
        <w:rPr>
          <w:sz w:val="20"/>
          <w:szCs w:val="20"/>
          <w:color w:val="auto"/>
        </w:rPr>
      </w:pPr>
    </w:p>
    <w:p>
      <w:pPr>
        <w:jc w:val="both"/>
        <w:ind w:right="340"/>
        <w:spacing w:after="0" w:line="243" w:lineRule="auto"/>
        <w:rPr>
          <w:sz w:val="20"/>
          <w:szCs w:val="20"/>
          <w:color w:val="auto"/>
        </w:rPr>
      </w:pPr>
      <w:r>
        <w:rPr>
          <w:rFonts w:ascii="Times New Roman" w:cs="Times New Roman" w:eastAsia="Times New Roman" w:hAnsi="Times New Roman"/>
          <w:sz w:val="22"/>
          <w:szCs w:val="22"/>
          <w:color w:val="auto"/>
        </w:rPr>
        <w:t>In January 2026, the Company was negatively impacted by a severe winter weather event, Winter Storm Fern, which occurred across the southern and eastern regions of the United States. This brought snow, freezing rain, and ice that caused widespread damage and outages.</w:t>
      </w:r>
    </w:p>
    <w:p>
      <w:pPr>
        <w:spacing w:after="0" w:line="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21"/>
          <w:szCs w:val="21"/>
          <w:color w:val="auto"/>
        </w:rPr>
        <w:t>Emphasizing safety first, the Company temporarily shut down its facilities in affected regions and reduced production. The storm also disrupted Oil-Dri’s supply chain and delayed logistics, making it challenging for customers to pick up and receive orders. The Company’s financial results for the second quarter of fiscal year 2026 were adversely impacted by this storm, which reduced fixed cost absorption and resulted in an expected meaningful delay in recognized revenue. Operations have since been restored.</w:t>
      </w:r>
    </w:p>
    <w:p>
      <w:pPr>
        <w:spacing w:after="0" w:line="19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For the second quarter of fiscal 2026, consolidated net sales were $117.7 million, or a 1% gain over the prior year period, primarily due to favorable product mix. The increase was mainly driven by elevated sales from agricultural products within the Business to Business ("B2B") Products Group, further supported by higher revenues from co-packaged and domestic cat litter and industrial and sports products within the Retail &amp; Wholesale ("R&amp;W") Products Group.</w:t>
      </w:r>
    </w:p>
    <w:p>
      <w:pPr>
        <w:spacing w:after="0" w:line="203" w:lineRule="exact"/>
        <w:rPr>
          <w:sz w:val="20"/>
          <w:szCs w:val="20"/>
          <w:color w:val="auto"/>
        </w:rPr>
      </w:pPr>
    </w:p>
    <w:p>
      <w:pPr>
        <w:jc w:val="both"/>
        <w:ind w:right="360"/>
        <w:spacing w:after="0" w:line="263" w:lineRule="auto"/>
        <w:rPr>
          <w:sz w:val="20"/>
          <w:szCs w:val="20"/>
          <w:color w:val="auto"/>
        </w:rPr>
      </w:pPr>
      <w:r>
        <w:rPr>
          <w:rFonts w:ascii="Times New Roman" w:cs="Times New Roman" w:eastAsia="Times New Roman" w:hAnsi="Times New Roman"/>
          <w:sz w:val="22"/>
          <w:szCs w:val="22"/>
          <w:color w:val="auto"/>
        </w:rPr>
        <w:t>Consolidated gross profit for the second quarter of fiscal year 2026 was $32.3 million, reflecting a 6% decline from the prior year. Gross margins were 27.4% in the second quarter of fiscal year 2026 compared to 29.5% in the same period in fiscal year 2025. A 4% increase in domestic cost of goods sold per ton drove this decrease.</w:t>
      </w:r>
    </w:p>
    <w:p>
      <w:pPr>
        <w:spacing w:after="0" w:line="19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Selling, general and administrative ("SGA") expenses were $16.6 million during the second quarter of fiscal year 2026 compared to $17.0 million last year. This $400,000, or 2%, decline primarily resulted from a lower corporate bonus accrual.</w:t>
      </w:r>
    </w:p>
    <w:p>
      <w:pPr>
        <w:sectPr>
          <w:pgSz w:w="11900" w:h="16838" w:orient="portrait"/>
          <w:cols w:equalWidth="0" w:num="1">
            <w:col w:w="11260"/>
          </w:cols>
          <w:pgMar w:left="320" w:top="1270" w:right="319" w:bottom="200" w:gutter="0" w:footer="0" w:header="0"/>
        </w:sectPr>
      </w:pPr>
    </w:p>
    <w:bookmarkStart w:id="4" w:name="page5"/>
    <w:bookmarkEnd w:id="4"/>
    <w:p>
      <w:pPr>
        <w:spacing w:after="0" w:line="3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2"/>
          <w:szCs w:val="22"/>
          <w:color w:val="auto"/>
        </w:rPr>
        <w:t>Consolidated income from operations was $15.7 million in the second quarter of fiscal year 2026, or 10% less than the same period in fiscal year 2025. Higher per ton cost of goods sold were partially offset by slightly elevated sales and decreased SG&amp;A expenses.</w:t>
      </w:r>
    </w:p>
    <w:p>
      <w:pPr>
        <w:spacing w:after="0" w:line="20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Total other income, net was $100,000 for the three months ending January 31, 2026, compared to total other expenses, net of $1.2 million in the same period last year. This change resulted from foreign exchange gains and a reduction in estimated landfill modification costs recognized.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During the second quarter of fiscal 2026, income tax expense was $3.2 million, or 3% lower than the prior year.</w:t>
      </w:r>
    </w:p>
    <w:p>
      <w:pPr>
        <w:spacing w:after="0" w:line="233"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22"/>
          <w:szCs w:val="22"/>
          <w:color w:val="auto"/>
        </w:rPr>
        <w:t>Consolidated net income for the second quarter of fiscal year 2026 was $12.6 million versus $12.9 million last year. While the year-over-year comparison reflects a 3% decrease, the Company’s performance remained solid.</w:t>
      </w:r>
    </w:p>
    <w:p>
      <w:pPr>
        <w:spacing w:after="0" w:line="17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Cash and cash equivalents for the three month period ending January 31, 2026 totaled $46.9 million compared to $50.5 million at the end of fiscal year 2025. Significant uses of cash during the second quarter of fiscal 2026 include capital investments for manufacturing infrastructure improvements, share repurchases, and dividends.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 Group Review</w:t>
      </w:r>
    </w:p>
    <w:p>
      <w:pPr>
        <w:spacing w:after="0" w:line="32"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22"/>
          <w:szCs w:val="22"/>
          <w:color w:val="auto"/>
        </w:rPr>
        <w:t>The B2B Products Group’s second quarter of fiscal year 2026 revenues were $42.0 million, or 3% less than the prior year. While the Company’s agricultural business experienced significant sales growth, these gains were offset by lower revenues from animal health and fluids purification products. Amlan International, Oil-Dri’s animal health business, reported sales of</w:t>
      </w:r>
    </w:p>
    <w:p>
      <w:pPr>
        <w:spacing w:after="0" w:line="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$5.3 million during the second quarter of fiscal 2026, or a 32% reduction from the prior year. The decline was driven by decreased volumes following the loss of a distributor’s key customer. However, the Company is pursuing the recovery of this end-user and executing initiatives to expand distribution through both new and existing customers. Revenues from fluids purification products were $25.5 million for the second quarter of fiscal year 2026, down 4% year-over-year, as softer demand for renewable diesel filtration products was partially offset by higher sales of edible oil and jet fuel purification offerings. Oil-Dri’s agricultural business experienced year-over-year topline growth of 23%, generating $11.2 million in sales during the second quarter of fiscal year 2026. This improvement resulted from a favorable product mix, higher prices, and increased demand.</w:t>
      </w:r>
    </w:p>
    <w:p>
      <w:pPr>
        <w:spacing w:after="0" w:line="20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color w:val="auto"/>
        </w:rPr>
        <w:t>Second quarter of fiscal year 2026 SG&amp;A costs within the B2B Products Group increased by $700,000, or 21%, compared to the same period last year. This increase was primarily driven by planned elevated compensation and consultant costs.</w:t>
      </w:r>
    </w:p>
    <w:p>
      <w:pPr>
        <w:spacing w:after="0" w:line="185"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22"/>
          <w:szCs w:val="22"/>
          <w:color w:val="auto"/>
        </w:rPr>
        <w:t>Operating income for the B2B Products Group was $11.8 million in the second quarter of fiscal year 2026 compared to $14.3 million in the same period of fiscal year 2025, reflecting a decrease of 18%.</w:t>
      </w:r>
    </w:p>
    <w:p>
      <w:pPr>
        <w:spacing w:after="0" w:line="198" w:lineRule="exact"/>
        <w:rPr>
          <w:sz w:val="20"/>
          <w:szCs w:val="20"/>
          <w:color w:val="auto"/>
        </w:rPr>
      </w:pPr>
    </w:p>
    <w:p>
      <w:pPr>
        <w:ind w:right="60"/>
        <w:spacing w:after="0" w:line="260" w:lineRule="exact"/>
        <w:rPr>
          <w:sz w:val="20"/>
          <w:szCs w:val="20"/>
          <w:color w:val="auto"/>
        </w:rPr>
      </w:pPr>
      <w:r>
        <w:rPr>
          <w:rFonts w:ascii="Times New Roman" w:cs="Times New Roman" w:eastAsia="Times New Roman" w:hAnsi="Times New Roman"/>
          <w:sz w:val="22"/>
          <w:szCs w:val="22"/>
          <w:color w:val="auto"/>
        </w:rPr>
        <w:t>The R&amp;W Products Group’s second quarter of fiscal year 2026 revenues were $75.8 million, a 3% increase over the prior year, driven by higher sales of co-packaged and domestic cat litter. These gains were in spite of a $2.8 million increase in backlog primarily caused by disruptions from Winter Storm Fern that resulted in an expected delay in recognized revenue. Sales from co-packaged cat litter rose 31% compared to last year, due to the expansion of co-packaged offerings which now include lightweight litter. Domestic cat litter revenues, excluding co-packaged products, totaled $56.0 million for the second quarter of fiscal year 2026, or a 0.5% gain over the prior year period. Increased demand for crystal cat litter products drove this growth, primarily reflecting expanded purchases by an existing key clay litter customer, leveraging the Company’s established relationship. However, total clay litter sales were slightly tempered by heightened promotional activity from competitors and by the aforementioned weather event during the quarter. For the 13-weeks ending January 24, 2026</w:t>
      </w:r>
      <w:r>
        <w:rPr>
          <w:rFonts w:ascii="Times New Roman" w:cs="Times New Roman" w:eastAsia="Times New Roman" w:hAnsi="Times New Roman"/>
          <w:sz w:val="11"/>
          <w:szCs w:val="11"/>
          <w:color w:val="auto"/>
        </w:rPr>
        <w:t>1</w:t>
      </w:r>
      <w:r>
        <w:rPr>
          <w:rFonts w:ascii="Times New Roman" w:cs="Times New Roman" w:eastAsia="Times New Roman" w:hAnsi="Times New Roman"/>
          <w:sz w:val="22"/>
          <w:szCs w:val="22"/>
          <w:color w:val="auto"/>
        </w:rPr>
        <w:t>, the lightweight litter segment once again exceeded the overall cat litter category performance, underscoring its importance to the Company’s branded, private label, and co-packaging growth plans. The increasing strength of the lightweight cat litter segment was reflected in the last seven consecutive quarters of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over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topline growth of Oil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Dri’s EPA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approved Cat’s Pride Antibacterial Clumping Litter. Sales of domestic industrial and sports products were $10.2 million for the second quarter of fiscal year 2026, an increase of 4% compared to the second quarter of fiscal year 2025. Pricing actions to offset higher costs supported this growth, though revenues were partially moderated by the weather event.</w:t>
      </w:r>
    </w:p>
    <w:p>
      <w:pPr>
        <w:spacing w:after="0" w:line="22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22"/>
          <w:szCs w:val="22"/>
          <w:color w:val="auto"/>
        </w:rPr>
        <w:t>During the second quarter of fiscal 2026, SG&amp;A expenses within the R&amp;W Products Group increased by $200,000, or 4% higher than the prior year.</w:t>
      </w:r>
    </w:p>
    <w:p>
      <w:pPr>
        <w:spacing w:after="0" w:line="17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color w:val="auto"/>
        </w:rPr>
        <w:t>Operating income for the R&amp;W Products Group was $10.8 million in the second quarter of fiscal year 2026, down 5% compared to the same period last year.</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Company will host its second quarter of fiscal year 2026 earnings discussion virtually via a live webcast on Thursday, March 12, 2026 at 10:00 a.m. Central Time. Participation details are available on the Company’s website’s Events page.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“Oil-Dri” and “Amlan” are registered trademarks of Oil-Dri Corporation of America and its subsidiaries.</w:t>
      </w:r>
    </w:p>
    <w:p>
      <w:pPr>
        <w:sectPr>
          <w:pgSz w:w="11900" w:h="16877" w:orient="portrait"/>
          <w:cols w:equalWidth="0" w:num="1">
            <w:col w:w="11240"/>
          </w:cols>
          <w:pgMar w:left="320" w:top="126" w:right="339" w:bottom="0" w:gutter="0" w:footer="0" w:header="0"/>
        </w:sectPr>
      </w:pPr>
    </w:p>
    <w:p>
      <w:pPr>
        <w:spacing w:after="0" w:line="262"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i w:val="1"/>
          <w:iCs w:val="1"/>
          <w:color w:val="auto"/>
        </w:rPr>
        <w:t>Based in part on data reported by NielsenIQ through its Scantrack Service for the Cat Litter Category in the 13-week period ending January 24, 2026, for the U.S. xAOC+Pet Supers market. Copyright © 2026 NielsenIQ.</w:t>
      </w:r>
    </w:p>
    <w:p>
      <w:pPr>
        <w:sectPr>
          <w:pgSz w:w="11900" w:h="16877" w:orient="portrait"/>
          <w:cols w:equalWidth="0" w:num="1">
            <w:col w:w="11240"/>
          </w:cols>
          <w:pgMar w:left="320" w:top="126" w:right="33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About Oil-Dri Corporation of America</w:t>
      </w:r>
    </w:p>
    <w:p>
      <w:pPr>
        <w:spacing w:after="0" w:line="18"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3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color w:val="auto"/>
        </w:rPr>
        <w:t>Certain statements in this press release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variations of such words and similar references to future periods.</w:t>
      </w:r>
    </w:p>
    <w:p>
      <w:pPr>
        <w:spacing w:after="0" w:line="22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our most recent Annual Report on Form 10-K and from time to time in our other filings with the Securities and Exchange Commission.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ectPr>
          <w:pgSz w:w="11900" w:h="16838" w:orient="portrait"/>
          <w:cols w:equalWidth="0" w:num="1">
            <w:col w:w="11200"/>
          </w:cols>
          <w:pgMar w:left="320" w:top="351" w:right="379" w:bottom="1440" w:gutter="0" w:footer="0" w:header="0"/>
        </w:sectPr>
      </w:pPr>
    </w:p>
    <w:bookmarkStart w:id="6" w:name="page7"/>
    <w:bookmarkEnd w:id="6"/>
    <w:p>
      <w:pPr>
        <w:ind w:left="67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3011170</wp:posOffset>
            </wp:positionH>
            <wp:positionV relativeFrom="page">
              <wp:posOffset>243205</wp:posOffset>
            </wp:positionV>
            <wp:extent cx="147447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color w:val="auto"/>
        </w:rPr>
        <w:t>To supplement our consolidated financial statements prepared in accordance with generally accepted accounting principles (“GAAP”), we provide certain non-GAAP financial measures in this press release as supplemental financial metrics. In particular, EBITDA is a non-GAAP financial measure provided herein. We provide a reconciliation of this non-GAAP financial measure to the most directly comparable GAAP financial measure below.</w:t>
      </w:r>
    </w:p>
    <w:p>
      <w:pPr>
        <w:spacing w:after="0" w:line="21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The non-GAAP financial measures we use may not be the same or calculated in the same manner as those used and calculated by other companies. Non-GAAP financial measures have limitations as analytical tools and should not be considered in isolation or as a substitute for our financial results prepared and reported in accordance with GAAP. We believe that certain non-GAAP measures may be helpful to investors and others in understanding and evaluating our operating results, and we urge investors to review the reconciliation of non-GAAP financial measures to the comparable GAAP financial measures included in this release, and not to rely on any single financial measure to evaluate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Director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0000FF"/>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ectPr>
          <w:pgSz w:w="11900" w:h="16838" w:orient="portrait"/>
          <w:cols w:equalWidth="0" w:num="1">
            <w:col w:w="11180"/>
          </w:cols>
          <w:pgMar w:left="320" w:top="1026" w:right="399" w:bottom="1440" w:gutter="0" w:footer="0" w:header="0"/>
          <w:type w:val="continuous"/>
        </w:sectPr>
      </w:pPr>
    </w:p>
    <w:bookmarkStart w:id="7" w:name="page8"/>
    <w:bookmarkEnd w:id="7"/>
    <w:p>
      <w:pPr>
        <w:ind w:left="67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3011170</wp:posOffset>
            </wp:positionH>
            <wp:positionV relativeFrom="page">
              <wp:posOffset>243205</wp:posOffset>
            </wp:positionV>
            <wp:extent cx="147447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40" w:top="1026"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5"/>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Second Quarter Ended January 31,</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vMerge w:val="continue"/>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17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117,737</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116,914</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(85,435)</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(82,466)</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(16,609)</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(16,966)</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15,693</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 Expense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52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12,569</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12,921</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5280" w:type="dxa"/>
            <w:vAlign w:val="bottom"/>
            <w:vMerge w:val="continue"/>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20" w:type="dxa"/>
            <w:vAlign w:val="bottom"/>
          </w:tcPr>
          <w:p>
            <w:pPr>
              <w:spacing w:after="0"/>
              <w:rPr>
                <w:sz w:val="24"/>
                <w:szCs w:val="24"/>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Avg Shares Outstanding: Basic Common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9,895</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026" w:right="679" w:bottom="1440" w:gutter="0" w:footer="0" w:header="0"/>
          <w:type w:val="continuous"/>
        </w:sectPr>
      </w:pPr>
    </w:p>
    <w:bookmarkStart w:id="8" w:name="page9"/>
    <w:bookmarkEnd w:id="8"/>
    <w:p>
      <w:pPr>
        <w:ind w:left="67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3011170</wp:posOffset>
            </wp:positionH>
            <wp:positionV relativeFrom="page">
              <wp:posOffset>243205</wp:posOffset>
            </wp:positionV>
            <wp:extent cx="14744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40" w:top="1026" w:right="679" w:bottom="1440" w:gutter="0" w:footer="0" w:header="0"/>
        </w:sect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Six Months Ended January 31,</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5"/>
            <w:vMerge w:val="continue"/>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17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238,223</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244,859</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(170,426)</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(169,631)</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67,797</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(35,150)</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(36,556)</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32,647</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 Expense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52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28,025</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11.8 %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29,297</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5280" w:type="dxa"/>
            <w:vAlign w:val="bottom"/>
            <w:vMerge w:val="continue"/>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4"/>
                <w:szCs w:val="24"/>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Avg Shares Outstanding: Basic Common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026" w:right="679" w:bottom="1440" w:gutter="0" w:footer="0" w:header="0"/>
          <w:type w:val="continuous"/>
        </w:sectPr>
      </w:pPr>
    </w:p>
    <w:bookmarkStart w:id="9" w:name="page10"/>
    <w:bookmarkEnd w:id="9"/>
    <w:p>
      <w:pPr>
        <w:ind w:left="67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3011170</wp:posOffset>
            </wp:positionH>
            <wp:positionV relativeFrom="page">
              <wp:posOffset>243205</wp:posOffset>
            </wp:positionV>
            <wp:extent cx="14744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40" w:top="1026"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20" w:type="dxa"/>
            <w:vAlign w:val="bottom"/>
          </w:tcPr>
          <w:p>
            <w:pPr>
              <w:spacing w:after="0"/>
              <w:rPr>
                <w:sz w:val="20"/>
                <w:szCs w:val="20"/>
                <w:color w:val="auto"/>
              </w:rPr>
            </w:pPr>
          </w:p>
        </w:tc>
        <w:tc>
          <w:tcPr>
            <w:tcW w:w="2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As of January 31,</w:t>
            </w:r>
          </w:p>
        </w:tc>
        <w:tc>
          <w:tcPr>
            <w:tcW w:w="200" w:type="dxa"/>
            <w:vAlign w:val="bottom"/>
          </w:tcPr>
          <w:p>
            <w:pPr>
              <w:spacing w:after="0"/>
              <w:rPr>
                <w:sz w:val="20"/>
                <w:szCs w:val="20"/>
                <w:color w:val="auto"/>
              </w:rPr>
            </w:pPr>
          </w:p>
        </w:tc>
        <w:tc>
          <w:tcPr>
            <w:tcW w:w="14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July 31,</w:t>
            </w:r>
          </w:p>
        </w:tc>
        <w:tc>
          <w:tcPr>
            <w:tcW w:w="0" w:type="dxa"/>
            <w:vAlign w:val="bottom"/>
          </w:tcPr>
          <w:p>
            <w:pPr>
              <w:spacing w:after="0"/>
              <w:rPr>
                <w:sz w:val="1"/>
                <w:szCs w:val="1"/>
                <w:color w:val="auto"/>
              </w:rPr>
            </w:pPr>
          </w:p>
        </w:tc>
      </w:tr>
      <w:tr>
        <w:trPr>
          <w:trHeight w:val="229"/>
        </w:trPr>
        <w:tc>
          <w:tcPr>
            <w:tcW w:w="7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1"/>
        </w:trPr>
        <w:tc>
          <w:tcPr>
            <w:tcW w:w="7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46,933</w:t>
            </w:r>
          </w:p>
        </w:tc>
        <w:tc>
          <w:tcPr>
            <w:tcW w:w="3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50,458</w:t>
            </w: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69,370</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53,753</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51,594</w:t>
            </w:r>
          </w:p>
        </w:tc>
        <w:tc>
          <w:tcPr>
            <w:tcW w:w="0" w:type="dxa"/>
            <w:vAlign w:val="bottom"/>
          </w:tcPr>
          <w:p>
            <w:pPr>
              <w:spacing w:after="0"/>
              <w:rPr>
                <w:sz w:val="1"/>
                <w:szCs w:val="1"/>
                <w:color w:val="auto"/>
              </w:rPr>
            </w:pPr>
          </w:p>
        </w:tc>
      </w:tr>
      <w:tr>
        <w:trPr>
          <w:trHeight w:val="238"/>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23"/>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176,763</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177,383</w:t>
            </w:r>
          </w:p>
        </w:tc>
        <w:tc>
          <w:tcPr>
            <w:tcW w:w="0" w:type="dxa"/>
            <w:vAlign w:val="bottom"/>
          </w:tcPr>
          <w:p>
            <w:pPr>
              <w:spacing w:after="0"/>
              <w:rPr>
                <w:sz w:val="1"/>
                <w:szCs w:val="1"/>
                <w:color w:val="auto"/>
              </w:rPr>
            </w:pPr>
          </w:p>
        </w:tc>
      </w:tr>
      <w:tr>
        <w:trPr>
          <w:trHeight w:val="214"/>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149,704</w:t>
            </w:r>
          </w:p>
        </w:tc>
        <w:tc>
          <w:tcPr>
            <w:tcW w:w="0" w:type="dxa"/>
            <w:vAlign w:val="bottom"/>
          </w:tcPr>
          <w:p>
            <w:pPr>
              <w:spacing w:after="0"/>
              <w:rPr>
                <w:sz w:val="1"/>
                <w:szCs w:val="1"/>
                <w:color w:val="auto"/>
              </w:rPr>
            </w:pPr>
          </w:p>
        </w:tc>
      </w:tr>
      <w:tr>
        <w:trPr>
          <w:trHeight w:val="238"/>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62,638</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388,127</w:t>
            </w:r>
          </w:p>
        </w:tc>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391,677</w:t>
            </w:r>
          </w:p>
        </w:tc>
        <w:tc>
          <w:tcPr>
            <w:tcW w:w="0" w:type="dxa"/>
            <w:vAlign w:val="bottom"/>
          </w:tcPr>
          <w:p>
            <w:pPr>
              <w:spacing w:after="0"/>
              <w:rPr>
                <w:sz w:val="1"/>
                <w:szCs w:val="1"/>
                <w:color w:val="auto"/>
              </w:rPr>
            </w:pPr>
          </w:p>
        </w:tc>
      </w:tr>
      <w:tr>
        <w:trPr>
          <w:trHeight w:val="21"/>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7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Maturities of Notes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Dividends Payable</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38"/>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37,250</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48,935</w:t>
            </w:r>
          </w:p>
        </w:tc>
        <w:tc>
          <w:tcPr>
            <w:tcW w:w="0" w:type="dxa"/>
            <w:vAlign w:val="bottom"/>
          </w:tcPr>
          <w:p>
            <w:pPr>
              <w:spacing w:after="0"/>
              <w:rPr>
                <w:sz w:val="1"/>
                <w:szCs w:val="1"/>
                <w:color w:val="auto"/>
              </w:rPr>
            </w:pPr>
          </w:p>
        </w:tc>
      </w:tr>
      <w:tr>
        <w:trPr>
          <w:trHeight w:val="223"/>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51,217</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69,187</w:t>
            </w:r>
          </w:p>
        </w:tc>
        <w:tc>
          <w:tcPr>
            <w:tcW w:w="0" w:type="dxa"/>
            <w:vAlign w:val="bottom"/>
          </w:tcPr>
          <w:p>
            <w:pPr>
              <w:spacing w:after="0"/>
              <w:rPr>
                <w:sz w:val="1"/>
                <w:szCs w:val="1"/>
                <w:color w:val="auto"/>
              </w:rPr>
            </w:pPr>
          </w:p>
        </w:tc>
      </w:tr>
      <w:tr>
        <w:trPr>
          <w:trHeight w:val="201"/>
        </w:trPr>
        <w:tc>
          <w:tcPr>
            <w:tcW w:w="70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38,817</w:t>
            </w:r>
          </w:p>
        </w:tc>
        <w:tc>
          <w:tcPr>
            <w:tcW w:w="0" w:type="dxa"/>
            <w:vAlign w:val="bottom"/>
          </w:tcPr>
          <w:p>
            <w:pPr>
              <w:spacing w:after="0"/>
              <w:rPr>
                <w:sz w:val="1"/>
                <w:szCs w:val="1"/>
                <w:color w:val="auto"/>
              </w:rPr>
            </w:pPr>
          </w:p>
        </w:tc>
      </w:tr>
      <w:tr>
        <w:trPr>
          <w:trHeight w:val="238"/>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25,623</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24,613</w:t>
            </w:r>
          </w:p>
        </w:tc>
        <w:tc>
          <w:tcPr>
            <w:tcW w:w="0" w:type="dxa"/>
            <w:vAlign w:val="bottom"/>
          </w:tcPr>
          <w:p>
            <w:pPr>
              <w:spacing w:after="0"/>
              <w:rPr>
                <w:sz w:val="1"/>
                <w:szCs w:val="1"/>
                <w:color w:val="auto"/>
              </w:rPr>
            </w:pPr>
          </w:p>
        </w:tc>
      </w:tr>
      <w:tr>
        <w:trPr>
          <w:trHeight w:val="223"/>
        </w:trPr>
        <w:tc>
          <w:tcPr>
            <w:tcW w:w="7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64,460</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63,430</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272,450</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259,060</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388,127</w:t>
            </w:r>
          </w:p>
        </w:tc>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391,677</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Book Value Per Share Outstanding</w:t>
            </w: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000" w:type="dxa"/>
            <w:vAlign w:val="bottom"/>
            <w:vMerge w:val="continue"/>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3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0" w:type="dxa"/>
            <w:vAlign w:val="bottom"/>
          </w:tcPr>
          <w:p>
            <w:pPr>
              <w:spacing w:after="0"/>
              <w:rPr>
                <w:sz w:val="1"/>
                <w:szCs w:val="1"/>
                <w:color w:val="auto"/>
              </w:rPr>
            </w:pPr>
          </w:p>
        </w:tc>
      </w:tr>
    </w:tbl>
    <w:p>
      <w:pPr>
        <w:sectPr>
          <w:pgSz w:w="11900" w:h="16838" w:orient="portrait"/>
          <w:cols w:equalWidth="0" w:num="1">
            <w:col w:w="11040"/>
          </w:cols>
          <w:pgMar w:left="340" w:top="1026" w:right="519" w:bottom="1440" w:gutter="0" w:footer="0" w:header="0"/>
          <w:type w:val="continuous"/>
        </w:sectPr>
      </w:pPr>
    </w:p>
    <w:bookmarkStart w:id="10" w:name="page11"/>
    <w:bookmarkEnd w:id="10"/>
    <w:p>
      <w:pPr>
        <w:ind w:left="67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3011170</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40" w:top="1026"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80" w:type="dxa"/>
            <w:vAlign w:val="bottom"/>
            <w:gridSpan w:val="4"/>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880" w:type="dxa"/>
            <w:vAlign w:val="bottom"/>
          </w:tcPr>
          <w:p>
            <w:pPr>
              <w:spacing w:after="0"/>
              <w:rPr>
                <w:sz w:val="19"/>
                <w:szCs w:val="19"/>
                <w:color w:val="auto"/>
              </w:rPr>
            </w:pPr>
          </w:p>
        </w:tc>
        <w:tc>
          <w:tcPr>
            <w:tcW w:w="3080" w:type="dxa"/>
            <w:vAlign w:val="bottom"/>
            <w:gridSpan w:val="4"/>
            <w:vMerge w:val="continue"/>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8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8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28,025</w:t>
            </w:r>
          </w:p>
        </w:tc>
        <w:tc>
          <w:tcPr>
            <w:tcW w:w="340" w:type="dxa"/>
            <w:vAlign w:val="bottom"/>
          </w:tcPr>
          <w:p>
            <w:pPr>
              <w:spacing w:after="0"/>
              <w:rPr>
                <w:sz w:val="19"/>
                <w:szCs w:val="19"/>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29,297</w:t>
            </w: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Accounts Receivable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Inventories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 Prepaid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Increase in Accounts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 Accrued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(10,602)</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0" w:type="dxa"/>
            <w:vAlign w:val="bottom"/>
          </w:tcPr>
          <w:p>
            <w:pPr>
              <w:spacing w:after="0"/>
              <w:rPr>
                <w:sz w:val="1"/>
                <w:szCs w:val="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0" w:type="dxa"/>
            <w:vAlign w:val="bottom"/>
          </w:tcPr>
          <w:p>
            <w:pPr>
              <w:spacing w:after="0"/>
              <w:rPr>
                <w:sz w:val="1"/>
                <w:szCs w:val="1"/>
                <w:color w:val="auto"/>
              </w:rPr>
            </w:pPr>
          </w:p>
        </w:tc>
      </w:tr>
      <w:tr>
        <w:trPr>
          <w:trHeight w:val="223"/>
        </w:trPr>
        <w:tc>
          <w:tcPr>
            <w:tcW w:w="68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28,435</w:t>
            </w:r>
          </w:p>
        </w:tc>
        <w:tc>
          <w:tcPr>
            <w:tcW w:w="3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32,330</w:t>
            </w:r>
          </w:p>
        </w:tc>
        <w:tc>
          <w:tcPr>
            <w:tcW w:w="0" w:type="dxa"/>
            <w:vAlign w:val="bottom"/>
          </w:tcPr>
          <w:p>
            <w:pPr>
              <w:spacing w:after="0"/>
              <w:rPr>
                <w:sz w:val="1"/>
                <w:szCs w:val="1"/>
                <w:color w:val="auto"/>
              </w:rPr>
            </w:pPr>
          </w:p>
        </w:tc>
      </w:tr>
      <w:tr>
        <w:trPr>
          <w:trHeight w:val="45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(14,817)</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(17,806)</w:t>
            </w:r>
          </w:p>
        </w:tc>
        <w:tc>
          <w:tcPr>
            <w:tcW w:w="0" w:type="dxa"/>
            <w:vAlign w:val="bottom"/>
          </w:tcPr>
          <w:p>
            <w:pPr>
              <w:spacing w:after="0"/>
              <w:rPr>
                <w:sz w:val="1"/>
                <w:szCs w:val="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Acquisition of Business</w:t>
            </w:r>
          </w:p>
        </w:tc>
        <w:tc>
          <w:tcPr>
            <w:tcW w:w="104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(14,817)</w:t>
            </w:r>
          </w:p>
        </w:tc>
        <w:tc>
          <w:tcPr>
            <w:tcW w:w="34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(17,921)</w:t>
            </w:r>
          </w:p>
        </w:tc>
        <w:tc>
          <w:tcPr>
            <w:tcW w:w="0" w:type="dxa"/>
            <w:vAlign w:val="bottom"/>
          </w:tcPr>
          <w:p>
            <w:pPr>
              <w:spacing w:after="0"/>
              <w:rPr>
                <w:sz w:val="1"/>
                <w:szCs w:val="1"/>
                <w:color w:val="auto"/>
              </w:rPr>
            </w:pPr>
          </w:p>
        </w:tc>
      </w:tr>
      <w:tr>
        <w:trPr>
          <w:trHeight w:val="45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Payments on Revolving Credit Facility</w:t>
            </w:r>
          </w:p>
        </w:tc>
        <w:tc>
          <w:tcPr>
            <w:tcW w:w="104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(10,000)</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Dividends Paid</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0" w:type="dxa"/>
            <w:vAlign w:val="bottom"/>
          </w:tcPr>
          <w:p>
            <w:pPr>
              <w:spacing w:after="0"/>
              <w:rPr>
                <w:sz w:val="1"/>
                <w:szCs w:val="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Purchases of Treasury Stock</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(12,364)</w:t>
            </w: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(17,241)</w:t>
            </w:r>
          </w:p>
        </w:tc>
        <w:tc>
          <w:tcPr>
            <w:tcW w:w="3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(16,358)</w:t>
            </w:r>
          </w:p>
        </w:tc>
        <w:tc>
          <w:tcPr>
            <w:tcW w:w="0" w:type="dxa"/>
            <w:vAlign w:val="bottom"/>
          </w:tcPr>
          <w:p>
            <w:pPr>
              <w:spacing w:after="0"/>
              <w:rPr>
                <w:sz w:val="1"/>
                <w:szCs w:val="1"/>
                <w:color w:val="auto"/>
              </w:rPr>
            </w:pPr>
          </w:p>
        </w:tc>
      </w:tr>
      <w:tr>
        <w:trPr>
          <w:trHeight w:val="46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45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38"/>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50,458</w:t>
            </w:r>
          </w:p>
        </w:tc>
        <w:tc>
          <w:tcPr>
            <w:tcW w:w="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24,481</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46,933</w:t>
            </w: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40" w:top="1026" w:right="939" w:bottom="1440" w:gutter="0" w:footer="0" w:header="0"/>
          <w:type w:val="continuous"/>
        </w:sectPr>
      </w:pPr>
    </w:p>
    <w:bookmarkStart w:id="11" w:name="page12"/>
    <w:bookmarkEnd w:id="11"/>
    <w:p>
      <w:pPr>
        <w:ind w:left="58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2976880</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111760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79"/>
          </w:cols>
          <w:pgMar w:left="1180" w:top="10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23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RECONCILIATION OF NON-GAAP FINANCIAL MEASURES </w:t>
      </w:r>
      <w:r>
        <w:rPr>
          <w:rFonts w:ascii="Times New Roman" w:cs="Times New Roman" w:eastAsia="Times New Roman" w:hAnsi="Times New Roman"/>
          <w:sz w:val="18"/>
          <w:szCs w:val="18"/>
          <w:color w:val="auto"/>
        </w:rPr>
        <w:t>(in thousands)</w:t>
      </w:r>
    </w:p>
    <w:tbl>
      <w:tblPr>
        <w:tblLayout w:type="fixed"/>
        <w:tblInd w:w="0" w:type="dxa"/>
        <w:tblCellMar>
          <w:top w:w="0" w:type="dxa"/>
          <w:left w:w="0" w:type="dxa"/>
          <w:bottom w:w="0" w:type="dxa"/>
          <w:right w:w="0" w:type="dxa"/>
        </w:tblCellMar>
      </w:tblPr>
      <w:tr>
        <w:trPr>
          <w:trHeight w:val="221"/>
        </w:trPr>
        <w:tc>
          <w:tcPr>
            <w:tcW w:w="4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Second Quarter</w:t>
            </w:r>
          </w:p>
        </w:tc>
        <w:tc>
          <w:tcPr>
            <w:tcW w:w="260" w:type="dxa"/>
            <w:vAlign w:val="bottom"/>
          </w:tcPr>
          <w:p>
            <w:pPr>
              <w:spacing w:after="0"/>
              <w:rPr>
                <w:sz w:val="19"/>
                <w:szCs w:val="19"/>
                <w:color w:val="auto"/>
              </w:rPr>
            </w:pPr>
          </w:p>
        </w:tc>
        <w:tc>
          <w:tcPr>
            <w:tcW w:w="21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Year to Date</w:t>
            </w:r>
          </w:p>
        </w:tc>
      </w:tr>
      <w:tr>
        <w:trPr>
          <w:trHeight w:val="238"/>
        </w:trPr>
        <w:tc>
          <w:tcPr>
            <w:tcW w:w="4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Ended January 31,</w:t>
            </w:r>
          </w:p>
        </w:tc>
        <w:tc>
          <w:tcPr>
            <w:tcW w:w="260" w:type="dxa"/>
            <w:vAlign w:val="bottom"/>
          </w:tcPr>
          <w:p>
            <w:pPr>
              <w:spacing w:after="0"/>
              <w:rPr>
                <w:sz w:val="20"/>
                <w:szCs w:val="20"/>
                <w:color w:val="auto"/>
              </w:rPr>
            </w:pPr>
          </w:p>
        </w:tc>
        <w:tc>
          <w:tcPr>
            <w:tcW w:w="21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Ended January 31,</w:t>
            </w:r>
          </w:p>
        </w:tc>
      </w:tr>
      <w:tr>
        <w:trPr>
          <w:trHeight w:val="223"/>
        </w:trPr>
        <w:tc>
          <w:tcPr>
            <w:tcW w:w="40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28,025</w:t>
            </w:r>
          </w:p>
        </w:tc>
        <w:tc>
          <w:tcPr>
            <w:tcW w:w="8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29,297</w:t>
            </w: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w:t>
            </w:r>
          </w:p>
        </w:tc>
      </w:tr>
      <w:tr>
        <w:trPr>
          <w:trHeight w:val="23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8"/>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w:t>
            </w: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48,383</w:t>
            </w:r>
          </w:p>
        </w:tc>
      </w:tr>
      <w:tr>
        <w:trPr>
          <w:trHeight w:val="20"/>
        </w:trPr>
        <w:tc>
          <w:tcPr>
            <w:tcW w:w="4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9279"/>
      </w:cols>
      <w:pgMar w:left="1180" w:top="102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2026-03-11T15:31:44Z</dcterms:created>
  <dcterms:modified xsi:type="dcterms:W3CDTF">2026-03-11T15:31:44Z</dcterms:modified>
</cp:coreProperties>
</file>