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GOLDMAN</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191 MASON STREET ,</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GREENWICH, CT, 06830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9149215000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06/26/2025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GAMCO INVESTORS, INC. ET AL</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FUNDS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164,200.00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164,200.00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164,200.00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GAMCO Asset Management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785,512.00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794,512.00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794,512.00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 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Teton Advisors,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15,000.00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IA</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GGCP,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WYOMING</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Associated Capital Group,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HC</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677864100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GABELLI MARIO J</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2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20" w:type="dxa"/>
            <w:vAlign w:val="bottom"/>
          </w:tcPr>
          <w:p>
            <w:pPr>
              <w:spacing w:after="0"/>
              <w:rPr>
                <w:sz w:val="23"/>
                <w:szCs w:val="23"/>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$0.10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Oil-Dri Corp of America</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right="860" w:firstLine="932"/>
        <w:spacing w:after="0" w:line="283" w:lineRule="auto"/>
        <w:rPr>
          <w:sz w:val="20"/>
          <w:szCs w:val="20"/>
          <w:color w:val="auto"/>
        </w:rPr>
      </w:pPr>
      <w:r>
        <w:rPr>
          <w:rFonts w:ascii="Times New Roman" w:cs="Times New Roman" w:eastAsia="Times New Roman" w:hAnsi="Times New Roman"/>
          <w:sz w:val="22"/>
          <w:szCs w:val="22"/>
          <w:color w:val="auto"/>
        </w:rPr>
        <w:t>410 NORTH MICHIGAN AVENUE, 410 NORTH MICHIGAN AVENUE, CHICAGO, ILLINOIS , 60611. Item 2. Identity and Background</w:t>
      </w:r>
    </w:p>
    <w:p>
      <w:pPr>
        <w:ind w:left="940" w:right="60"/>
        <w:spacing w:after="0" w:line="249" w:lineRule="auto"/>
        <w:rPr>
          <w:sz w:val="20"/>
          <w:szCs w:val="20"/>
          <w:color w:val="auto"/>
        </w:rPr>
      </w:pPr>
      <w:r>
        <w:rPr>
          <w:rFonts w:ascii="Times New Roman" w:cs="Times New Roman" w:eastAsia="Times New Roman" w:hAnsi="Times New Roman"/>
          <w:sz w:val="21"/>
          <w:szCs w:val="21"/>
          <w:color w:val="auto"/>
        </w:rPr>
        <w:t>This statement is being filed by one or more of the following persons: GGCP, Inc. (GGCP), GGCP Holdings LLC (GGCP Holdings), GAMCO Investors, Inc. (GBL), Associated Capital Group, Inc. (AC), Gabelli Funds, LLC (Gabelli Funds), GAMCO Asset Management Inc. (GAMCO), Teton Advisors, LLC (Teton Advisors), Keeley-Teton</w:t>
      </w:r>
    </w:p>
    <w:p>
      <w:pPr>
        <w:spacing w:after="0" w:line="1" w:lineRule="exact"/>
        <w:rPr>
          <w:sz w:val="20"/>
          <w:szCs w:val="20"/>
          <w:color w:val="auto"/>
        </w:rPr>
      </w:pPr>
    </w:p>
    <w:p>
      <w:pPr>
        <w:ind w:left="940" w:right="80" w:hanging="932"/>
        <w:spacing w:after="0" w:line="234"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Advisors, LLC (Keeley-Teton), Gabelli &amp; Company Investment Advisers, Inc. (GCIA), Morgan Group Holding Co., (MGH), G.research, LLC (G.research), MJG Associates, Inc. (MJG Associates), Gabelli Securities International (Bermuda) Limited (GSIL), Gabelli Foundation, Inc. (Foundation), Mario Gabelli, LICT and CIBL. Those of the foregoing persons signing this Schedule 13D are hereinafter referred to as the Reporting Persons.</w:t>
      </w:r>
    </w:p>
    <w:p>
      <w:pPr>
        <w:spacing w:after="0" w:line="15" w:lineRule="exact"/>
        <w:rPr>
          <w:rFonts w:ascii="Times New Roman" w:cs="Times New Roman" w:eastAsia="Times New Roman" w:hAnsi="Times New Roman"/>
          <w:sz w:val="22"/>
          <w:szCs w:val="22"/>
          <w:color w:val="auto"/>
        </w:rPr>
      </w:pPr>
    </w:p>
    <w:p>
      <w:pPr>
        <w:ind w:left="940" w:right="4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GAMCO is a New York corporation and GBL and MGH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w:t>
      </w:r>
    </w:p>
    <w:p>
      <w:pPr>
        <w:spacing w:after="0" w:line="2" w:lineRule="exact"/>
        <w:rPr>
          <w:rFonts w:ascii="Times New Roman" w:cs="Times New Roman" w:eastAsia="Times New Roman" w:hAnsi="Times New Roman"/>
          <w:sz w:val="22"/>
          <w:szCs w:val="22"/>
          <w:color w:val="auto"/>
        </w:rPr>
      </w:pPr>
    </w:p>
    <w:p>
      <w:pPr>
        <w:ind w:left="940" w:hanging="932"/>
        <w:spacing w:after="0" w:line="207"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business office at One Corporate Center, Rye, New York 10580. Teton Advisors is a Delaware limited liability company having its principal place of business at 189 Mason Street, Greenwich, CT 06830. Keeley-Teton Advisors is a Delaware limited liability company having its principal place of business at 141 W. Jackson Blvd., Chicago, IL 60604. MJG Associates is a Connecticut corporation having its principal business office at 191 Mason Street, Greenwich, CT 06830. The Foundation is a Nevada corporation having its principal offices at 165 West Liberty Street, Reno, Nevada 89501. LICT is a Delaware corporation having its principal place of business as 401 Theodore Fremd Avenue, Rye, New York 10580. CIBL, Inc. is a Delaware corporation having its principal place of business as 165 West Liberty Street, Suite 220, Reno, NV 89501.</w:t>
      </w:r>
    </w:p>
    <w:p>
      <w:pPr>
        <w:spacing w:after="0" w:line="20" w:lineRule="exact"/>
        <w:rPr>
          <w:rFonts w:ascii="Times New Roman" w:cs="Times New Roman" w:eastAsia="Times New Roman" w:hAnsi="Times New Roman"/>
          <w:sz w:val="43"/>
          <w:szCs w:val="43"/>
          <w:color w:val="auto"/>
          <w:vertAlign w:val="subscript"/>
        </w:rPr>
      </w:pPr>
    </w:p>
    <w:p>
      <w:pPr>
        <w:ind w:left="940" w:right="160" w:hanging="932"/>
        <w:spacing w:after="0" w:line="251"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GGCP makes investments for its own account and is the manager and a member of GGCP Holdings which is the controlling shareholder of GBL and AC. GBL, a public company whose stock is quoted on the OTCQX platform,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 GAMCO, a wholly-owned</w:t>
      </w:r>
    </w:p>
    <w:p>
      <w:pPr>
        <w:sectPr>
          <w:pgSz w:w="11900" w:h="16838" w:orient="portrait"/>
          <w:cols w:equalWidth="0" w:num="1">
            <w:col w:w="11120"/>
          </w:cols>
          <w:pgMar w:left="360" w:top="102" w:right="419" w:bottom="0" w:gutter="0" w:footer="0" w:header="0"/>
        </w:sectPr>
      </w:pPr>
    </w:p>
    <w:bookmarkStart w:id="7" w:name="page8"/>
    <w:bookmarkEnd w:id="7"/>
    <w:p>
      <w:pPr>
        <w:ind w:left="940"/>
        <w:spacing w:after="0" w:line="242" w:lineRule="auto"/>
        <w:rPr>
          <w:sz w:val="20"/>
          <w:szCs w:val="20"/>
          <w:color w:val="auto"/>
        </w:rPr>
      </w:pPr>
      <w:r>
        <w:rPr>
          <w:rFonts w:ascii="Times New Roman" w:cs="Times New Roman" w:eastAsia="Times New Roman" w:hAnsi="Times New Roman"/>
          <w:sz w:val="21"/>
          <w:szCs w:val="21"/>
          <w:color w:val="auto"/>
        </w:rPr>
        <w:t>subsidiary of GBL, is an investment adviser registered under the Investment Advisers Act of 1940, as amended (Advisers Act). GAMCO is an investment manager providing discretionary managed account services for employee benefit plans, private investors, endowments, foundations and others. 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or its relying advisers, act as a general partner or investment manager of a number of funds or partnerships, including Gabelli Associates Fund, L.P., Gabelli Associates Fund II, L.P., Gabelli Associates Limited, Gabelli Associates Limited II E, Gabelli Intermediate Credit Fund L.P., GAMA Select Plus Master Fund, Ltd., GAMCO Medical Opportunities L.P., and Gabelli Multimedia Partners, L.P. G.research is a wholly owned subsidiary of MGH. G.research, is a broker-dealer registered under the Securities Exchange Act of 1934, as amended (1934 Act), which may as a part of its business purchase and sell securities for its own account. Gabelli Funds, a wholly owned subsidiary of GBL, is a limited liability company. Gabelli Funds is an investment adviser registered under the Advisers Act which provides advisory services for The Gabelli Equity Trust Inc., The Gabelli Asset Fund, The Gabelli Growth Fund, The Gabelli Convertible and Income Securities Fund Inc., The Gabelli Value 25 Fund Inc., The Gabelli Small Cap Growth Fund, The Gabelli Equity Income Fund, The Gabelli ABC Fund, The Gabelli Global Content &amp; Connectivity Fund, The Gabelli Gold Fund, Inc., The Gabelli Multimedia Trust Inc., The Gabelli Global Rising Income &amp; Dividend Fund, The Gabelli Capital Asset Fund, The Gabelli International Growth Fund, Inc., The Gabelli Global Growth Fund, The Gabelli Utility Trust, The Gabelli Utilities Fund, The Gabelli Dividend Growth Fund, The Gabelli Focused Growth and Income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Rx Trust, The Gabelli Global Small and Mid Cap Value Trust, Gabelli Merger Plus+ Trust Plc, The Gabelli Global Financial Services Fund, The Gabelli Global Mini Mites Fund, The Gabelli Media Mogul Fund, The Gabelli Pet Parents Fund, The Gabelli U.S. Treasury Money Market Fund, Bancroft Fund Ltd. and Ellsworth Growth &amp; Income Fund Ltd., Gabelli Growth Innovators ETF, Gabelli Love Our Planet &amp; People ETF, Gabelli Automation ETF, Gabelli Commercial Aerospace &amp; Defense ETF, Gabelli Financial Services Opportunities ETF (collectively, the Funds), which are registered investment companies. Gabelli Funds is also the investment adviser to The GAMCO International SICAV (sub-funds GAMCO Merger Arbitrage and GAMCO All Cap Value), a UCITS III vehicle. Teton Advisors, an investment adviser registered under the Advisers Act, provides discretionary advisory services to The TETON Westwood Mighty Mitessm Fund, The TETON Convertible Securities Fund, The Teton Westwood Balanced Fund, and The TETON Westwood Equity Fund. The TETON Westwood Mighty Mites Fund and the Teton Convertible Securities Fund are subadvised by Gabelli Funds, and their holdings are included in this filing. Keeley-Teton, an investment adviser registered under the Advisers Act, provides discretionary advisory services to The Teton Westwood Smallcap Equity Fund, The Keeley Small Cap Dividend Value Fund, The Keeley Small-Mid Cap Value Fund, and The Keeley Mid Cap Dividend Value Fund, as well as to institutional and individual clients. 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 The Foundation is a private foundation. Mario Gabelli is the Chairman, a Trustee and the Investment Manager of the Foundation. Elisa M. Wilson is the President of the Foundation. 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 CIBL is a holding company with interest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 Mario Gabelli is the controlling stockholder, co-Chief Executive Officer and a director of GGCP and Chairman and Chief Executive Officer of GBL. He is the Executive Chairman of AC. Mario Gabelli is also a member of GGCP Holdings. Mario Gabelli is the controlling shareholder of MGH and indirectly of Teton Advisors and Keeley-Teton Advisors.</w:t>
      </w:r>
    </w:p>
    <w:p>
      <w:pPr>
        <w:spacing w:after="0" w:line="200" w:lineRule="exact"/>
        <w:rPr>
          <w:sz w:val="20"/>
          <w:szCs w:val="20"/>
          <w:color w:val="auto"/>
        </w:rPr>
      </w:pPr>
    </w:p>
    <w:p>
      <w:pPr>
        <w:spacing w:after="0" w:line="315" w:lineRule="exact"/>
        <w:rPr>
          <w:sz w:val="20"/>
          <w:szCs w:val="20"/>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United States.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aggregate number of Securities to which this Schedule 13D relates is 973,712 shares, representing 9.39% of the</w:t>
      </w:r>
    </w:p>
    <w:p>
      <w:pPr>
        <w:spacing w:after="0" w:line="14" w:lineRule="exact"/>
        <w:rPr>
          <w:sz w:val="20"/>
          <w:szCs w:val="20"/>
          <w:color w:val="auto"/>
        </w:rPr>
      </w:pPr>
    </w:p>
    <w:p>
      <w:pPr>
        <w:jc w:val="both"/>
        <w:ind w:left="940" w:right="180" w:hanging="932"/>
        <w:spacing w:after="0" w:line="184" w:lineRule="auto"/>
        <w:tabs>
          <w:tab w:leader="none" w:pos="94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10,368,372 shares outstanding as reported by the Issuer in its most recently filed Form 10-Q for the quarterly period ended April 30, 2025. The Reporting Persons beneficially own those Securities as follows: GAMCO 794,512 shares 7.66%, Gabelli Funds 164,200 shares 1.58% and Teton Advisors 15,000 shares 0.14%.</w:t>
      </w:r>
    </w:p>
    <w:p>
      <w:pPr>
        <w:spacing w:after="0" w:line="18" w:lineRule="exact"/>
        <w:rPr>
          <w:rFonts w:ascii="Times New Roman" w:cs="Times New Roman" w:eastAsia="Times New Roman" w:hAnsi="Times New Roman"/>
          <w:sz w:val="42"/>
          <w:szCs w:val="42"/>
          <w:color w:val="auto"/>
          <w:vertAlign w:val="subscript"/>
        </w:rPr>
      </w:pPr>
    </w:p>
    <w:p>
      <w:pPr>
        <w:ind w:left="940" w:right="40" w:hanging="932"/>
        <w:spacing w:after="0" w:line="251" w:lineRule="auto"/>
        <w:tabs>
          <w:tab w:leader="none" w:pos="9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GAMCO does not have authority to vote 9,000 of the reported shares, (ii) Gabelli Funds has sole dispositive and voting power with respect to the shares of the Issuer held by the Funds so long as the aggregate voting interest of all joint filers does not exceed 25% of their total voting</w:t>
      </w:r>
    </w:p>
    <w:p>
      <w:pPr>
        <w:sectPr>
          <w:pgSz w:w="11900" w:h="16838" w:orient="portrait"/>
          <w:cols w:equalWidth="0" w:num="1">
            <w:col w:w="11160"/>
          </w:cols>
          <w:pgMar w:left="360" w:top="111" w:right="379" w:bottom="0" w:gutter="0" w:footer="0" w:header="0"/>
        </w:sectPr>
      </w:pPr>
    </w:p>
    <w:bookmarkStart w:id="8" w:name="page9"/>
    <w:bookmarkEnd w:id="8"/>
    <w:p>
      <w:pPr>
        <w:ind w:left="932" w:right="200"/>
        <w:spacing w:after="0" w:line="238" w:lineRule="auto"/>
        <w:rPr>
          <w:sz w:val="20"/>
          <w:szCs w:val="20"/>
          <w:color w:val="auto"/>
        </w:rPr>
      </w:pPr>
      <w:r>
        <w:rPr>
          <w:rFonts w:ascii="Times New Roman" w:cs="Times New Roman" w:eastAsia="Times New Roman" w:hAnsi="Times New Roman"/>
          <w:sz w:val="22"/>
          <w:szCs w:val="22"/>
          <w:color w:val="auto"/>
        </w:rPr>
        <w:t>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p>
      <w:pPr>
        <w:spacing w:after="0" w:line="15" w:lineRule="exact"/>
        <w:rPr>
          <w:sz w:val="20"/>
          <w:szCs w:val="20"/>
          <w:color w:val="auto"/>
        </w:rPr>
      </w:pPr>
    </w:p>
    <w:p>
      <w:pPr>
        <w:jc w:val="both"/>
        <w:ind w:left="932" w:right="180"/>
        <w:spacing w:after="0" w:line="249" w:lineRule="auto"/>
        <w:rPr>
          <w:sz w:val="20"/>
          <w:szCs w:val="20"/>
          <w:color w:val="auto"/>
        </w:rPr>
      </w:pPr>
      <w:r>
        <w:rPr>
          <w:rFonts w:ascii="Times New Roman" w:cs="Times New Roman" w:eastAsia="Times New Roman" w:hAnsi="Times New Roman"/>
          <w:sz w:val="21"/>
          <w:szCs w:val="21"/>
          <w:color w:val="auto"/>
        </w:rPr>
        <w:t>Information with respect to all transactions in the Securities which were effected during the past sixty days or since the most recent filing on Schedule 13D, whichever is less, by each of the Reporting Persons and Covered Persons is set forth below: DATE SHARES PURCHASED PRICE /SOLD GABELLI FUNDS, LLC GABELLI SMALL CAP</w:t>
      </w:r>
    </w:p>
    <w:p>
      <w:pPr>
        <w:spacing w:after="0" w:line="1" w:lineRule="exact"/>
        <w:rPr>
          <w:sz w:val="20"/>
          <w:szCs w:val="20"/>
          <w:color w:val="auto"/>
        </w:rPr>
      </w:pPr>
    </w:p>
    <w:p>
      <w:pPr>
        <w:ind w:left="932" w:right="280" w:hanging="932"/>
        <w:spacing w:after="0" w:line="234" w:lineRule="auto"/>
        <w:tabs>
          <w:tab w:leader="none" w:pos="93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GROWTH FUND 5/12/2025 -200 46.5700 5/9/2025 -500 45.3300 GAMCO ASSET MANAGEMENT INC. 6/26/2025 -500 57.3020 6/20/2025 -100 56.3000 6/17/2025 -300 56.9000 6/11/2025 -200 58.3000 6/9/2025 -1,500 56.9684 6/9/2025 -400 58.4550 6/6/2025 -500 54.9500 5/20/2025 -50 48.5700 5/12/2025 -50 46.7500 TETON ADVISORS, INC. 6/9/2025 -1,000 57.9946 6/6/2025 -800 54.7450 5/23/2025 -200 47.7800</w:t>
      </w:r>
    </w:p>
    <w:p>
      <w:pPr>
        <w:spacing w:after="0" w:line="15" w:lineRule="exact"/>
        <w:rPr>
          <w:rFonts w:ascii="Times New Roman" w:cs="Times New Roman" w:eastAsia="Times New Roman" w:hAnsi="Times New Roman"/>
          <w:sz w:val="22"/>
          <w:szCs w:val="22"/>
          <w:color w:val="auto"/>
        </w:rPr>
      </w:pPr>
    </w:p>
    <w:p>
      <w:pPr>
        <w:jc w:val="both"/>
        <w:ind w:left="932" w:right="16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investment advisory clients of, or partnerships managed by, GAMCO, Gabelli Funds, Teton Advisors and MJG Associates have the sole right to receive and, subject to the notice, withdrawal and/or termination provisions of such</w:t>
      </w:r>
    </w:p>
    <w:p>
      <w:pPr>
        <w:ind w:left="932" w:hanging="932"/>
        <w:spacing w:after="0" w:line="189" w:lineRule="auto"/>
        <w:tabs>
          <w:tab w:leader="none" w:pos="932"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advisory contracts and partnership arrangements, the sole power to direct the receipt of dividends from, and the proceeds of sale of, any of the Securities beneficially owned by such Reporting Persons on behalf of such clients or partnerships. Except as noted, no such client or partnership has an interest by virtue of such relationship that relates to more than 5% of the Securities.</w:t>
      </w:r>
    </w:p>
    <w:p>
      <w:pPr>
        <w:spacing w:after="0" w:line="14" w:lineRule="exact"/>
        <w:rPr>
          <w:rFonts w:ascii="Times New Roman" w:cs="Times New Roman" w:eastAsia="Times New Roman" w:hAnsi="Times New Roman"/>
          <w:sz w:val="43"/>
          <w:szCs w:val="43"/>
          <w:color w:val="auto"/>
          <w:vertAlign w:val="subscript"/>
        </w:rPr>
      </w:pPr>
    </w:p>
    <w:p>
      <w:pPr>
        <w:ind w:left="932" w:hanging="932"/>
        <w:spacing w:after="0"/>
        <w:tabs>
          <w:tab w:leader="none" w:pos="93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12"/>
        <w:spacing w:after="0"/>
        <w:rPr>
          <w:sz w:val="20"/>
          <w:szCs w:val="20"/>
          <w:color w:val="auto"/>
        </w:rPr>
      </w:pPr>
      <w:r>
        <w:rPr>
          <w:rFonts w:ascii="Times New Roman" w:cs="Times New Roman" w:eastAsia="Times New Roman" w:hAnsi="Times New Roman"/>
          <w:sz w:val="22"/>
          <w:szCs w:val="22"/>
          <w:color w:val="auto"/>
        </w:rPr>
        <w:t>GAMCO INVESTORS, INC. ET AL</w:t>
      </w:r>
    </w:p>
    <w:p>
      <w:pPr>
        <w:spacing w:after="0" w:line="152" w:lineRule="exact"/>
        <w:rPr>
          <w:sz w:val="20"/>
          <w:szCs w:val="20"/>
          <w:color w:val="auto"/>
        </w:rPr>
      </w:pPr>
    </w:p>
    <w:p>
      <w:pPr>
        <w:ind w:left="3472"/>
        <w:spacing w:after="0"/>
        <w:tabs>
          <w:tab w:leader="none" w:pos="45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PETER D. GOLDSTEIN</w:t>
      </w:r>
    </w:p>
    <w:p>
      <w:pPr>
        <w:spacing w:after="0" w:line="44" w:lineRule="exact"/>
        <w:rPr>
          <w:sz w:val="20"/>
          <w:szCs w:val="20"/>
          <w:color w:val="auto"/>
        </w:rPr>
      </w:pPr>
    </w:p>
    <w:p>
      <w:pPr>
        <w:ind w:left="3472"/>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3472"/>
        <w:spacing w:after="0"/>
        <w:tabs>
          <w:tab w:leader="none" w:pos="45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06/27/2025</w:t>
      </w:r>
    </w:p>
    <w:p>
      <w:pPr>
        <w:spacing w:after="0" w:line="152" w:lineRule="exact"/>
        <w:rPr>
          <w:sz w:val="20"/>
          <w:szCs w:val="20"/>
          <w:color w:val="auto"/>
        </w:rPr>
      </w:pPr>
    </w:p>
    <w:p>
      <w:pPr>
        <w:ind w:left="2332"/>
        <w:spacing w:after="0"/>
        <w:rPr>
          <w:sz w:val="20"/>
          <w:szCs w:val="20"/>
          <w:color w:val="auto"/>
        </w:rPr>
      </w:pPr>
      <w:r>
        <w:rPr>
          <w:rFonts w:ascii="Times New Roman" w:cs="Times New Roman" w:eastAsia="Times New Roman" w:hAnsi="Times New Roman"/>
          <w:sz w:val="22"/>
          <w:szCs w:val="22"/>
          <w:color w:val="auto"/>
        </w:rPr>
        <w:t>GABELLI FUNDS LLC</w:t>
      </w:r>
    </w:p>
    <w:p>
      <w:pPr>
        <w:spacing w:after="0" w:line="152" w:lineRule="exact"/>
        <w:rPr>
          <w:sz w:val="20"/>
          <w:szCs w:val="20"/>
          <w:color w:val="auto"/>
        </w:rPr>
      </w:pPr>
    </w:p>
    <w:p>
      <w:pPr>
        <w:ind w:left="3332"/>
        <w:spacing w:after="0"/>
        <w:tabs>
          <w:tab w:leader="none" w:pos="44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3332"/>
        <w:spacing w:after="0"/>
        <w:rPr>
          <w:sz w:val="20"/>
          <w:szCs w:val="20"/>
          <w:color w:val="auto"/>
        </w:rPr>
      </w:pPr>
      <w:r>
        <w:rPr>
          <w:rFonts w:ascii="Times New Roman" w:cs="Times New Roman" w:eastAsia="Times New Roman" w:hAnsi="Times New Roman"/>
          <w:sz w:val="22"/>
          <w:szCs w:val="22"/>
          <w:color w:val="auto"/>
        </w:rPr>
        <w:t>Name/Title: GENERAL COUNSEL</w:t>
      </w:r>
    </w:p>
    <w:p>
      <w:pPr>
        <w:spacing w:after="0" w:line="44" w:lineRule="exact"/>
        <w:rPr>
          <w:sz w:val="20"/>
          <w:szCs w:val="20"/>
          <w:color w:val="auto"/>
        </w:rPr>
      </w:pPr>
    </w:p>
    <w:p>
      <w:pPr>
        <w:ind w:left="3332"/>
        <w:spacing w:after="0"/>
        <w:tabs>
          <w:tab w:leader="none" w:pos="44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06/27/2025</w:t>
      </w:r>
    </w:p>
    <w:p>
      <w:pPr>
        <w:spacing w:after="0" w:line="152" w:lineRule="exact"/>
        <w:rPr>
          <w:sz w:val="20"/>
          <w:szCs w:val="20"/>
          <w:color w:val="auto"/>
        </w:rPr>
      </w:pPr>
    </w:p>
    <w:p>
      <w:pPr>
        <w:ind w:left="3092"/>
        <w:spacing w:after="0"/>
        <w:rPr>
          <w:sz w:val="20"/>
          <w:szCs w:val="20"/>
          <w:color w:val="auto"/>
        </w:rPr>
      </w:pPr>
      <w:r>
        <w:rPr>
          <w:rFonts w:ascii="Times New Roman" w:cs="Times New Roman" w:eastAsia="Times New Roman" w:hAnsi="Times New Roman"/>
          <w:sz w:val="22"/>
          <w:szCs w:val="22"/>
          <w:color w:val="auto"/>
        </w:rPr>
        <w:t>GAMCO Asset Management Inc.</w:t>
      </w:r>
    </w:p>
    <w:p>
      <w:pPr>
        <w:spacing w:after="0" w:line="152" w:lineRule="exact"/>
        <w:rPr>
          <w:sz w:val="20"/>
          <w:szCs w:val="20"/>
          <w:color w:val="auto"/>
        </w:rPr>
      </w:pPr>
    </w:p>
    <w:p>
      <w:pPr>
        <w:ind w:left="3692"/>
        <w:spacing w:after="0"/>
        <w:tabs>
          <w:tab w:leader="none" w:pos="47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DOUGLAS R. JAMIESON</w:t>
      </w:r>
    </w:p>
    <w:p>
      <w:pPr>
        <w:spacing w:after="0" w:line="44" w:lineRule="exact"/>
        <w:rPr>
          <w:sz w:val="20"/>
          <w:szCs w:val="20"/>
          <w:color w:val="auto"/>
        </w:rPr>
      </w:pPr>
    </w:p>
    <w:p>
      <w:pPr>
        <w:ind w:left="3692"/>
        <w:spacing w:after="0"/>
        <w:rPr>
          <w:sz w:val="20"/>
          <w:szCs w:val="20"/>
          <w:color w:val="auto"/>
        </w:rPr>
      </w:pPr>
      <w:r>
        <w:rPr>
          <w:rFonts w:ascii="Times New Roman" w:cs="Times New Roman" w:eastAsia="Times New Roman" w:hAnsi="Times New Roman"/>
          <w:sz w:val="22"/>
          <w:szCs w:val="22"/>
          <w:color w:val="auto"/>
        </w:rPr>
        <w:t>Name/Title: PRESIDENT</w:t>
      </w:r>
    </w:p>
    <w:p>
      <w:pPr>
        <w:spacing w:after="0" w:line="44" w:lineRule="exact"/>
        <w:rPr>
          <w:sz w:val="20"/>
          <w:szCs w:val="20"/>
          <w:color w:val="auto"/>
        </w:rPr>
      </w:pPr>
    </w:p>
    <w:p>
      <w:pPr>
        <w:ind w:left="3692"/>
        <w:spacing w:after="0"/>
        <w:tabs>
          <w:tab w:leader="none" w:pos="47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06/27/2025</w:t>
      </w:r>
    </w:p>
    <w:p>
      <w:pPr>
        <w:spacing w:after="0" w:line="152"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22"/>
          <w:szCs w:val="22"/>
          <w:color w:val="auto"/>
        </w:rPr>
        <w:t>Teton Advisors, Inc.</w:t>
      </w:r>
    </w:p>
    <w:p>
      <w:pPr>
        <w:spacing w:after="0" w:line="152" w:lineRule="exact"/>
        <w:rPr>
          <w:sz w:val="20"/>
          <w:szCs w:val="20"/>
          <w:color w:val="auto"/>
        </w:rPr>
      </w:pPr>
    </w:p>
    <w:p>
      <w:pPr>
        <w:ind w:left="3112"/>
        <w:spacing w:after="0"/>
        <w:tabs>
          <w:tab w:leader="none" w:pos="41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3112"/>
        <w:spacing w:after="0"/>
        <w:rPr>
          <w:sz w:val="20"/>
          <w:szCs w:val="20"/>
          <w:color w:val="auto"/>
        </w:rPr>
      </w:pPr>
      <w:r>
        <w:rPr>
          <w:rFonts w:ascii="Times New Roman" w:cs="Times New Roman" w:eastAsia="Times New Roman" w:hAnsi="Times New Roman"/>
          <w:sz w:val="22"/>
          <w:szCs w:val="22"/>
          <w:color w:val="auto"/>
        </w:rPr>
        <w:t>Name/Title: COUNSEL</w:t>
      </w:r>
    </w:p>
    <w:p>
      <w:pPr>
        <w:spacing w:after="0" w:line="44" w:lineRule="exact"/>
        <w:rPr>
          <w:sz w:val="20"/>
          <w:szCs w:val="20"/>
          <w:color w:val="auto"/>
        </w:rPr>
      </w:pPr>
    </w:p>
    <w:p>
      <w:pPr>
        <w:ind w:left="3112"/>
        <w:spacing w:after="0"/>
        <w:tabs>
          <w:tab w:leader="none" w:pos="41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06/27/2025</w:t>
      </w:r>
    </w:p>
    <w:p>
      <w:pPr>
        <w:spacing w:after="0" w:line="152" w:lineRule="exact"/>
        <w:rPr>
          <w:sz w:val="20"/>
          <w:szCs w:val="20"/>
          <w:color w:val="auto"/>
        </w:rPr>
      </w:pPr>
    </w:p>
    <w:p>
      <w:pPr>
        <w:ind w:left="1272"/>
        <w:spacing w:after="0"/>
        <w:rPr>
          <w:sz w:val="20"/>
          <w:szCs w:val="20"/>
          <w:color w:val="auto"/>
        </w:rPr>
      </w:pPr>
      <w:r>
        <w:rPr>
          <w:rFonts w:ascii="Times New Roman" w:cs="Times New Roman" w:eastAsia="Times New Roman" w:hAnsi="Times New Roman"/>
          <w:sz w:val="22"/>
          <w:szCs w:val="22"/>
          <w:color w:val="auto"/>
        </w:rPr>
        <w:t>GGCP, INC.</w:t>
      </w:r>
    </w:p>
    <w:p>
      <w:pPr>
        <w:spacing w:after="0" w:line="152" w:lineRule="exact"/>
        <w:rPr>
          <w:sz w:val="20"/>
          <w:szCs w:val="20"/>
          <w:color w:val="auto"/>
        </w:rPr>
      </w:pPr>
    </w:p>
    <w:p>
      <w:pPr>
        <w:ind w:left="3292"/>
        <w:spacing w:after="0"/>
        <w:tabs>
          <w:tab w:leader="none" w:pos="43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3292"/>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92"/>
        <w:spacing w:after="0"/>
        <w:tabs>
          <w:tab w:leader="none" w:pos="43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06/27/2025</w:t>
      </w:r>
    </w:p>
    <w:p>
      <w:pPr>
        <w:spacing w:after="0" w:line="152" w:lineRule="exact"/>
        <w:rPr>
          <w:sz w:val="20"/>
          <w:szCs w:val="20"/>
          <w:color w:val="auto"/>
        </w:rPr>
      </w:pPr>
    </w:p>
    <w:p>
      <w:pPr>
        <w:ind w:left="2852"/>
        <w:spacing w:after="0"/>
        <w:rPr>
          <w:sz w:val="20"/>
          <w:szCs w:val="20"/>
          <w:color w:val="auto"/>
        </w:rPr>
      </w:pPr>
      <w:r>
        <w:rPr>
          <w:rFonts w:ascii="Times New Roman" w:cs="Times New Roman" w:eastAsia="Times New Roman" w:hAnsi="Times New Roman"/>
          <w:sz w:val="22"/>
          <w:szCs w:val="22"/>
          <w:color w:val="auto"/>
        </w:rPr>
        <w:t>Associated Capital Group, Inc.</w:t>
      </w:r>
    </w:p>
    <w:p>
      <w:pPr>
        <w:spacing w:after="0" w:line="152" w:lineRule="exact"/>
        <w:rPr>
          <w:sz w:val="20"/>
          <w:szCs w:val="20"/>
          <w:color w:val="auto"/>
        </w:rPr>
      </w:pPr>
    </w:p>
    <w:p>
      <w:pPr>
        <w:ind w:left="3612"/>
        <w:spacing w:after="0"/>
        <w:tabs>
          <w:tab w:leader="none" w:pos="46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PETER D. GOLDSTEIN</w:t>
      </w:r>
    </w:p>
    <w:p>
      <w:pPr>
        <w:spacing w:after="0" w:line="44" w:lineRule="exact"/>
        <w:rPr>
          <w:sz w:val="20"/>
          <w:szCs w:val="20"/>
          <w:color w:val="auto"/>
        </w:rPr>
      </w:pPr>
    </w:p>
    <w:p>
      <w:pPr>
        <w:ind w:left="3612"/>
        <w:spacing w:after="0"/>
        <w:rPr>
          <w:sz w:val="20"/>
          <w:szCs w:val="20"/>
          <w:color w:val="auto"/>
        </w:rPr>
      </w:pPr>
      <w:r>
        <w:rPr>
          <w:rFonts w:ascii="Times New Roman" w:cs="Times New Roman" w:eastAsia="Times New Roman" w:hAnsi="Times New Roman"/>
          <w:sz w:val="22"/>
          <w:szCs w:val="22"/>
          <w:color w:val="auto"/>
        </w:rPr>
        <w:t>Name/Title: CHIEF LEGAL OFFICER</w:t>
      </w:r>
    </w:p>
    <w:p>
      <w:pPr>
        <w:spacing w:after="0" w:line="44" w:lineRule="exact"/>
        <w:rPr>
          <w:sz w:val="20"/>
          <w:szCs w:val="20"/>
          <w:color w:val="auto"/>
        </w:rPr>
      </w:pPr>
    </w:p>
    <w:p>
      <w:pPr>
        <w:ind w:left="3612"/>
        <w:spacing w:after="0"/>
        <w:tabs>
          <w:tab w:leader="none" w:pos="46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06/27/2025</w:t>
      </w:r>
    </w:p>
    <w:p>
      <w:pPr>
        <w:spacing w:after="0" w:line="152" w:lineRule="exact"/>
        <w:rPr>
          <w:sz w:val="20"/>
          <w:szCs w:val="20"/>
          <w:color w:val="auto"/>
        </w:rPr>
      </w:pPr>
    </w:p>
    <w:p>
      <w:pPr>
        <w:ind w:left="2012"/>
        <w:spacing w:after="0"/>
        <w:rPr>
          <w:sz w:val="20"/>
          <w:szCs w:val="20"/>
          <w:color w:val="auto"/>
        </w:rPr>
      </w:pPr>
      <w:r>
        <w:rPr>
          <w:rFonts w:ascii="Times New Roman" w:cs="Times New Roman" w:eastAsia="Times New Roman" w:hAnsi="Times New Roman"/>
          <w:sz w:val="22"/>
          <w:szCs w:val="22"/>
          <w:color w:val="auto"/>
        </w:rPr>
        <w:t>GABELLI MARIO J</w:t>
      </w:r>
    </w:p>
    <w:p>
      <w:pPr>
        <w:spacing w:after="0" w:line="152" w:lineRule="exact"/>
        <w:rPr>
          <w:sz w:val="20"/>
          <w:szCs w:val="20"/>
          <w:color w:val="auto"/>
        </w:rPr>
      </w:pPr>
    </w:p>
    <w:p>
      <w:pPr>
        <w:ind w:left="3292"/>
        <w:spacing w:after="0"/>
        <w:tabs>
          <w:tab w:leader="none" w:pos="43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DAVID GOLDMAN</w:t>
      </w:r>
    </w:p>
    <w:p>
      <w:pPr>
        <w:spacing w:after="0" w:line="44" w:lineRule="exact"/>
        <w:rPr>
          <w:sz w:val="20"/>
          <w:szCs w:val="20"/>
          <w:color w:val="auto"/>
        </w:rPr>
      </w:pPr>
    </w:p>
    <w:p>
      <w:pPr>
        <w:ind w:left="3292"/>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292"/>
        <w:spacing w:after="0"/>
        <w:tabs>
          <w:tab w:leader="none" w:pos="43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06/27/2025</w:t>
      </w:r>
    </w:p>
    <w:sectPr>
      <w:pgSz w:w="11900" w:h="16838" w:orient="portrait"/>
      <w:cols w:equalWidth="0" w:num="1">
        <w:col w:w="11132"/>
      </w:cols>
      <w:pgMar w:left="368" w:top="111" w:right="399" w:bottom="23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2025-06-27T15:40:15Z</dcterms:created>
  <dcterms:modified xsi:type="dcterms:W3CDTF">2025-06-27T15:40:15Z</dcterms:modified>
</cp:coreProperties>
</file>