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1980" w:right="198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2013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468"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468"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46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68"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84" w:right="239" w:bottom="1440" w:gutter="0" w:footer="0" w:header="0"/>
        </w:sectPr>
      </w:pPr>
    </w:p>
    <w:p>
      <w:pPr>
        <w:spacing w:after="0" w:line="333"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3440" w:space="720"/>
            <w:col w:w="3160" w:space="720"/>
            <w:col w:w="1900" w:space="720"/>
            <w:col w:w="760"/>
          </w:cols>
          <w:pgMar w:left="240" w:top="584" w:right="239" w:bottom="1440" w:gutter="0" w:footer="0" w:header="0"/>
          <w:type w:val="continuous"/>
        </w:sectPr>
      </w:pPr>
    </w:p>
    <w:p>
      <w:pPr>
        <w:spacing w:after="0" w:line="156"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3440" w:space="720"/>
            <w:col w:w="3160" w:space="720"/>
            <w:col w:w="1960" w:space="660"/>
            <w:col w:w="760"/>
          </w:cols>
          <w:pgMar w:left="240" w:top="584" w:right="2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2013 was $134,341,000.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2013:</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4,949,243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2,069,746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documents are incorporated by reference: Oil-Dri’s Proxy Statement for its 2013 Annual Meeting of Stockholders (“Proxy Statement”), which will be filed with the Securities and Exchange Commission (“SEC”) not later than November 28, 2013 (120 days after the end of Oil-Dri’s fiscal year ended July 31, 2013), is incorporated into Part III of this Annual Report on Form 10-K, as indicated herein.</w:t>
      </w:r>
    </w:p>
    <w:p>
      <w:pPr>
        <w:sectPr>
          <w:pgSz w:w="11900" w:h="16838" w:orient="portrait"/>
          <w:cols w:equalWidth="0" w:num="1">
            <w:col w:w="11420"/>
          </w:cols>
          <w:pgMar w:left="240" w:top="58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580" w:type="dxa"/>
            <w:vAlign w:val="bottom"/>
          </w:tcPr>
          <w:p>
            <w:pPr>
              <w:jc w:val="center"/>
              <w:ind w:left="1631"/>
              <w:spacing w:after="0"/>
              <w:rPr>
                <w:sz w:val="20"/>
                <w:szCs w:val="20"/>
                <w:color w:val="auto"/>
              </w:rPr>
            </w:pPr>
            <w:r>
              <w:rPr>
                <w:rFonts w:ascii="Arial" w:cs="Arial" w:eastAsia="Arial" w:hAnsi="Arial"/>
                <w:sz w:val="18"/>
                <w:szCs w:val="18"/>
                <w:b w:val="1"/>
                <w:bCs w:val="1"/>
                <w:color w:val="auto"/>
                <w:w w:val="98"/>
              </w:rPr>
              <w:t>CONTENTS</w:t>
            </w: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0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Item</w:t>
            </w:r>
          </w:p>
        </w:tc>
        <w:tc>
          <w:tcPr>
            <w:tcW w:w="20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color w:val="auto"/>
              </w:rPr>
              <w:t>Page</w:t>
            </w: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shd w:val="clear" w:color="auto" w:fill="CCEEFF"/>
          </w:tcPr>
          <w:p>
            <w:pPr>
              <w:jc w:val="center"/>
              <w:ind w:left="1631"/>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2060" w:type="dxa"/>
            <w:vAlign w:val="bottom"/>
            <w:gridSpan w:val="4"/>
            <w:shd w:val="clear" w:color="auto" w:fill="CCEEFF"/>
          </w:tcPr>
          <w:p>
            <w:pPr>
              <w:jc w:val="right"/>
              <w:ind w:righ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1A.</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1B.</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Unresolved Staff Comments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Properties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Legal Proceedings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580" w:type="dxa"/>
            <w:vAlign w:val="bottom"/>
            <w:shd w:val="clear" w:color="auto" w:fill="CCEEFF"/>
          </w:tcPr>
          <w:p>
            <w:pPr>
              <w:ind w:left="1000"/>
              <w:spacing w:after="0" w:line="202" w:lineRule="exact"/>
              <w:rPr>
                <w:sz w:val="20"/>
                <w:szCs w:val="20"/>
                <w:color w:val="auto"/>
              </w:rPr>
            </w:pPr>
            <w:r>
              <w:rPr>
                <w:rFonts w:ascii="Arial" w:cs="Arial" w:eastAsia="Arial" w:hAnsi="Arial"/>
                <w:sz w:val="18"/>
                <w:szCs w:val="18"/>
                <w:color w:val="0000FF"/>
              </w:rPr>
              <w:t>Mine Safety Disclosure</w:t>
            </w:r>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shd w:val="clear" w:color="auto" w:fill="CCEEFF"/>
          </w:tcPr>
          <w:p>
            <w:pPr>
              <w:jc w:val="center"/>
              <w:ind w:left="1631"/>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w:t>
              </w:r>
            </w:hyperlink>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00" w:type="dxa"/>
            <w:vAlign w:val="bottom"/>
            <w:shd w:val="clear" w:color="auto" w:fill="CCEEFF"/>
          </w:tcPr>
          <w:p>
            <w:pPr>
              <w:spacing w:after="0"/>
              <w:rPr>
                <w:sz w:val="19"/>
                <w:szCs w:val="19"/>
                <w:color w:val="auto"/>
              </w:rPr>
            </w:pPr>
          </w:p>
        </w:tc>
        <w:tc>
          <w:tcPr>
            <w:tcW w:w="8580" w:type="dxa"/>
            <w:vAlign w:val="bottom"/>
            <w:shd w:val="clear" w:color="auto" w:fill="CCEEFF"/>
          </w:tcPr>
          <w:p>
            <w:pPr>
              <w:ind w:left="1000"/>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Equity, Related Stockholder Matters and Issuer Purchases of</w:t>
              </w:r>
            </w:hyperlink>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5</w:t>
            </w:r>
          </w:p>
        </w:tc>
        <w:tc>
          <w:tcPr>
            <w:tcW w:w="8580" w:type="dxa"/>
            <w:vAlign w:val="bottom"/>
            <w:shd w:val="clear" w:color="auto" w:fill="CCEEFF"/>
          </w:tcPr>
          <w:p>
            <w:pPr>
              <w:ind w:left="1000"/>
              <w:spacing w:after="0" w:line="190" w:lineRule="exact"/>
              <w:rPr>
                <w:rFonts w:ascii="Arial" w:cs="Arial" w:eastAsia="Arial" w:hAnsi="Arial"/>
                <w:sz w:val="18"/>
                <w:szCs w:val="18"/>
                <w:color w:val="0000FF"/>
              </w:rPr>
            </w:pPr>
            <w:hyperlink w:anchor="page22">
              <w:r>
                <w:rPr>
                  <w:rFonts w:ascii="Arial" w:cs="Arial" w:eastAsia="Arial" w:hAnsi="Arial"/>
                  <w:sz w:val="18"/>
                  <w:szCs w:val="18"/>
                  <w:color w:val="0000FF"/>
                </w:rPr>
                <w:t>Equity Securities</w:t>
              </w:r>
            </w:hyperlink>
          </w:p>
        </w:tc>
        <w:tc>
          <w:tcPr>
            <w:tcW w:w="2020" w:type="dxa"/>
            <w:vAlign w:val="bottom"/>
            <w:gridSpan w:val="3"/>
            <w:shd w:val="clear" w:color="auto" w:fill="CCEEFF"/>
          </w:tcPr>
          <w:p>
            <w:pPr>
              <w:jc w:val="right"/>
              <w:spacing w:after="0" w:line="190" w:lineRule="exact"/>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40" w:type="dxa"/>
            <w:vAlign w:val="bottom"/>
            <w:shd w:val="clear" w:color="auto" w:fill="CCEEFF"/>
          </w:tcPr>
          <w:p>
            <w:pPr>
              <w:spacing w:after="0"/>
              <w:rPr>
                <w:sz w:val="20"/>
                <w:szCs w:val="20"/>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Selected Financial Data</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7A.</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Financial Statements and Supplementary Data</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spacing w:after="0"/>
              <w:rPr>
                <w:sz w:val="21"/>
                <w:szCs w:val="21"/>
                <w:color w:val="auto"/>
              </w:rPr>
            </w:pP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Management's Report on Internal Control Over Financial Reporting</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65</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spacing w:after="0"/>
              <w:rPr>
                <w:sz w:val="21"/>
                <w:szCs w:val="21"/>
                <w:color w:val="auto"/>
              </w:rPr>
            </w:pP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Report of Independent Registered Public Accounting Firm</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Changes in and Disagreements with Accountants on Accounting and Financial Disclosure</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9A.</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Controls and Procedures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9B.</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Other Information</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c>
          <w:tcPr>
            <w:tcW w:w="40" w:type="dxa"/>
            <w:vAlign w:val="bottom"/>
            <w:shd w:val="clear" w:color="auto" w:fill="CCEEFF"/>
          </w:tcPr>
          <w:p>
            <w:pPr>
              <w:spacing w:after="0"/>
              <w:rPr>
                <w:sz w:val="21"/>
                <w:szCs w:val="21"/>
                <w:color w:val="auto"/>
              </w:rPr>
            </w:pPr>
          </w:p>
        </w:tc>
      </w:tr>
      <w:tr>
        <w:trPr>
          <w:trHeight w:val="203"/>
        </w:trPr>
        <w:tc>
          <w:tcPr>
            <w:tcW w:w="300" w:type="dxa"/>
            <w:vAlign w:val="bottom"/>
            <w:tcBorders>
              <w:top w:val="single" w:sz="8" w:color="CCEEFF"/>
            </w:tcBorders>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858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PART III</w:t>
              </w:r>
            </w:hyperlink>
          </w:p>
        </w:tc>
        <w:tc>
          <w:tcPr>
            <w:tcW w:w="1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0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Directors, Executive Officers and Corporate Governance</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Executive Compensation</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29"/>
        </w:trPr>
        <w:tc>
          <w:tcPr>
            <w:tcW w:w="300" w:type="dxa"/>
            <w:vAlign w:val="bottom"/>
            <w:shd w:val="clear" w:color="auto" w:fill="CCEEFF"/>
          </w:tcPr>
          <w:p>
            <w:pPr>
              <w:spacing w:after="0"/>
              <w:rPr>
                <w:sz w:val="19"/>
                <w:szCs w:val="19"/>
                <w:color w:val="auto"/>
              </w:rPr>
            </w:pPr>
          </w:p>
        </w:tc>
        <w:tc>
          <w:tcPr>
            <w:tcW w:w="8580" w:type="dxa"/>
            <w:vAlign w:val="bottom"/>
            <w:shd w:val="clear" w:color="auto" w:fill="CCEEFF"/>
          </w:tcPr>
          <w:p>
            <w:pPr>
              <w:ind w:left="1000"/>
              <w:spacing w:after="0"/>
              <w:rPr>
                <w:rFonts w:ascii="Arial" w:cs="Arial" w:eastAsia="Arial" w:hAnsi="Arial"/>
                <w:sz w:val="18"/>
                <w:szCs w:val="18"/>
                <w:color w:val="0000FF"/>
              </w:rPr>
            </w:pPr>
            <w:hyperlink w:anchor="page68">
              <w:r>
                <w:rPr>
                  <w:rFonts w:ascii="Arial" w:cs="Arial" w:eastAsia="Arial" w:hAnsi="Arial"/>
                  <w:sz w:val="18"/>
                  <w:szCs w:val="18"/>
                  <w:color w:val="0000FF"/>
                </w:rPr>
                <w:t>Security Ownership of Certain Beneficial Owners and Management and Related Stockholder</w:t>
              </w:r>
            </w:hyperlink>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12</w:t>
            </w:r>
          </w:p>
        </w:tc>
        <w:tc>
          <w:tcPr>
            <w:tcW w:w="8580" w:type="dxa"/>
            <w:vAlign w:val="bottom"/>
            <w:shd w:val="clear" w:color="auto" w:fill="CCEEFF"/>
          </w:tcPr>
          <w:p>
            <w:pPr>
              <w:ind w:left="1000"/>
              <w:spacing w:after="0" w:line="190" w:lineRule="exact"/>
              <w:rPr>
                <w:rFonts w:ascii="Arial" w:cs="Arial" w:eastAsia="Arial" w:hAnsi="Arial"/>
                <w:sz w:val="18"/>
                <w:szCs w:val="18"/>
                <w:color w:val="0000FF"/>
              </w:rPr>
            </w:pPr>
            <w:hyperlink w:anchor="page68">
              <w:r>
                <w:rPr>
                  <w:rFonts w:ascii="Arial" w:cs="Arial" w:eastAsia="Arial" w:hAnsi="Arial"/>
                  <w:sz w:val="18"/>
                  <w:szCs w:val="18"/>
                  <w:color w:val="0000FF"/>
                </w:rPr>
                <w:t>Matters</w:t>
              </w:r>
            </w:hyperlink>
          </w:p>
        </w:tc>
        <w:tc>
          <w:tcPr>
            <w:tcW w:w="2020" w:type="dxa"/>
            <w:vAlign w:val="bottom"/>
            <w:gridSpan w:val="3"/>
            <w:shd w:val="clear" w:color="auto" w:fill="CCEEFF"/>
          </w:tcPr>
          <w:p>
            <w:pPr>
              <w:jc w:val="right"/>
              <w:spacing w:after="0" w:line="190"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40" w:type="dxa"/>
            <w:vAlign w:val="bottom"/>
            <w:shd w:val="clear" w:color="auto" w:fill="CCEEFF"/>
          </w:tcPr>
          <w:p>
            <w:pPr>
              <w:spacing w:after="0"/>
              <w:rPr>
                <w:sz w:val="20"/>
                <w:szCs w:val="20"/>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Certain Relationships and Related Transactions, and Director Independence</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40" w:type="dxa"/>
            <w:vAlign w:val="bottom"/>
            <w:shd w:val="clear" w:color="auto" w:fill="CCEEFF"/>
          </w:tcPr>
          <w:p>
            <w:pPr>
              <w:spacing w:after="0"/>
              <w:rPr>
                <w:sz w:val="21"/>
                <w:szCs w:val="21"/>
                <w:color w:val="auto"/>
              </w:rPr>
            </w:pPr>
          </w:p>
        </w:tc>
      </w:tr>
      <w:tr>
        <w:trPr>
          <w:trHeight w:val="270"/>
        </w:trPr>
        <w:tc>
          <w:tcPr>
            <w:tcW w:w="300" w:type="dxa"/>
            <w:vAlign w:val="bottom"/>
            <w:tcBorders>
              <w:top w:val="single" w:sz="8" w:color="CCEEFF"/>
            </w:tcBorders>
          </w:tcPr>
          <w:p>
            <w:pPr>
              <w:spacing w:after="0"/>
              <w:rPr>
                <w:sz w:val="23"/>
                <w:szCs w:val="23"/>
                <w:color w:val="auto"/>
              </w:rPr>
            </w:pPr>
          </w:p>
        </w:tc>
        <w:tc>
          <w:tcPr>
            <w:tcW w:w="858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580" w:type="dxa"/>
            <w:vAlign w:val="bottom"/>
            <w:shd w:val="clear" w:color="auto" w:fill="CCEEFF"/>
          </w:tcPr>
          <w:p>
            <w:pPr>
              <w:ind w:left="1000"/>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Principal Accountant Fees and Services</w:t>
              </w:r>
            </w:hyperlink>
          </w:p>
        </w:tc>
        <w:tc>
          <w:tcPr>
            <w:tcW w:w="2020" w:type="dxa"/>
            <w:vAlign w:val="bottom"/>
            <w:gridSpan w:val="3"/>
            <w:shd w:val="clear" w:color="auto" w:fill="CCEEFF"/>
          </w:tcPr>
          <w:p>
            <w:pPr>
              <w:jc w:val="right"/>
              <w:spacing w:after="0" w:line="202" w:lineRule="exact"/>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c>
          <w:tcPr>
            <w:tcW w:w="40" w:type="dxa"/>
            <w:vAlign w:val="bottom"/>
            <w:shd w:val="clear" w:color="auto" w:fill="CCEEFF"/>
          </w:tcPr>
          <w:p>
            <w:pPr>
              <w:spacing w:after="0"/>
              <w:rPr>
                <w:sz w:val="17"/>
                <w:szCs w:val="17"/>
                <w:color w:val="auto"/>
              </w:rPr>
            </w:pPr>
          </w:p>
        </w:tc>
      </w:tr>
      <w:tr>
        <w:trPr>
          <w:trHeight w:val="48"/>
        </w:trPr>
        <w:tc>
          <w:tcPr>
            <w:tcW w:w="300" w:type="dxa"/>
            <w:vAlign w:val="bottom"/>
            <w:tcBorders>
              <w:top w:val="single" w:sz="8" w:color="CCEEFF"/>
            </w:tcBorders>
            <w:shd w:val="clear" w:color="auto" w:fill="CCEEFF"/>
          </w:tcPr>
          <w:p>
            <w:pPr>
              <w:spacing w:after="0"/>
              <w:rPr>
                <w:sz w:val="4"/>
                <w:szCs w:val="4"/>
                <w:color w:val="auto"/>
              </w:rPr>
            </w:pPr>
          </w:p>
        </w:tc>
        <w:tc>
          <w:tcPr>
            <w:tcW w:w="85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1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180" w:type="dxa"/>
            <w:vAlign w:val="bottom"/>
          </w:tcPr>
          <w:p>
            <w:pPr>
              <w:jc w:val="center"/>
              <w:ind w:left="2190"/>
              <w:spacing w:after="0"/>
              <w:rPr>
                <w:sz w:val="20"/>
                <w:szCs w:val="20"/>
                <w:color w:val="auto"/>
              </w:rPr>
            </w:pPr>
            <w:r>
              <w:rPr>
                <w:rFonts w:ascii="Arial" w:cs="Arial" w:eastAsia="Arial" w:hAnsi="Arial"/>
                <w:sz w:val="18"/>
                <w:szCs w:val="18"/>
                <w:b w:val="1"/>
                <w:bCs w:val="1"/>
                <w:color w:val="auto"/>
              </w:rPr>
              <w:t>CONTENTS (CONTINUED)</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Item</w:t>
            </w:r>
          </w:p>
        </w:tc>
        <w:tc>
          <w:tcPr>
            <w:tcW w:w="266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color w:val="auto"/>
              </w:rPr>
              <w:t>Page</w:t>
            </w: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shd w:val="clear" w:color="auto" w:fill="CCEEFF"/>
          </w:tcPr>
          <w:p>
            <w:pPr>
              <w:jc w:val="center"/>
              <w:ind w:left="2210"/>
              <w:spacing w:after="0"/>
              <w:rPr>
                <w:rFonts w:ascii="Arial" w:cs="Arial" w:eastAsia="Arial" w:hAnsi="Arial"/>
                <w:sz w:val="18"/>
                <w:szCs w:val="18"/>
                <w:b w:val="1"/>
                <w:bCs w:val="1"/>
                <w:color w:val="0000FF"/>
              </w:rPr>
            </w:pPr>
            <w:hyperlink w:anchor="page68">
              <w:r>
                <w:rPr>
                  <w:rFonts w:ascii="Arial" w:cs="Arial" w:eastAsia="Arial" w:hAnsi="Arial"/>
                  <w:sz w:val="18"/>
                  <w:szCs w:val="18"/>
                  <w:b w:val="1"/>
                  <w:bCs w:val="1"/>
                  <w:color w:val="0000FF"/>
                </w:rPr>
                <w:t>PART IV</w:t>
              </w:r>
            </w:hyperlink>
          </w:p>
        </w:tc>
        <w:tc>
          <w:tcPr>
            <w:tcW w:w="2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38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3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89"/>
              </w:rPr>
              <w:t>15</w:t>
            </w: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Exhibits and Financial Statement Schedule</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69">
              <w:r>
                <w:rPr>
                  <w:rFonts w:ascii="Arial" w:cs="Arial" w:eastAsia="Arial" w:hAnsi="Arial"/>
                  <w:sz w:val="18"/>
                  <w:szCs w:val="18"/>
                  <w:color w:val="0000FF"/>
                </w:rPr>
                <w:t>69</w:t>
              </w:r>
            </w:hyperlink>
          </w:p>
        </w:tc>
        <w:tc>
          <w:tcPr>
            <w:tcW w:w="20" w:type="dxa"/>
            <w:vAlign w:val="bottom"/>
            <w:shd w:val="clear" w:color="auto" w:fill="CCEEFF"/>
          </w:tcPr>
          <w:p>
            <w:pPr>
              <w:spacing w:after="0"/>
              <w:rPr>
                <w:sz w:val="21"/>
                <w:szCs w:val="21"/>
                <w:color w:val="auto"/>
              </w:rPr>
            </w:pPr>
          </w:p>
        </w:tc>
      </w:tr>
      <w:tr>
        <w:trPr>
          <w:trHeight w:val="270"/>
        </w:trPr>
        <w:tc>
          <w:tcPr>
            <w:tcW w:w="380" w:type="dxa"/>
            <w:vAlign w:val="bottom"/>
            <w:tcBorders>
              <w:top w:val="single" w:sz="8" w:color="CCEEFF"/>
            </w:tcBorders>
          </w:tcPr>
          <w:p>
            <w:pPr>
              <w:spacing w:after="0"/>
              <w:rPr>
                <w:sz w:val="23"/>
                <w:szCs w:val="23"/>
                <w:color w:val="auto"/>
              </w:rPr>
            </w:pPr>
          </w:p>
        </w:tc>
        <w:tc>
          <w:tcPr>
            <w:tcW w:w="81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380" w:type="dxa"/>
            <w:vAlign w:val="bottom"/>
            <w:shd w:val="clear" w:color="auto" w:fill="CCEEFF"/>
          </w:tcPr>
          <w:p>
            <w:pPr>
              <w:spacing w:after="0"/>
              <w:rPr>
                <w:sz w:val="21"/>
                <w:szCs w:val="21"/>
                <w:color w:val="auto"/>
              </w:rPr>
            </w:pP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Signatures</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73">
              <w:r>
                <w:rPr>
                  <w:rFonts w:ascii="Arial" w:cs="Arial" w:eastAsia="Arial" w:hAnsi="Arial"/>
                  <w:sz w:val="18"/>
                  <w:szCs w:val="18"/>
                  <w:color w:val="0000FF"/>
                </w:rPr>
                <w:t>74</w:t>
              </w:r>
            </w:hyperlink>
          </w:p>
        </w:tc>
        <w:tc>
          <w:tcPr>
            <w:tcW w:w="20" w:type="dxa"/>
            <w:vAlign w:val="bottom"/>
            <w:shd w:val="clear" w:color="auto" w:fill="CCEEFF"/>
          </w:tcPr>
          <w:p>
            <w:pPr>
              <w:spacing w:after="0"/>
              <w:rPr>
                <w:sz w:val="21"/>
                <w:szCs w:val="21"/>
                <w:color w:val="auto"/>
              </w:rPr>
            </w:pPr>
          </w:p>
        </w:tc>
      </w:tr>
      <w:tr>
        <w:trPr>
          <w:trHeight w:val="270"/>
        </w:trPr>
        <w:tc>
          <w:tcPr>
            <w:tcW w:w="380" w:type="dxa"/>
            <w:vAlign w:val="bottom"/>
            <w:tcBorders>
              <w:top w:val="single" w:sz="8" w:color="CCEEFF"/>
            </w:tcBorders>
          </w:tcPr>
          <w:p>
            <w:pPr>
              <w:spacing w:after="0"/>
              <w:rPr>
                <w:sz w:val="23"/>
                <w:szCs w:val="23"/>
                <w:color w:val="auto"/>
              </w:rPr>
            </w:pPr>
          </w:p>
        </w:tc>
        <w:tc>
          <w:tcPr>
            <w:tcW w:w="81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380" w:type="dxa"/>
            <w:vAlign w:val="bottom"/>
            <w:shd w:val="clear" w:color="auto" w:fill="CCEEFF"/>
          </w:tcPr>
          <w:p>
            <w:pPr>
              <w:spacing w:after="0"/>
              <w:rPr>
                <w:sz w:val="21"/>
                <w:szCs w:val="21"/>
                <w:color w:val="auto"/>
              </w:rPr>
            </w:pP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Schedule II - Valuation and Qualifying Accounts</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c>
          <w:tcPr>
            <w:tcW w:w="20" w:type="dxa"/>
            <w:vAlign w:val="bottom"/>
            <w:shd w:val="clear" w:color="auto" w:fill="CCEEFF"/>
          </w:tcPr>
          <w:p>
            <w:pPr>
              <w:spacing w:after="0"/>
              <w:rPr>
                <w:sz w:val="21"/>
                <w:szCs w:val="21"/>
                <w:color w:val="auto"/>
              </w:rPr>
            </w:pPr>
          </w:p>
        </w:tc>
      </w:tr>
      <w:tr>
        <w:trPr>
          <w:trHeight w:val="270"/>
        </w:trPr>
        <w:tc>
          <w:tcPr>
            <w:tcW w:w="380" w:type="dxa"/>
            <w:vAlign w:val="bottom"/>
            <w:tcBorders>
              <w:top w:val="single" w:sz="8" w:color="CCEEFF"/>
            </w:tcBorders>
          </w:tcPr>
          <w:p>
            <w:pPr>
              <w:spacing w:after="0"/>
              <w:rPr>
                <w:sz w:val="23"/>
                <w:szCs w:val="23"/>
                <w:color w:val="auto"/>
              </w:rPr>
            </w:pPr>
          </w:p>
        </w:tc>
        <w:tc>
          <w:tcPr>
            <w:tcW w:w="8180" w:type="dxa"/>
            <w:vAlign w:val="bottom"/>
            <w:tcBorders>
              <w:top w:val="single" w:sz="8" w:color="CCEEFF"/>
            </w:tcBorders>
          </w:tcPr>
          <w:p>
            <w:pPr>
              <w:spacing w:after="0"/>
              <w:rPr>
                <w:sz w:val="23"/>
                <w:szCs w:val="23"/>
                <w:color w:val="auto"/>
              </w:rPr>
            </w:pPr>
          </w:p>
        </w:tc>
        <w:tc>
          <w:tcPr>
            <w:tcW w:w="246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380" w:type="dxa"/>
            <w:vAlign w:val="bottom"/>
            <w:shd w:val="clear" w:color="auto" w:fill="CCEEFF"/>
          </w:tcPr>
          <w:p>
            <w:pPr>
              <w:spacing w:after="0"/>
              <w:rPr>
                <w:sz w:val="21"/>
                <w:szCs w:val="21"/>
                <w:color w:val="auto"/>
              </w:rPr>
            </w:pPr>
          </w:p>
        </w:tc>
        <w:tc>
          <w:tcPr>
            <w:tcW w:w="8180" w:type="dxa"/>
            <w:vAlign w:val="bottom"/>
            <w:shd w:val="clear" w:color="auto" w:fill="CCEEFF"/>
          </w:tcPr>
          <w:p>
            <w:pPr>
              <w:ind w:left="122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Exhibit Index</w:t>
              </w:r>
            </w:hyperlink>
          </w:p>
        </w:tc>
        <w:tc>
          <w:tcPr>
            <w:tcW w:w="2640" w:type="dxa"/>
            <w:vAlign w:val="bottom"/>
            <w:gridSpan w:val="2"/>
            <w:shd w:val="clear" w:color="auto" w:fill="CCEEFF"/>
          </w:tcPr>
          <w:p>
            <w:pPr>
              <w:jc w:val="right"/>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77</w:t>
              </w:r>
            </w:hyperlink>
          </w:p>
        </w:tc>
        <w:tc>
          <w:tcPr>
            <w:tcW w:w="20" w:type="dxa"/>
            <w:vAlign w:val="bottom"/>
            <w:shd w:val="clear" w:color="auto" w:fill="CCEEFF"/>
          </w:tcPr>
          <w:p>
            <w:pPr>
              <w:spacing w:after="0"/>
              <w:rPr>
                <w:sz w:val="21"/>
                <w:szCs w:val="21"/>
                <w:color w:val="auto"/>
              </w:rPr>
            </w:pPr>
          </w:p>
        </w:tc>
      </w:tr>
      <w:tr>
        <w:trPr>
          <w:trHeight w:val="432"/>
        </w:trPr>
        <w:tc>
          <w:tcPr>
            <w:tcW w:w="380" w:type="dxa"/>
            <w:vAlign w:val="bottom"/>
            <w:tcBorders>
              <w:top w:val="single" w:sz="8" w:color="CCEEFF"/>
            </w:tcBorders>
          </w:tcPr>
          <w:p>
            <w:pPr>
              <w:spacing w:after="0"/>
              <w:rPr>
                <w:sz w:val="24"/>
                <w:szCs w:val="24"/>
                <w:color w:val="auto"/>
              </w:rPr>
            </w:pPr>
          </w:p>
        </w:tc>
        <w:tc>
          <w:tcPr>
            <w:tcW w:w="8180" w:type="dxa"/>
            <w:vAlign w:val="bottom"/>
            <w:tcBorders>
              <w:top w:val="single" w:sz="8" w:color="CCEEFF"/>
            </w:tcBorders>
          </w:tcPr>
          <w:p>
            <w:pPr>
              <w:jc w:val="center"/>
              <w:ind w:left="2210"/>
              <w:spacing w:after="0"/>
              <w:rPr>
                <w:sz w:val="20"/>
                <w:szCs w:val="20"/>
                <w:color w:val="auto"/>
              </w:rPr>
            </w:pPr>
            <w:r>
              <w:rPr>
                <w:rFonts w:ascii="Arial" w:cs="Arial" w:eastAsia="Arial" w:hAnsi="Arial"/>
                <w:sz w:val="18"/>
                <w:szCs w:val="18"/>
                <w:b w:val="1"/>
                <w:bCs w:val="1"/>
                <w:color w:val="auto"/>
              </w:rPr>
              <w:t>FORWARD-LOOKING STATEMENTS</w:t>
            </w:r>
          </w:p>
        </w:tc>
        <w:tc>
          <w:tcPr>
            <w:tcW w:w="246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7"/>
          <w:szCs w:val="17"/>
          <w:color w:val="auto"/>
        </w:rPr>
        <w:t>Agsorb, Amlan, Calibrin, Cat’s Pride, ConditionAde, Flo-Fre, Fresh &amp; Light, Jonny Cat, KatKit, Oil-Dri, Pel-Unite, Perform, Pro Mound, Pure-Flo, Rapid Dry, Select, Terra-Green, Ultra-Clear and Verge are all registered trademarks of Oil-Dri Corporation of America or of its subsidiaries. MD-09, Pro’s Choice and Saular are trademarks of Oil-Dri Corporation of America. Fresh Step is a registered trademark of The Clorox Company (“Clorox”).</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During fiscal 2013 we experienced strong sales growth in global markets for products in our Business to Business Products Group. Also contributing to fiscal 2013 results were reduced trade spending and lower advertising in our Retail and Wholesale Products Group, following substantial promotions spending in fiscal 2012 for our new Cat's Pride Fresh &amp; Light products. In fiscal 2013, we completed the production relocation of certain products between our manufacturing facilities, which started at the end of fiscal 2012, with minimal additional transition costs. See Note 2 of the Notes to the Consolidated Financial Statements for further information about the production relocation charge. In addition, our fiscal 2013 results reflected the benefit from the utilization of a portion of our domestic alternative minimum tax (“AMT”) attributes, which resulted in a significantly lower effective tax rate. See Note 6 of the Notes to the Consolidated Financial Statements for further discussion of our income taxes. During fiscal 2013 we experienced certain cost increases to produce and transport our products. We expect transportation cost increases to continue due to recent trends and regulations in the freight industry and our concerted efforts to enhance customer service. In addition, advertising and promotions spending in fiscal 2014 is expected to be greater than in fiscal 2013.</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maintained a strong balance sheet in fiscal 2013. Cash, cash equivalents and short-term investments increased during the year even as we invested in our capital assets, paid higher dividends and repaid debt. We estimate cash requirements for capital expenditures in fiscal 2014 to be higher than in fiscal 2013 due to projects at our manufacturing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leader in developing, manufacturing and marketing sorbent products. Our sorbent products are principally produced from clay minerals, primarily consisting of montmorillonite and attapulgite and, to a lesser extent, other clay-like sorbent materials, such as Antelope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We also produce Oil-Dri branded floor absorbents, Agsorb and Verge agricultural chemical carriers and ConditionAde and Calibrin enterosorbents used in animal feed. Adsorbent products attract impurities in liquids, such as metals and surfactants, and form low-level chemical bonds. Examples of our adsorbent products are Oil-Dri synthetic sorbents, which are used for industrial cleanup, and Pure-Flo, Perform and Select bleaching clay products, which act as a filtration media for edible oils, fats and tallows. Also, our Ultra-Clear product serves as a purification aid for petroleum-based oils and by-products. Our absorbent and adsorbent products are described in more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granular and powdered mineral absorbent products that are used as carriers for crop protection chemicals, drying agents, bulk processing aids, growing media components and seed enhancement media. Our brands include: Agsorb, an agricultural chemical carrier and drying agent; Verge, an engineered granule agricultural chemical carrier; Flo-Fre, a highly absorbent microgranule flowability aid; Terra-Green, a growing media supplement; and Pel-Unite, an animal feed binder.</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Agsorb and Verge carriers are used as an alternative to agricultural sprays. The clay granules absorb active ingredients and are then delivered directly into, or on top of, the ground providing a more precise application than chemical sprays. Verge carriers are spherical, uniform-sized granules with very low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preventing caking. We employ technical sales people to market these products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produce several products used in the livestock feed industry under the Amlan trademark. Calibrin and ConditionAde enterosorbent products are used in animal feed to absorb naturally-occurring mycotoxins found in feed. These products work to improve animal health and productivity. Our MD-09 moisture manager product is a feed additive for the reduction of wet droppings in poultry. Pel-Unite and Pel-Unite Plus products are specialized animal feed binders used in the manufacture of pelleted feeds. These products are sold through a network of feed products distributors in the United States and primarily through exclusive distribution agreements with animal health and nutrition products distributors in Latin America, Africa, the Middle East and Asia.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produce an array of bleaching, purification and filtration applications used by edible oil, jet fuel and other petroleum-based product processors around the world.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be used to prepare oil prior to the creation of biodiesel fuel. Our Ultra-Clear product is used as a filtration and purification medium for jet fuel and other petroleum-based products. These products are marketed in the United States and in international markets. The products are supported by our team of technical sales employees as well as by agent representatives and the services of our research and development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produce two types of mineral-based cat litter products, traditional coarse and scoopable, both of which have absorbent and odor controlling characteristics. Scoopable litters have the additional characteristic of clumping when exposed to moisture, allowing the consumer to selectively dispose of the used portion of the litter. Our coarse and scoopable products are sold under our Cat’s Pride and Jonny Cat brand names. At the end of fiscal 2013, we added a paper-based cat litter to our Cat's Pride product line. We also package and market Cat’s Pride KatKit and Jonny Cat cat litter in a disposable tray, as well as Cat's Pride and Jonny Cat litter pan liners. We manufacture Fresh Step brand coarse cat litter for Clorox, as discussed below. We also produce private label cat litters for other customers that are sold through independent food brokers and our sales force to major retail outlets.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two long-term supply arrangements (one of which is material to our business) under which we manufacture branded traditional litters for other marketers. Under these co-manufacturing relationships, the marketer controls all aspects of sales, marketing, and distribution, as well as the odor control formula, and we are responsible for manufacturing. The long-term supply agreement that is material to our business is with Clorox, under which we have the exclusive right to supply Clorox’s requirements for Fresh Step coarse cat litter up to certain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Sorbent Products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manufacture or purchase products from clay, polypropylene and recycled cotton materials that absorb oil, grease, water and other types of spills. These products are used in industrial, home and automotive environments. Our clay-based sorbent products, such as Oil-Dri branded floor absorbent,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cotton-based products are sold in various forms, such as pads, rolls, socks, booms and spill kits.</w:t>
      </w:r>
    </w:p>
    <w:p>
      <w:pPr>
        <w:spacing w:after="0" w:line="17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Industrial and automotive sorbent products are sold through a distribution network that includes industrial, auto parts, safety, sanitary supply, chemical and paper distributors. These products are also sold through environmental service companies, mass merchandisers, catalogs and the Internet.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Pro’s Choice sports field products are used on baseball, softball, football and soccer fields. Pro’s Choice soil conditioners are used in field construction or as top dressing to absorb moisture, suppress dust and improve field performance. Pro Mound packing clay is used to construct pitcher’s mounds and batter’s boxes. Rapid Dry drying agent is used to dry up puddles and slick spots after rain. Sports products are used at all levels of play, including professional, college and high school and on municipal fields. These products are sold through a network of distributors specializing in sports turf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and marketers of consumer products. Certain financial information on both segments is contained in Note 3 of the Notes to the Consolidated Financial Statements and is incorporated herein by reference.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and marketer of industrial floor absorbents, bleaching earth and cat litter. These products are marketed in the United Kingdom and Western Europe. Oil-Dri (U.K.) Limited also sells synthetic polypropylene sorbent materials, filtration units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the international business of our domestic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foreign operations are subject to the normal risks of doing business overseas, such as currency fluctuations, restrictions on the transfer of funds and import/export duties. We were not materially impacted by these foreign currency fluctuations in any of our last three fiscal years. See Item 7A “Quantitative and Qualitative Disclosures About Market Risk” for further information about our foreign markets risks. Certain financial information about our foreign operations is contained in Note 3 of the Notes to the Consolidated Financial Statements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to Wal-Mart Stores, Inc. (“Walmart”) and its affiliates accounted for approximately 20%, 22% and 21% of our total net sales for the fiscal years ended July 31, 2013, 2012 and 2011, respectively. Walmart is a customer in our Retail and Wholesale Products Group segment. There are no customers in the Business to Business Products Group with sales equal to or greater than 10% of our total sales; however, sales to Clorox (a customer in our Business to Business Products Group) and its affiliates accounted for approximately 7%, 7% and 8% of total net sales for fiscal years 2013, 2012 and 2011, respectively. The degree of margin contribution of our significant customers in the Business to Business Products Group varies, with certain customers having a greater effect on our operating results</w:t>
      </w:r>
      <w:r>
        <w:rPr>
          <w:rFonts w:ascii="Arial" w:cs="Arial" w:eastAsia="Arial" w:hAnsi="Arial"/>
          <w:sz w:val="14"/>
          <w:szCs w:val="14"/>
          <w:color w:val="auto"/>
        </w:rPr>
        <w:t>.</w:t>
      </w:r>
      <w:r>
        <w:rPr>
          <w:rFonts w:ascii="Arial" w:cs="Arial" w:eastAsia="Arial" w:hAnsi="Arial"/>
          <w:sz w:val="18"/>
          <w:szCs w:val="18"/>
          <w:color w:val="auto"/>
        </w:rPr>
        <w:t xml:space="preserve"> The loss of any customer other than those described in this paragraph would not be expected to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Price, customer service, marketing, technical support, product quality and distribution resources are the principal methods of competition in our markets and competition historically has been very vigorous. Some of our competitors, particularly in the sale of cat litter (the largest product in our Retail and Wholesale Products Group), have substantially greater financial resources or market presence and have established brands.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Retail and Wholesale Products Group, we have five principal competitors, including one which is also a customer of ours. The overall cat litter market has been stable in recent years. Scoopable products have a majority of the cat litter market share followed by traditional coarse products. The overwhelming majority of all cat litter is mineral based; however, cat litters based on alternative strata such as paper, various agricultural waste products and silica gels have niche positions. The consumer trend away from regional grocery stores towards large national retailers, such as supercenter-type stores, dollar stores and pet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both"/>
        <w:spacing w:after="0" w:line="342" w:lineRule="auto"/>
        <w:rPr>
          <w:sz w:val="20"/>
          <w:szCs w:val="20"/>
          <w:color w:val="auto"/>
        </w:rPr>
      </w:pPr>
      <w:r>
        <w:rPr>
          <w:rFonts w:ascii="Arial" w:cs="Arial" w:eastAsia="Arial" w:hAnsi="Arial"/>
          <w:sz w:val="16"/>
          <w:szCs w:val="16"/>
          <w:color w:val="auto"/>
        </w:rPr>
        <w:t>specialty stores, has presented competitive challenges as well as opportunities. These retailers enjoy substantial negotiating leverage over their suppliers, including us; however, our operations support nation-wide distribution, which gives us a potential advantage over smaller and regional manufacturers.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Business to Business Products Group, we have 16 principal competitors. Our agricultural chemical carrier products have experienced competition from new engineered granular technologies in the agricultural and horticultural markets. Our bleaching clay and fluids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These patents expire at various times, including fiscal 2014. We expect no material impact on our business from the expiration of patents this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July 31, 2013, 2012 and 2011, our backlog of orders were valued at approximately $8,503,000, $4,741,000 and $5,145,000, respectively. The value of backlog orders is determined by the number of tons on backlog order and the net selling prices. The backlog order value increase as of July 31, 2013 reflected both a greater number of tons and higher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our clay on leased or owned land near our manufacturing facilities in Mississippi, Georgia, Illinois and California; we also have reserves in Nevada, Oregon and Tennessee. We estimate our proven mineral reserves as of July 31, 2013 are approximately 149,690,000 tons in aggregate and our probable reserves are approximately 138,100,000 tons in aggregate, for a total of 287,790,000 tons of mineral reserves. Based on our rate of consumption during fiscal year 2013,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is reflected at cost on our balance sheet.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the fiscal year ended July 31, 2013, we utilized these reserves to produce a majority of the sorbent products that we sold.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geologists and mineral specialists who estimate and evaluate existing and potential reserves in terms of quality, quantity and availability.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8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Land</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Equipment</w:t>
            </w:r>
          </w:p>
        </w:tc>
      </w:tr>
      <w:tr>
        <w:trPr>
          <w:trHeight w:val="270"/>
        </w:trPr>
        <w:tc>
          <w:tcPr>
            <w:tcW w:w="8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3"/>
              </w:rPr>
              <w:t>(in thousands)</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8,646</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88"/>
              </w:rPr>
              <w:t>1,772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10,964</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8"/>
              </w:rPr>
              <w:t>1,545</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Blue Mountain, Mississippi</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878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10,919</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Taft, California</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1,391</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r>
      <w:tr>
        <w:trPr>
          <w:trHeight w:val="27"/>
        </w:trPr>
        <w:tc>
          <w:tcPr>
            <w:tcW w:w="8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2013, we employed 727 persons, 43 of whom were employed by our foreign subsidiaries. We believe our corporate offices, research and development center and manufacturing facilities are adequately staffed and no material labor shortages are anticipated. Approximately 45 of our employees in the U.S. and approximately 21 of our employees in Canada are represented by labor unions, with whom we have entered into separate collective bargaining agreements. We consider our employee relations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and environmental protection statues.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relating to our mining and manufacturing operations and facilities, there is increasing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primarily used natural gas in the processing of our clay products during fiscal 2013. We have the ability to switch among various energy sources, including natural gas, recycled oil and coal as permitted. See Item 7A “Quantitative and Qualitative Disclosures About Market Risk” below for more information about commodity risk with respect to our energy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our research and development facility in Vernon Hills, Illinois, we develop new products and applications and improve existing products. The facility’s staff (and various consultants they engage from time to time) may consist of geologists, mineralogists and chemists.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significant portion of our net sales comes from the sale of products in mature categories, some of which have had little or no volume growth or have had volume declines in recent fiscal years.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technical support, product quality and delivery. Some of our competitors, particularly in the sale of cat litter (the largest product in our Retail and Wholesale Products Group), have substantially greater financial resources or market presence and have established brands. The competition in the future may, in some cases, result in price reductions, reduced margins or loss of market share or product distribution, any of which could materially and adversely affect our business, operating results and financial condition. If we fail to compete successfully based on these or other factors, our business, financial condition and future financial results could be materially and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7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energy costs increase disproportionately to our net sales, our earnings could be significantly reduced. Increases in our operating costs may reduce our profitability if we are unable to pass all the increases in energy and other commodity prices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volatility in the price and availability of natural gas, as well as other sources of energy. In the past, we have endeavored to reallocate a portion of our energy needs among different sources of energy due to seasonal supply limitations and the higher cost of one particular fuel relative to other fuels; however, there can be no assurance that we will be able to effectively reallocate among different fuels in the future. From time to time, we may use forward purchase contracts or financial instruments to hedge the volatility of a portion of our energy costs. The success or failure of any such hedging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prices of other commodities such as paper, plastic resins, synthetic rubber, raw materials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by supply, capacity, information technology and logistics disruptions.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Supply, capacity, information technology and logistics disruptions could adversely affect our ability to manufacture, package or transport our products.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Moreover, disruptions or failures in our information technology or phone systems could adversely affect our communications and business operations. In addition, an increase in truck or ocean freight costs may reduce our profitability if we are unable to pass such increases on to our customers through price increases or surcharges, and a decrease in transportation availability may affect our ability to deliver our products to our customers and consequently decrease customer satisfaction and future orders.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inventory by our customers could adversely affect our sales and increase our inventory risk.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reduced inventory levels as part of managing their working capital requirements. Any reduction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value of our inventory may decline as a result of surplus inventory,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salability of our inventory; however, there is no guaranty that these arrangements will be sufficient to avoid write-offs in excess of our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of materials into the environment, and the effects that mining has on groundwater quality and availability. We believe we have obtained all material permits and licenses required to conduct our present operations. We will, however, need additional permits and renewals of permits in the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jc w:val="both"/>
        <w:ind w:firstLine="648"/>
        <w:spacing w:after="0" w:line="268" w:lineRule="auto"/>
        <w:rPr>
          <w:sz w:val="20"/>
          <w:szCs w:val="20"/>
          <w:color w:val="auto"/>
        </w:rPr>
      </w:pPr>
      <w:r>
        <w:rPr>
          <w:rFonts w:ascii="Arial" w:cs="Arial" w:eastAsia="Arial" w:hAnsi="Arial"/>
          <w:sz w:val="17"/>
          <w:szCs w:val="17"/>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manufacture, packaging, labeling, content, storage, distribution and advertising of our products and the conduct of our business operations. For example, in the United States, some of our products are regulated by the Food and Drug Administration, the Consumer Product Safety Commission and the Environmental Protection Agency and our product claims and advertising are regulated by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heavy rains and flooding,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derived approximately 22% of our net sales from sales outside of the United States in the fiscal year ended July 31, 2013.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restrictions and import/export duties, and international operations are subject to foreign regulatory requirements and issues, including with respect to environmental matters. Any of these matters could result in sudden, and potentially prolonged, changes in demand for our products. Also, we may have difficulty enforcing agreements and collecting accounts receivable through a foreign country’s legal system.</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adverse safety events or product liability claims that may be costly, create adverse publicity and may add further governmental regulation.</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2013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 to influence corporate matters. Beneficial ownership of Common Stock and Class B Stock by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w:t>
      </w: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include in our proxy statements certain information regarding compensation consultants and related conflicts of interest;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70"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ITEM 2 – PROPERTIES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Real Property Holdings and Mineral Reserves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0"/>
        </w:trPr>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2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Land</w:t>
            </w: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Unpatented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Proven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2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center"/>
              <w:ind w:left="10"/>
              <w:spacing w:after="0"/>
              <w:rPr>
                <w:sz w:val="20"/>
                <w:szCs w:val="20"/>
                <w:color w:val="auto"/>
              </w:rPr>
            </w:pPr>
            <w:r>
              <w:rPr>
                <w:rFonts w:ascii="Arial" w:cs="Arial" w:eastAsia="Arial" w:hAnsi="Arial"/>
                <w:sz w:val="18"/>
                <w:szCs w:val="18"/>
                <w:b w:val="1"/>
                <w:bCs w:val="1"/>
                <w:color w:val="auto"/>
                <w:w w:val="84"/>
              </w:rPr>
              <w:t>Reserves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0"/>
        </w:trPr>
        <w:tc>
          <w:tcPr>
            <w:tcW w:w="28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00" w:type="dxa"/>
            <w:vAlign w:val="bottom"/>
            <w:gridSpan w:val="4"/>
          </w:tcPr>
          <w:p>
            <w:pPr>
              <w:ind w:left="60"/>
              <w:spacing w:after="0"/>
              <w:rPr>
                <w:sz w:val="20"/>
                <w:szCs w:val="20"/>
                <w:color w:val="auto"/>
              </w:rPr>
            </w:pPr>
            <w:r>
              <w:rPr>
                <w:rFonts w:ascii="Arial" w:cs="Arial" w:eastAsia="Arial" w:hAnsi="Arial"/>
                <w:sz w:val="18"/>
                <w:szCs w:val="18"/>
                <w:b w:val="1"/>
                <w:bCs w:val="1"/>
                <w:color w:val="auto"/>
              </w:rPr>
              <w:t>(acres)</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1"/>
              </w:rPr>
              <w:t>(thousands of tons)</w:t>
            </w:r>
          </w:p>
        </w:tc>
        <w:tc>
          <w:tcPr>
            <w:tcW w:w="1020" w:type="dxa"/>
            <w:vAlign w:val="bottom"/>
          </w:tcPr>
          <w:p>
            <w:pPr>
              <w:spacing w:after="0"/>
              <w:rPr>
                <w:sz w:val="23"/>
                <w:szCs w:val="23"/>
                <w:color w:val="auto"/>
              </w:rPr>
            </w:pPr>
          </w:p>
        </w:tc>
      </w:tr>
      <w:tr>
        <w:trPr>
          <w:trHeight w:val="27"/>
        </w:trPr>
        <w:tc>
          <w:tcPr>
            <w:tcW w:w="2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4,497</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15,723</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Georgia</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35,673</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26,350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62,023</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Illinois</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3,563</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Mississippi</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79,641</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94,523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174,164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Nevada</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23,316</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26,292</w:t>
            </w:r>
          </w:p>
        </w:tc>
      </w:tr>
      <w:tr>
        <w:trPr>
          <w:trHeight w:val="27"/>
        </w:trPr>
        <w:tc>
          <w:tcPr>
            <w:tcW w:w="2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Tennessee</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w:t>
            </w: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5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149,690</w:t>
            </w: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138,100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287,790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Mississippi, Georgia, Tennessee, Nevada, California and Illinois properties are primarily mineral in nature, except our research and development facility which is included in the Illinois owned land. We mine sorbent minerals primarily consisting of montmorillonite and attapulgite and, to a lesser extent, other clay-like sorbent materials, such as Antelope shale. We employ geologists and mineral specialists who prepared the estimated reserves of these minerals in the table above. See also Item 1 “Business” above for further information about our reserves. The locations in the table above collectively produced approximately 794,000 tons in fiscal 2013, 824,000 tons in fiscal 2012 and 844,000 tons in fiscal 2011. Parcels of such land are also sites of manufacturing facilities operated by us. We own approximately one acre of land in Laval, Quebec, Canada, which is the site of the processing and packaging facility for our Canadian subsidiary</w:t>
      </w: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land that we own or lease. The Georgia, Illinois and Mississippi mining leases generally require that we pay a minimum monthly rent to continue the lease term. The rental payments are generally applied against a stated royalty related to the number of unprocessed, or in some cases processed, tons of minerals extracted from the leased property. Many of our mining leases have no stated expiration dates. Some of our leases, however, do have expiration dates ranging from 2014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certain other products may go through further processing or the application fragrances and additives. For example, certain fluid purification and animal health products are processed into a powder form. We also use a proprietary process for our engineered granules to create spherical, uniform-sized granules.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Once the clay has been dried to the desired level it will be sized and packaged. Our products have package sizes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5715</wp:posOffset>
            </wp:positionV>
            <wp:extent cx="4219575" cy="4433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1957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ind w:left="960"/>
              <w:spacing w:after="0"/>
              <w:rPr>
                <w:sz w:val="20"/>
                <w:szCs w:val="20"/>
                <w:color w:val="auto"/>
              </w:rPr>
            </w:pPr>
            <w:r>
              <w:rPr>
                <w:rFonts w:ascii="Arial" w:cs="Arial" w:eastAsia="Arial" w:hAnsi="Arial"/>
                <w:sz w:val="18"/>
                <w:szCs w:val="18"/>
                <w:b w:val="1"/>
                <w:bCs w:val="1"/>
                <w:color w:val="auto"/>
              </w:rPr>
              <w:t>Location</w:t>
            </w:r>
          </w:p>
        </w:tc>
        <w:tc>
          <w:tcPr>
            <w:tcW w:w="21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Owned/Leased</w:t>
            </w:r>
          </w:p>
        </w:tc>
        <w:tc>
          <w:tcPr>
            <w:tcW w:w="6500" w:type="dxa"/>
            <w:vAlign w:val="bottom"/>
          </w:tcPr>
          <w:p>
            <w:pPr>
              <w:ind w:left="306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8"/>
                <w:szCs w:val="18"/>
                <w:color w:val="auto"/>
              </w:rPr>
              <w:t>Alpharetta, Georgia</w:t>
            </w:r>
          </w:p>
        </w:tc>
        <w:tc>
          <w:tcPr>
            <w:tcW w:w="2100" w:type="dxa"/>
            <w:vAlign w:val="bottom"/>
          </w:tcPr>
          <w:p>
            <w:pPr>
              <w:jc w:val="center"/>
              <w:ind w:left="170"/>
              <w:spacing w:after="0"/>
              <w:rPr>
                <w:sz w:val="20"/>
                <w:szCs w:val="20"/>
                <w:color w:val="auto"/>
              </w:rPr>
            </w:pPr>
            <w:r>
              <w:rPr>
                <w:rFonts w:ascii="Arial" w:cs="Arial" w:eastAsia="Arial" w:hAnsi="Arial"/>
                <w:sz w:val="18"/>
                <w:szCs w:val="18"/>
                <w:color w:val="auto"/>
                <w:w w:val="87"/>
              </w:rPr>
              <w:t>Leased</w:t>
            </w:r>
          </w:p>
        </w:tc>
        <w:tc>
          <w:tcPr>
            <w:tcW w:w="6500" w:type="dxa"/>
            <w:vAlign w:val="bottom"/>
          </w:tcPr>
          <w:p>
            <w:pPr>
              <w:ind w:left="340"/>
              <w:spacing w:after="0"/>
              <w:rPr>
                <w:sz w:val="20"/>
                <w:szCs w:val="20"/>
                <w:color w:val="auto"/>
              </w:rPr>
            </w:pPr>
            <w:r>
              <w:rPr>
                <w:rFonts w:ascii="Arial" w:cs="Arial" w:eastAsia="Arial" w:hAnsi="Arial"/>
                <w:sz w:val="18"/>
                <w:szCs w:val="18"/>
                <w:color w:val="auto"/>
              </w:rPr>
              <w:t>Non-clay manufacturing and packaging, sales</w:t>
            </w:r>
          </w:p>
        </w:tc>
      </w:tr>
      <w:tr>
        <w:trPr>
          <w:trHeight w:val="27"/>
        </w:trPr>
        <w:tc>
          <w:tcPr>
            <w:tcW w:w="2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Bentonville, Arkansas</w:t>
            </w:r>
          </w:p>
        </w:tc>
        <w:tc>
          <w:tcPr>
            <w:tcW w:w="21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Leased</w:t>
            </w:r>
          </w:p>
        </w:tc>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office</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Blue Mountain, Mississippi</w:t>
            </w:r>
          </w:p>
        </w:tc>
        <w:tc>
          <w:tcPr>
            <w:tcW w:w="210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6500" w:type="dxa"/>
            <w:vAlign w:val="bottom"/>
          </w:tcPr>
          <w:p>
            <w:pPr>
              <w:ind w:left="340"/>
              <w:spacing w:after="0"/>
              <w:rPr>
                <w:sz w:val="20"/>
                <w:szCs w:val="20"/>
                <w:color w:val="auto"/>
              </w:rPr>
            </w:pPr>
            <w:r>
              <w:rPr>
                <w:rFonts w:ascii="Arial" w:cs="Arial" w:eastAsia="Arial" w:hAnsi="Arial"/>
                <w:sz w:val="18"/>
                <w:szCs w:val="18"/>
                <w:color w:val="auto"/>
              </w:rPr>
              <w:t>Clay mining, manufacturing and packaging</w:t>
            </w:r>
          </w:p>
        </w:tc>
      </w:tr>
      <w:tr>
        <w:trPr>
          <w:trHeight w:val="27"/>
        </w:trPr>
        <w:tc>
          <w:tcPr>
            <w:tcW w:w="2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1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Leased</w:t>
            </w:r>
          </w:p>
        </w:tc>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Principal executive office</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Coppet, Switzerland</w:t>
            </w:r>
          </w:p>
        </w:tc>
        <w:tc>
          <w:tcPr>
            <w:tcW w:w="2100" w:type="dxa"/>
            <w:vAlign w:val="bottom"/>
          </w:tcPr>
          <w:p>
            <w:pPr>
              <w:jc w:val="center"/>
              <w:ind w:left="170"/>
              <w:spacing w:after="0"/>
              <w:rPr>
                <w:sz w:val="20"/>
                <w:szCs w:val="20"/>
                <w:color w:val="auto"/>
              </w:rPr>
            </w:pPr>
            <w:r>
              <w:rPr>
                <w:rFonts w:ascii="Arial" w:cs="Arial" w:eastAsia="Arial" w:hAnsi="Arial"/>
                <w:sz w:val="18"/>
                <w:szCs w:val="18"/>
                <w:color w:val="auto"/>
                <w:w w:val="87"/>
              </w:rPr>
              <w:t>Leased</w:t>
            </w:r>
          </w:p>
        </w:tc>
        <w:tc>
          <w:tcPr>
            <w:tcW w:w="6500" w:type="dxa"/>
            <w:vAlign w:val="bottom"/>
          </w:tcPr>
          <w:p>
            <w:pPr>
              <w:ind w:left="340"/>
              <w:spacing w:after="0"/>
              <w:rPr>
                <w:sz w:val="20"/>
                <w:szCs w:val="20"/>
                <w:color w:val="auto"/>
              </w:rPr>
            </w:pPr>
            <w:r>
              <w:rPr>
                <w:rFonts w:ascii="Arial" w:cs="Arial" w:eastAsia="Arial" w:hAnsi="Arial"/>
                <w:sz w:val="18"/>
                <w:szCs w:val="18"/>
                <w:color w:val="auto"/>
              </w:rPr>
              <w:t>Customer service office</w:t>
            </w:r>
          </w:p>
        </w:tc>
      </w:tr>
      <w:tr>
        <w:trPr>
          <w:trHeight w:val="27"/>
        </w:trPr>
        <w:tc>
          <w:tcPr>
            <w:tcW w:w="2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Laval, Quebec, Canada</w:t>
            </w:r>
          </w:p>
        </w:tc>
        <w:tc>
          <w:tcPr>
            <w:tcW w:w="21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Owned</w:t>
            </w:r>
          </w:p>
        </w:tc>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Mounds, Illinois</w:t>
            </w:r>
          </w:p>
        </w:tc>
        <w:tc>
          <w:tcPr>
            <w:tcW w:w="210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6500" w:type="dxa"/>
            <w:vAlign w:val="bottom"/>
          </w:tcPr>
          <w:p>
            <w:pPr>
              <w:ind w:left="340"/>
              <w:spacing w:after="0"/>
              <w:rPr>
                <w:sz w:val="20"/>
                <w:szCs w:val="20"/>
                <w:color w:val="auto"/>
              </w:rPr>
            </w:pPr>
            <w:r>
              <w:rPr>
                <w:rFonts w:ascii="Arial" w:cs="Arial" w:eastAsia="Arial" w:hAnsi="Arial"/>
                <w:sz w:val="18"/>
                <w:szCs w:val="18"/>
                <w:color w:val="auto"/>
              </w:rPr>
              <w:t>Clay mining, manufacturing and packaging</w:t>
            </w:r>
          </w:p>
        </w:tc>
      </w:tr>
      <w:tr>
        <w:trPr>
          <w:trHeight w:val="27"/>
        </w:trPr>
        <w:tc>
          <w:tcPr>
            <w:tcW w:w="2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21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Owned</w:t>
            </w:r>
          </w:p>
        </w:tc>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210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6500" w:type="dxa"/>
            <w:vAlign w:val="bottom"/>
          </w:tcPr>
          <w:p>
            <w:pPr>
              <w:ind w:left="340"/>
              <w:spacing w:after="0"/>
              <w:rPr>
                <w:sz w:val="20"/>
                <w:szCs w:val="20"/>
                <w:color w:val="auto"/>
              </w:rPr>
            </w:pPr>
            <w:r>
              <w:rPr>
                <w:rFonts w:ascii="Arial" w:cs="Arial" w:eastAsia="Arial" w:hAnsi="Arial"/>
                <w:sz w:val="18"/>
                <w:szCs w:val="18"/>
                <w:color w:val="auto"/>
              </w:rPr>
              <w:t>Clay mining, manufacturing and packaging</w:t>
            </w:r>
          </w:p>
        </w:tc>
      </w:tr>
      <w:tr>
        <w:trPr>
          <w:trHeight w:val="27"/>
        </w:trPr>
        <w:tc>
          <w:tcPr>
            <w:tcW w:w="2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Taft, California</w:t>
            </w:r>
          </w:p>
        </w:tc>
        <w:tc>
          <w:tcPr>
            <w:tcW w:w="21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Owned</w:t>
            </w:r>
          </w:p>
        </w:tc>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Clay mining, manufacturing and packaging</w:t>
            </w: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Vernon Hills, Illinois</w:t>
            </w:r>
          </w:p>
        </w:tc>
        <w:tc>
          <w:tcPr>
            <w:tcW w:w="210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65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r>
      <w:tr>
        <w:trPr>
          <w:trHeight w:val="27"/>
        </w:trPr>
        <w:tc>
          <w:tcPr>
            <w:tcW w:w="2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Wisbech, United Kingdom</w:t>
            </w:r>
          </w:p>
        </w:tc>
        <w:tc>
          <w:tcPr>
            <w:tcW w:w="21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Leased</w:t>
            </w: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Non-clay production and clay and non-clay packaging, sales</w:t>
            </w:r>
          </w:p>
        </w:tc>
      </w:tr>
      <w:tr>
        <w:trPr>
          <w:trHeight w:val="27"/>
        </w:trPr>
        <w:tc>
          <w:tcPr>
            <w:tcW w:w="26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6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lease for the Bentonville, Arkansas office expires in 2016. The leases for the Alpharetta, Georgia facility and the Chicago, Illinois corporate office space expire in 2018. The lease for the Wisbech, United Kingdom facility expires in 2032. The lease for the Coppet, Switzerland office is on a year-to-year basis. We consider that our properties are generally in good condition, well maintained and suitable and adequate to carry on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7 of the Notes to the Consolidated Financial Statements for a description of our Common Stock, Class B Stock and Class A Common Stock. The number of holders of record of Common Stock and Class B Stock on September 30, 2013 were 644 and 29, respectively, as reported by our transfer agent. In the last three years, we have not sold any securities which were not registered under the Securities Act of 1933.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declared on our Common Stock and Class B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8"/>
                <w:szCs w:val="18"/>
                <w:color w:val="auto"/>
              </w:rPr>
            </w:pPr>
          </w:p>
        </w:tc>
        <w:tc>
          <w:tcPr>
            <w:tcW w:w="21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Price Range</w:t>
            </w:r>
          </w:p>
        </w:tc>
        <w:tc>
          <w:tcPr>
            <w:tcW w:w="120" w:type="dxa"/>
            <w:vAlign w:val="bottom"/>
          </w:tcPr>
          <w:p>
            <w:pPr>
              <w:spacing w:after="0"/>
              <w:rPr>
                <w:sz w:val="20"/>
                <w:szCs w:val="20"/>
                <w:color w:val="auto"/>
              </w:rPr>
            </w:pPr>
          </w:p>
        </w:tc>
        <w:tc>
          <w:tcPr>
            <w:tcW w:w="21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7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Class B</w:t>
            </w:r>
          </w:p>
        </w:tc>
      </w:tr>
      <w:tr>
        <w:trPr>
          <w:trHeight w:val="234"/>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Stock</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0.1800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0.1350</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0.2700</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0.1900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0.1425</w:t>
            </w:r>
          </w:p>
        </w:tc>
      </w:tr>
      <w:tr>
        <w:trPr>
          <w:trHeight w:val="297"/>
        </w:trPr>
        <w:tc>
          <w:tcPr>
            <w:tcW w:w="70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0.7300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0.5475</w:t>
            </w:r>
          </w:p>
        </w:tc>
      </w:tr>
      <w:tr>
        <w:trPr>
          <w:trHeight w:val="176"/>
        </w:trPr>
        <w:tc>
          <w:tcPr>
            <w:tcW w:w="7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Fiscal 2012:</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0.1275</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0.1275</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0.1275</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0.1800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0.1350</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0.6900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0.5175</w:t>
            </w: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 Our Board of Directors determines the timing and amount of any dividends. Our Board of Directors may change its dividend practice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Harris N.A. and our 2005 Note Agreement with The Prudential Insurance Company of America and Prudential Retirement Insurance and Annuity Company require that certain minimum net worth and tangible net worth levels are to be maintained. To the extent that these balances are not attained, our ability to pay dividends may be impaired. See Note 4 of the Notes to the Consolidated Financial Statements for further information about our note agreements.</w:t>
      </w:r>
    </w:p>
    <w:p>
      <w:pPr>
        <w:spacing w:after="0" w:line="1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Issuer Repurchase of Equity Securities. </w:t>
      </w:r>
      <w:r>
        <w:rPr>
          <w:rFonts w:ascii="Arial" w:cs="Arial" w:eastAsia="Arial" w:hAnsi="Arial"/>
          <w:sz w:val="18"/>
          <w:szCs w:val="18"/>
          <w:color w:val="auto"/>
        </w:rPr>
        <w:t>Our Board of Directors authorized the repurchase of 250,000 shares of Common Stock on March 11, 2011</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authorized the repurchase of an additional 250,000 shares on June 14, 2012. These authorizations do not have a stated expiration date. As of July 31, 2013, a total of 312,197 shares of Common Stock may yet be repurchased under these authorizations. We do not have any current authorization from our Board of Directors to repurchase shares of Class B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See Note 8 of the Notes to the Consolidated Financial Statements for further information about these stock-based compensation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 securities to be</w:t>
            </w: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further issuance under equity</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Weighted-average exercise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outstanding options (in</w:t>
            </w:r>
          </w:p>
        </w:tc>
        <w:tc>
          <w:tcPr>
            <w:tcW w:w="2040" w:type="dxa"/>
            <w:vAlign w:val="bottom"/>
            <w:gridSpan w:val="3"/>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price of outstanding 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in column (a)) (in thousands)</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1700" w:type="dxa"/>
            <w:vAlign w:val="bottom"/>
          </w:tcPr>
          <w:p>
            <w:pPr>
              <w:jc w:val="right"/>
              <w:ind w:right="68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1"/>
                <w:szCs w:val="21"/>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14.39</w:t>
            </w:r>
          </w:p>
        </w:tc>
        <w:tc>
          <w:tcPr>
            <w:tcW w:w="200" w:type="dxa"/>
            <w:vAlign w:val="bottom"/>
          </w:tcPr>
          <w:p>
            <w:pPr>
              <w:spacing w:after="0"/>
              <w:rPr>
                <w:sz w:val="21"/>
                <w:szCs w:val="21"/>
                <w:color w:val="auto"/>
              </w:rPr>
            </w:pPr>
          </w:p>
        </w:tc>
        <w:tc>
          <w:tcPr>
            <w:tcW w:w="1940" w:type="dxa"/>
            <w:vAlign w:val="bottom"/>
          </w:tcPr>
          <w:p>
            <w:pPr>
              <w:jc w:val="right"/>
              <w:ind w:right="764"/>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1700" w:type="dxa"/>
            <w:vAlign w:val="bottom"/>
          </w:tcPr>
          <w:p>
            <w:pPr>
              <w:jc w:val="right"/>
              <w:ind w:right="72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3"/>
                <w:szCs w:val="23"/>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13.07</w:t>
            </w:r>
          </w:p>
        </w:tc>
        <w:tc>
          <w:tcPr>
            <w:tcW w:w="2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70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1321"/>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shows the annual cumulative total stockholders’ return for the five years ending July 31, 2013 on an assumed investment of $100 on July 31, 2008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Comparative Five-Year Total Returns</w:t>
      </w:r>
    </w:p>
    <w:p>
      <w:pPr>
        <w:spacing w:after="0" w:line="27" w:lineRule="exact"/>
        <w:rPr>
          <w:sz w:val="20"/>
          <w:szCs w:val="20"/>
          <w:color w:val="auto"/>
        </w:rPr>
      </w:pPr>
    </w:p>
    <w:p>
      <w:pPr>
        <w:ind w:left="2600" w:right="2960" w:hanging="1944"/>
        <w:spacing w:after="0" w:line="261" w:lineRule="auto"/>
        <w:rPr>
          <w:sz w:val="20"/>
          <w:szCs w:val="20"/>
          <w:color w:val="auto"/>
        </w:rPr>
      </w:pPr>
      <w:r>
        <w:rPr>
          <w:rFonts w:ascii="Arial" w:cs="Arial" w:eastAsia="Arial" w:hAnsi="Arial"/>
          <w:sz w:val="18"/>
          <w:szCs w:val="18"/>
          <w:b w:val="1"/>
          <w:bCs w:val="1"/>
          <w:color w:val="auto"/>
        </w:rPr>
        <w:t>Oil-Dri Corporation of America, Russell Microcap Index , Russell 2000-Materials &amp; Processing Index (Performance results through 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-10795</wp:posOffset>
            </wp:positionV>
            <wp:extent cx="584898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2008</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2012</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2013</w:t>
            </w: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Oil-Dri Corporation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218.29</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Russell Microcap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Russell 2000-Materials &amp; Processing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148.38</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60" w:type="dxa"/>
            <w:vAlign w:val="bottom"/>
            <w:gridSpan w:val="9"/>
          </w:tcPr>
          <w:p>
            <w:pPr>
              <w:jc w:val="right"/>
              <w:ind w:right="17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3660" w:type="dxa"/>
            <w:vAlign w:val="bottom"/>
            <w:gridSpan w:val="9"/>
          </w:tcPr>
          <w:p>
            <w:pPr>
              <w:jc w:val="right"/>
              <w:ind w:right="7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4"/>
                <w:szCs w:val="14"/>
                <w:b w:val="1"/>
                <w:bCs w:val="1"/>
                <w:color w:val="auto"/>
                <w:w w:val="93"/>
              </w:rPr>
              <w:t>In thousands, except for per share amounts and ratios</w:t>
            </w:r>
            <w:r>
              <w:rPr>
                <w:rFonts w:ascii="Arial" w:cs="Arial" w:eastAsia="Arial" w:hAnsi="Arial"/>
                <w:sz w:val="18"/>
                <w:szCs w:val="18"/>
                <w:b w:val="1"/>
                <w:bCs w:val="1"/>
                <w:color w:val="auto"/>
                <w:w w:val="93"/>
              </w:rPr>
              <w:t>)</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Fiscal Year Ended July 31,</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250,583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240,681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226,755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219,050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236,245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(184,084)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(176,715)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(186,861)</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66,499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59,005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50,040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49,688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49,384</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(34,801)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Capacity Rationalization Charges (1)</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18,871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14,583</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(1,773)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(1,910)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423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595</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17,499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12,141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12,814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13,309</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(3,723)</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14,586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6,098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9,051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9,458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9,586</w:t>
            </w: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6,927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7,062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7,200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Basic Common</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1.46</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Important Highlights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183,559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174,267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173,393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153,982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149,261</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18,300</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71,925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66,080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65,336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48,398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49,949</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Ratio</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14.96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12.76</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4,712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3,759</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Dividends Declared per Common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0.7300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0.6900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0.6500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0.6100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0.5700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Dividends Declared per Class B Common Share</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0.5475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0.4875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0.4275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9,795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13,806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15,253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7,406</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Net Income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Return on Average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Gross Profit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Operating Expenses as a Percent of Net Sales</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3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fiscal years 2012 and 2013, one-time charges were incurred for the relocation of production of our industrial floor absorbent and cat litter products from our facility located in Mounds, Illinois to our plants located in Mississippi. See Note 2 of the Notes to the Consolidated Financial Statements for further information about the production relocation charge.</w:t>
      </w:r>
    </w:p>
    <w:p>
      <w:pPr>
        <w:sectPr>
          <w:pgSz w:w="11900" w:h="16838" w:orient="portrait"/>
          <w:cols w:equalWidth="0" w:num="1">
            <w:col w:w="11420"/>
          </w:cols>
          <w:pgMar w:left="240" w:top="58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0"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develop, mine, manufacture and market sorbent products principally produced from clay minerals, primarily consisting of montmorillonite and attapulgite and, to a lesser extent, other clay-like sorbent materials, such as Antelope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Consolidated net income was $14,586,000, or $2.07 per diluted share, for the year ended July 31, 2013, a 139% increase from net income of $6,098,000, or $0.85 per diluted share, for the year ended July 31, 2012. During fiscal 2013 we experienced strong sales growth in global markets for our Business to Business Products Group. Also contributing to fiscal 2013 results were reduced trade spending and lower advertising in our Retail and Wholesale Products Group, following substantial promotional spending in fiscal 2012 for new Cat's Pride Fresh &amp; Light products. In fiscal 2013, we completed the production relocation of certain products between our manufacturing facilities, which started at the end of fiscal 2012, with minimal additional transition costs. See Note 2 of the Notes to the Consolidated Financial Statements for further information about the production relocation charge. In addition, our fiscal 2013 results reflected the benefit from the utilization of a portion of our domestic AMT attributes, which resulted in a significantly lower effective tax rate for fiscal 2013, as discussed in Note 6 of the Notes to the Consolidated Financial Statements. During fiscal 2013 we experienced certain cost increases to produce and transport our products. We expect transportation cost increases to continue due to recent trends and regulations in the freight industry and our concerted efforts to enhance customer services. In addition, advertising and promotions spending in fiscal 2014 is expected to be greater than in fiscal 2013.</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maintained a strong balance sheet in fiscal 2013. Cash, cash equivalents and short-term investments increased during the year even as we invested in our capital assets, paid higher dividends and repaid debt. We estimate cash requirements for capital expenditures in fiscal 2014 to be higher than in fiscal 2013 due to projects at our manufacturing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2013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 FISCAL</w:t>
      </w:r>
      <w:r>
        <w:rPr>
          <w:rFonts w:ascii="Arial" w:cs="Arial" w:eastAsia="Arial" w:hAnsi="Arial"/>
          <w:sz w:val="18"/>
          <w:szCs w:val="18"/>
          <w:b w:val="1"/>
          <w:bCs w:val="1"/>
          <w:color w:val="auto"/>
        </w:rPr>
        <w:t xml:space="preserve"> 2012</w:t>
      </w:r>
    </w:p>
    <w:p>
      <w:pPr>
        <w:spacing w:after="0" w:line="2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Consolidated net sales for the year ended July 31, 2013 were $250,583,000, a 4% increase from net sales of $240,681,000 in fiscal 2012. Net sales improved due primarily to: increased sales in our Business to Business Products Group; lower trade spending in our Retail and Wholesale Products Group (trade spending is deducted from net sales and includes coupons, slotting and cooperative marketing programs); higher selling prices; and a favorable product sales mix, defined as a greater proportion of sales from higher priced products. Our Business to Business Products Group also benefited from more tons sold.</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income for fiscal 2013 was $14,586,000, a 139% increase from net income of $6,098,000 in fiscal 2012. Net income was positively impacted by a lower effective tax rate, higher net sales and lower advertising and promotion costs. These positive factors more than offset increased costs for our incentive bonus, freight and materials. Segment operating income was higher for both our Business to Business and Retail and Wholesale Products Groups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sales of the Business to Business Products Group for fiscal 2013 were $92,969,000, an increase of $7,513,000, or 9%, from net sales of $85,456,000 in fiscal 2012. Net sales of fluid purification products, animal health products and co-packaged cat litter all increased, while net sales of agricultural and horticultural products decreased. Net sales of fluid purification products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color w:val="auto"/>
        </w:rPr>
        <w:t>were approximately 13% greater than in fiscal 2012 with an 11% increase in tons sold. Sales to edible oil, biodiesel and petroleum oil processors improved in both foreign and domestic markets. Sales to new customers and higher sales to existing customers were driven by global growth in edible oil production. Net sales of animal health and nutrition products increased approximately 31% due primarily to a favorable product sales mix and 14% more tons sold. Sales of our enterosorbent animal health products increased in both foreign and domestic markets, including both new customers and increased sales to existing customers. Our co-packaged traditional coarse cat litter net sales increase of approximately 4% was attributed primarily to 2% more tons sold and higher selling prices. A sales decline of approximately 7% for our agricultural and horticultural products was caused primarily by 12% fewer tons sold. Sales decreased for products used in horticultural applications and for our engineered granule product used in the professional pesticides and agricultural markets.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Business to Business Products Group’s operating income was $30,739,000 in fiscal 2013, an increase of $2,096,000, or 7%, from operating income of $28,643,000 in fiscal 2012. The benefit from improved sales described above was partially offset by higher freight and material costs per ton. Freight cost increases of approximately 7% per ton were driven primarily by more shipments to foreign countries, higher diesel fuel prices and other cost increases in the freight industry, which are expected to continue due to recent trends and regulations. Material costs increased approximately 9% per ton. Certain products in the Business to Business Group received greater fixed manufacturing cost allocations subsequent to the production relocation for certain products between our plants, as discussed in Note 2 of the Notes to the Consolidated Financial Statements. See further discussion of manufacturing costs under “Consolidated Results” below.</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Business to Business Products Group’s selling, general and administrative expenses in fiscal 2013 increased approximately 5% compared to fiscal 2012 due primarily to costs incurred to expand sales of our animal health and nutrition products in foreign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Net sales of the Retail and Wholesale Products Group for fiscal 2013 were $157,614,000, an increase of $2,389,000, or 2%, from net sales of $155,225,000 in fiscal 2012. Net sales increased for cat litter products and for our foreign subsidiaries, but decreased for industrial absorbent products. Our foreign subsidiaries' net sales are described under "Foreign Operations" below. Overall cat litter net sales increased approximately 2% as the result of lower trade spending and higher selling prices, which outweighed a 6% decline in tons sold. Our branded cat litter net sales increase of approximately 5% was attributed primarily to approximately 59% higher sales of our Cat's Pride Fresh &amp; Light scoopable products and reduced trade spending. These increases were partially offset by lower sales for our other Cat's Pride scoopable and coarse litter products. Private label cat litter sales were down approximately 3% due primarily to the continued decline in the coarse cat litter market, as well as a market trend away from private label cat litter products. Industrial absorbents net sales were down approximately 3% with a 7% decline in tons sold.</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Retail and Wholesale Products Group’s segment operating income for fiscal 2013 was $10,561,000, an increase of $8,463,000, from operating income of $2,098,000 in fiscal 2012. The Group's operating income was positively impacted by the higher sales described above, by lower selling, general and administrative expenses, as discussed below, and by an approximate 1% decrease in packaging costs per ton. The Group's operating income was negatively impacted by approximately12% higher freight costs per ton due to more shipments to customers in regions with higher freight costs, higher diesel fuel prices and other cost increases in the freight industry which we expect to continue due to recent trends and regulations. In addition, material costs per ton increased approximately 5% primarily as the result of more purchased additives, fragrances and other materials required for the production of scoopable cat litters. See further discussion of manufacturing costs under “Consolidated Results” below.</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decreased approximately 15% compared to fiscal 2012. We incurred substantial spending to advertise and promote our new Cat's Pride Fresh and Light cat litter products in fiscal 2012. Advertising and promotions spending in fiscal 2014 is expected to be greater than in fiscal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Consolidated gross profit as a percentage of net sales in fiscal 2013 increased to 27% from 25% in fiscal 2012. Gross profit improved because of the higher sales described above, a greater proportion of sales from higher margin products and lower costs for packaging. Partially offsetting these positive impacts were higher freight and material costs per ton, as described in the operating segment discussions above. Material costs were also effected by a 4% increase in the fuel cost per ton produced, primarily for natural gas used to operate kilns that dry our clay.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as a percentage of net sales were 19% in fiscal 2013, compared to 20% in fiscal 2012. The discussions of each segment's operating income above describes the changes in selling, general and administrative expenses that were allocated to the operating segments, including approximately $3,000,000 lower advertising costs in the Retail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and Wholesale Products Group. The remaining unallocated corporate expenses in fiscal 2013 included a higher estimated annual incentive plan bonus accrual. The incentive bonus expense was based on performance targets that are established for each fiscal year. Expenses also increased for the pension plan and for research and development, but decreased for the supplemental employee retirement plan (“SERP”). See Notes 9 and 10 of the Notes to the Consolidated Financial Statements for additional information about the pension plan and the SERP, respectively.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tax rate was 16.6% of pre-tax income in fiscal 2013 compared to 27.1% in fiscal 2012. During fiscal 2013, we utilized approximately $1,369,000 of our domestic AMT attributes. We correspondingly reduced the domestic AMT valuation allowance that had been established in prior years, which resulted in a lower federal income tax rate. We expect our tax rate to return to historic levels in fiscal 2014. See Note 6 of the Notes to the Consolidated Financial Statements for additional information about our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sales by our foreign subsidiaries during fiscal 2013 were $11,928,000, an increase of $629,000, or 6%, from net sales of $11,299,000 during fiscal 2012. Net sales by our foreign subsidiaries represented 5% of our consolidated net sales during fiscal year 2013. Net sales increased 16% for our United Kingdom subsidiary and 3% for our Canadian subsidiary. Bleaching earth sales by our United Kingdom subsidiary increased primarily due to a new customer. Branded cat litter sales by our Canadian subsidiary increased, while industrial product sales were relatively flat.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2013, our foreign subsidiaries reported a net loss of $176,000, compared to a net loss of $876,000 in fiscal 2012. The decrease in the net loss was primarily the result of higher sales and a reduction in overhead costs at our Canadian subsidiary.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2013 were $8,298,000 compared to $8,702,000 as of July 31, 2012. The decrease is primarily due to lower cash, inventories and net fixed assets, which were partially offset by higher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2012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Consolidated net sales for the year ended July 31, 2012 were $240,681,000, a 6% increase from net sales of $226,755,000 in fiscal 2011. Net sales increased for both our Business to Business Products Group and our Retail and Wholesale Products Group due primarily to increased net selling prices and a favorable product sales mix. Our Business to Business Products Group also benefited from more tons sold.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net income for fiscal 2012 was $6,098,000, a 33% decrease from net income of $9,051,000 in fiscal 2011. The decline in net income was driven primarily by increased advertising expenditures in the Retail and Wholesale Products Group and a one-time charge to relocate our industrial floor absorbent and cat litter products from our facility located in Mounds, Illinois to our plants located in Mississippi. In addition, during fiscal 2012 we experienced higher freight, packaging and material costs for both operating segments and higher non-fuel manufacturing costs, which outweighed the benefit of lower cost for fuel used in our manufacturing processes. Segment operating income increased for the the Business to Business Products Group and decreased for the Retail and Wholesale Products Group as discussed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Net sales of the Business to Business Products Group for fiscal 2012 were $85,456,000, an increase of $10,977,000, or 15%, from net sales of $74,479,000 in fiscal 2011. The increase in net sales was attributed to 3% more tons sold, a favorable product sales mix and higher net selling prices. Net sales of agricultural and horticultural products, fluid purification products and animal health products all increased, while net sales of co-packaged cat litter decreased. Net sales of agricultural and horticultural products increased approximately 35% due primarily to 15% more tons sold, a favorable product sales mix and higher net selling prices. Sales increased to agricultural chemical carrier formulators. Sales also increased to customers for our engineered granule product in the professional pesticides and agricultural markets. Net sales of fluid purification products increased approximately 13% from fiscal 2011 with a 9% increase in tons sold. Sales in domestic and some export markets improved due to new customers and increased sales to existing customers. Net sales of animal health and nutrition products increased approximately 34%, driven primarily by a favorable product sales mix and 12% more tons sold. Higher sales of our newer enterosorbent animal health products in foreign markets resulted from improved distribution and new product registration in certain countries. The increased sales of our newer enterosorbent products considerably outweighed a decline in sales of our longer established animal health products.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Our co-packaged traditional coarse cat litter net sales decreased approximately 5% due to the continued decline in the coarse cat litter segment of the market.</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Business to Business Products Group's operating income was $28,643,000 in fiscal 2012, an increase of $9,139,000, or 47%, from operating income of $19,504,000 in fiscal 2011. This increase was driven by the higher net selling prices and favorable product sales mix described above, which was partially offset by higher freight and materials costs per ton. Freight costs per ton increased approximately 8% driven primarily by higher diesel fuel prices and other cost increases in the freight industry. Material costs per ton increased approximately 2% due primarily to higher non-fuel manufacturing costs, which exceeded a reduction in the cost of fuel used in our manufacturing processes. See further discussion of manufacturing costs under “Consolidated Results” below. The Business to Business Products Group's selling, general and administrative expenses in fiscal 2012 were even with fiscal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Net sales of the Retail and Wholesale Products Group for fiscal 2012 were $155,225,000, an increase of $2,949,000, or 2%, from net sales of $152,276,000 in fiscal 2011. The increase in net sales was attributed to a favorable product sales mix and higher net selling prices, which more than offset a 6% decline in tons sold. Net sales increased for our cat litter products, but decreased for our foreign subsidiaries, as described under “Foreign Operations” below. Net sales for our industrial absorbent products were even with the prior year. Cat litter net sales increased approximately 4% due primarily to a favorable product sales mix and higher net selling prices, which outweighed a 7% decrease in tons sold. Branded cat litter net sales increased approximately 26% with 14% more tons sold. Branded cat litter sales improved primarily as the result of our Cat's Pride Fresh &amp; Light scoopable products, which were introduced in the fourth quarter of fiscal 2011, combined with higher sales of our established Cat's Pride scoopable products. The increase in branded cat litter net sales was partially offset by approximately 16% lower sales of private label cat litter. The decline in private label cat litter sales resulted primarily from the continued decline in the coarse cat litter market, as well as a market trend away from private label cat litter products.</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Retail and Wholesale Products Group's segment operating income for fiscal 2012 was $2,098,000, a decrease of $8,341,000, or 80%, from operating income of $10,439,000 in fiscal 2011. The decrease was driven primarily by increased advertising costs for our Cat's Pride Fresh &amp; Light cat litter. In addition, the Retail and Wholesale Products Group's combined freight, packaging and material costs per ton increased approximately 8% compared to fiscal 2011. Packaging costs per ton increased approximately15% due primarily to fluctuations in the price of paper and resin. Freight costs per ton increased approximately 10% primarily as a result of higher diesel fuel prices and other cost increases in the freight industry. Material costs per ton increased approximately 4% due primarily to increased purchases of additives, fragrances and other materials for the production of scoopable cat litters. These cost increases more than offset the lower cost of fuel used in our manufacturing processes. See further discussion of manufacturing costs under “Consolidated Results” below.</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general and administrative expenses for the Retail and Wholesale Products Group increased 65% compared to fiscal 2011 due primarily to increased advertising expenditures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Consolidated gross profit as a percentage of net sales in fiscal 2012 increased to 25% from 22% in fiscal 2011. Gross profit improved because of the higher sales described above, a greater proportion of sales from higher margin products and 25% lower costs for fuel per ton produced, primarily natural gas, used to operate kilns that dry our clay. Partially offsetting these positive impacts were higher packaging, freight and material costs per ton. The increase in packaging and freight costs are described in the operating segment discussions above. Material costs were negatively impacted by a 6% increase in non-fuel manufacturing cost per ton produced, including depreciation and amortization. The increase in non-fuel manufacturing costs was attributed to higher depreciation expense and increased manufacturing of products that required purchased additives, fragrances and other materials.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expenses as a percentage of net sales were 20% in fiscal 2012, compared to 16% in fiscal 2011. The discussions of each segment's operating income above describes the increased selling, general and administrative expenses that were allocated to the operating segments, including approximately $7,800,000 higher advertising costs in the Retail and Wholesale Products Group. The remaining unallocated corporate expenses in fiscal 2012 included a higher estimated annual incentive plan bonus accrual and higher costs for the SERP. The incentive bonus expense was based on performance targets that are established for each fiscal year. See Note 10 of the Notes to the Consolidated Financial Statements for additional information about the SERP.</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effective tax rate was 27.1% of pre-tax income in fiscal 2012 compared to 25.5% in fiscal 2011. During fiscal 2012, we generated an additional $955,000 in AMT credit carryforwards. Consistent with AMT credits generated in prior years,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recorded a full valuation allowance against these credits, which increased the fiscal 2012 effective tax rate. A number of factors determine whether or not we will be able to utilize the AMT credit carryforwards. We believe it is more likely than not that we will not realize a benefit from the carryforwards; therefore, a valuation allowance has been established for the full amount of the deferred tax benefit related to the AMT credits. This increase in the effective tax rate was partially offset by a higher deduction for tax mining depletion. See Note 6 of the Notes to the Consolidated Financial Statements for additional information about our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sales by our foreign subsidiaries during fiscal 2012 were $11,299,000, a decrease of $1,217,000, or 10%, from net sales of $12,516,000 during fiscal 2011. Net sales by our foreign subsidiaries represented 5% of our consolidated net sales during fiscal year 2012. Net sales declined 14% for our United Kingdom subsidiary and 9% for our Canadian subsidiary. Bleaching earth and industrial absorbents sales by our United Kingdom subsidiary decreased due to a strong competitive and price sensitive marketplace. Both branded and private label cat litter sales for our Canadian subsidiary were lower due to the continued decline in the coarse litter market and increased competition. Industrial product sales for our Canadian subsidiary were relatively flat.</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fiscal 2012, our foreign subsidiaries reported a net loss of $876,000, compared to a net loss of $567,000 in fiscal 2011. The increase in the net loss was due primarily to lower sales, which were partially offset by a reduction in overhead costs at both our Canadian and United Kingdom subsidiaries.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2012 were $8,702,000 compared to $9,697,000 as of July 31, 2011. The decrease is primarily due to lower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capital requirements include funding working capital needs, purchasing and upgrading real estate, equipment and facilities, investing in infrastructure and potential acquisitions. We have principally used cash generated from operations and, to the extent needed, issuance of debt securities and borrowings under our credit facilities to fund these requirements. Cash and cash equivalents totaled $24,035,000, $27,093,000 and $18,762,000 at July 31, 2013, 2012 and 2011,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0"/>
              </w:rPr>
              <w:t>Fiscal Year Ended</w:t>
            </w:r>
          </w:p>
        </w:tc>
        <w:tc>
          <w:tcPr>
            <w:tcW w:w="86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31,</w:t>
            </w:r>
          </w:p>
        </w:tc>
        <w:tc>
          <w:tcPr>
            <w:tcW w:w="16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July 31,</w:t>
            </w:r>
          </w:p>
        </w:tc>
      </w:tr>
      <w:tr>
        <w:trPr>
          <w:trHeight w:val="234"/>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7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(23,665)</w:t>
            </w:r>
          </w:p>
        </w:tc>
      </w:tr>
      <w:tr>
        <w:trPr>
          <w:trHeight w:val="27"/>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9,785</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7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operations was $23,366,000 for fiscal 2013 compared to $23,339,000 for fiscal 2012. The change was due to working capital fluctuations and changes in other accounts. The changes in the primary components of working capital and other accounts that impacted operating cash flows for these years are as follows: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Deferred income taxes were $398,000 higher at fiscal year-end 2013 compared to fiscal year-end 2012 due primarily to lower tax depreciation expense and increased accrued expenses, which were partially offset by the impact of a lower postretirement benefits liability. Additionally, the net operating loss previously accrued was released in fiscal 2013 as a result of reduced tax depreciation available to the company as determined upon filing the fiscal 2012 tax return. Deferred income taxes were $2,568,000 higher at fiscal year-end 2012 compared to fiscal year-end 2011 due primarily to a higher postretirement benefits liability, benefits from a tax net operating loss and increased accrued expenses, which were partially offset by the impact of higher tax bonus depreciation expense. See Notes 6 and 9 of the Notes to the Consolidated Financial Statements for more information regarding income taxes and postretirement benefit plans, respectively. The change in accrued expenses is discussed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jc w:val="both"/>
        <w:ind w:firstLine="648"/>
        <w:spacing w:after="0" w:line="257" w:lineRule="auto"/>
        <w:rPr>
          <w:sz w:val="20"/>
          <w:szCs w:val="20"/>
          <w:color w:val="auto"/>
        </w:rPr>
      </w:pPr>
      <w:r>
        <w:rPr>
          <w:rFonts w:ascii="Arial" w:cs="Arial" w:eastAsia="Arial" w:hAnsi="Arial"/>
          <w:sz w:val="18"/>
          <w:szCs w:val="18"/>
          <w:color w:val="auto"/>
        </w:rPr>
        <w:t>Accounts receivable, less allowance for doubtful accounts, were $920,000 higher at fiscal year-end 2013 compared to fiscal year-end 2012. The increase was attributed primarily to higher fiscal 2013 fourth quarter sales compared to fiscal 2012 fourth quarter sales. Accounts receivable, less allowance for doubtful accounts, were $994,000 higher at fiscal year-end 2012 compared to fiscal year-end 2011. The increase was attributed primarily to higher fiscal 2012 fourth quarter sales compared to fiscal 2011 fourth quarter sales. The change in both periods is subject to timing of sales and collections and the payment terms provided to various customers.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Inventories were $1,050,000 higher at fiscal year-end 2013 compared to fiscal year-end 2012. Increased finished goods inventory values at fiscal year-end 2013 were attributed to higher costs. Inventories of additives and fragrances increased as the result of production projections for certain products. Inventories were $456,000 higher at fiscal year-end 2012 compared to fiscal year-end 2011. Inventories of additives and fragrances increased to meet production requirements for certain products.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Prepaid expenses were $1,416,000 lower at fiscal year-end 2013 compared to fiscal year-end 2012 due primarily to a decrease in prepaid income taxes. Prepaid expenses were $1,878,000 lower at fiscal year-end 2012 compared to fiscal year-end 2011 due primarily to a decrease in both prepaid income taxes and prepaid advertising costs.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assets were $1,025,000 higher at fiscal year-end 2013 compared to fiscal year-end 2012. During fiscal 2013 a joint infrastructure project with a local government at one of our plant locations resulted in an other asset of approximately $740,000. Other assets were $510,000 higher at fiscal year-end 2012 compared to fiscal year-end 2011. The change in other assets for both periods included the effect of currency exchange rate fluctuations on non-cash assets held by our foreign subsidiaries. The change in the relative value of the U.S. Dollar to both the British Pound and the Canadian Dollar resulted in an increase in other assets in fiscal 2012 compared to a decrease in fiscal 2011. In addition, an increase in the cash surrender value of life insurance on former key employees contributed to the increase in other assets at both fiscal year-end 2013 and 2012.</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payable were $135,000 higher at fiscal year-end 2013 compared to fiscal year-end 2012 due primarily to increased income taxes payable, which was partially offset by lower trade accounts payable. Accounts payable were $456,000 higher at fiscal year-end 2012 compared to fiscal year-end 2011 due primarily to increased trade accounts payable. Changes in trade accounts payable in all periods are subject to normal fluctuations in the timing of payments.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Accrued expenses were $2,159,000 higher at fiscal year-end 2013 compared to fiscal year-end 2012. Accrued expenses for fiscal 2013 were higher for both the discretionary bonus and accrued costs related to capital projects at our manufacturing facilities. These increases were partially offset by lower accrued advertising expense. Accrued expenses were $1,622,000 higher at fiscal year-end 2012 compared to fiscal year-end 2011. Accrued expenses for fiscal 2012 were higher for both the discretionary bonus and advertising expenses. This increase was partially offset by lower other accrued operating expenses due to the reduced cost of fuel used in our manufacturing processes. Changes in accrued expenses in all periods are also subject to normal fluctuations in the timing of payments.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compensation was $452,000 higher at fiscal year-end 2013 compared to fiscal year-end 2012 and was $921,000 higher at fiscal year-end 2012 compared to fiscal 2011. Employee deferrals and interest on accumulated deferred compensation balances exceeded payouts in both years. The increase at fiscal year-end 2013 was partially offset by a lower accrual for the SERP due to an increase in the discount rate used to actuarially value the obligation. At July 31, 2012 a lower discount rate resulted in a higher SERP accrual. See Note 10 of the Notes to the Consolidated Financial Statements for more information regarding our deferred compensation plans.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Pension and other postretirement liabilities, net of the adjustment recorded in stockholders' equity, were $1,896,000 lower at fiscal year-end 2013 compared to fiscal year-end 2012 and were $4,730,000 higher at fiscal year-end 2012 compared to fiscal year-end 2011. A higher discount rate required for the actuarial calculation of postretirement benefit obligations resulted in a significantly lower liability at fiscal year-end 2013. At fiscal year-end 2012, a lower discount rate resulted in a significantly higher liability. See Note 9 of the Notes to the Consolidated Financial Statements for more information regarding our postretirement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investing activities was $19,018,000 in fiscal 2013 compared to $270,000 in fiscal 2012. Purchases of investment securities were $9,289,000 greater than disposition in fiscal 2013. In fiscal 2012, dispositions of investment securities exceeded purchases by $6,659,000. Purchases and dispositions of investment securities in both periods are subject to variations in the timing of investment maturities. Cash used for capital expenditures of $9,795,000 in fiscal 2013 included replacement and new machinery at our manufacturing facilities. Capital expenditures in fiscal 2012 of $6,960,000 included a new storage facility and replacement of machinery at our manufacturing facilities.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Cash used in investing activities was $270,000 in fiscal 2012 compared to $23,665,000 in fiscal 2011. Dispositions of investment securities were $6,659,000 greater than purchases in fiscal 2012. In fiscal 2011, purchases of investment securities exceeded dispositions by $10,008,000 due to the investment of cash received from the issuance of new debt. Purchases and dispositions of investment securities in both periods are subject to variations in the timing of investment maturities. Cash used for capital expenditures of $6,960,000 in fiscal 2012 included a new storage facility and replacement of machinery at our manufacturing facilities. Capital expenditures in fiscal 2011 of $13,806,000 included new product-related projects at our manufacturing facilities, replacement of machinery and land 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used in financing activities was $7,450,000 in fiscal 2013 compared to $13,889,000 in fiscal 2012. Cash used to purchase treasury stock was $175,000 and $6,247,000 in fiscal 2013 and 2012, respectively. Payments on long-term debt in fiscal 2013 were $3,800,000 compared to $3,600,000 in fiscal 2012. Dividend payments during fiscal 2013 of $4,630,000 were higher than the $4,486,000 paid during fiscal 2012 due to a dividend rate increase. Proceeds from issuance of Common Stock and treasury stock related to stock option exercises were $887,000 and $352,000 in fiscal 2013 and 2012, respectively.</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Cash used in financing activities was $13,889,000 in fiscal 2012 compared to cash provided by financing activities of $9,785,000 in fiscal 2011. Cash used to purchase treasury stock was $6,247,000 and $2,474,000 in fiscal 2012 and 2011, respectively. Payments on long-term debt in fiscal 2012 were $3,600,000 compared to $3,500,000 in fiscal 2011. Dividend payments during fiscal 2012 of $4,486,000 were higher than the $4,218,000 paid during fiscal 2011 due to a dividend rate increase. Proceeds from issuance of Common Stock and treasury stock related to stock option exercises were $352,000 and $1,135,000 in fiscal 2012 and 2011, respectively. Issuance of new debt during fiscal 2011 provided $18,500,000 in additional cash.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Total cash and investment balances held by our foreign subsidiaries at July 31, 2013, 2012 and 2011 were $1,413,000, $1,847,000 and $1,904,000, respectively. Cash and investment balances fluctuated due to normal business operations. See further discussion in the “Foreign Operations” section above.</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 $15,000,000 unsecured revolving credit agreement with BMO Harris Bank N.A. (“BMO Harris”) which will expire on December 31, 2014. The credit agreement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July 31, 2013, the variable rates would have been 3.25% for BMO Harris’ prime-based rate or 1.93%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2013 and 2012, there were no outstanding borrowings under this credit facility and we were in compliance with its covenants.</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12, 2010, we sold at aggregate face value $18,500,000 in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 Agreement”). The notes bear interest at 3.96% per annum and mature on August 1, 2020. The proceeds of the sale may be used to fund future principal 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We believe that cash flow from operations, availability under our current revolving credit facility and current cash and investment balances will provide adequate cash funds for foreseeable working capital needs, capital expenditures at existing facilities and debt service obligations for at least the next 12 months. We estimate cash requirements for capital expenditures in fiscal 2014 to be higher than in fiscal 2013 due to projects at our manufacturing facilities, including capacity expansion projects for our fluids purification products. In addition, advertising and promotions spending in fiscal 2014 is expected to greater than in fiscal 2013.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the current credit agreement and any successor agreements, depends 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OMMERCIAL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as of July 31, 2013 and the effect such obligations are expected to have on liquidity and cash flows in future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00" w:type="dxa"/>
            <w:vAlign w:val="bottom"/>
            <w:gridSpan w:val="6"/>
          </w:tcPr>
          <w:p>
            <w:pPr>
              <w:ind w:left="20"/>
              <w:spacing w:after="0"/>
              <w:rPr>
                <w:sz w:val="20"/>
                <w:szCs w:val="20"/>
                <w:color w:val="auto"/>
              </w:rPr>
            </w:pPr>
            <w:r>
              <w:rPr>
                <w:rFonts w:ascii="Arial" w:cs="Arial" w:eastAsia="Arial" w:hAnsi="Arial"/>
                <w:sz w:val="18"/>
                <w:szCs w:val="18"/>
                <w:b w:val="1"/>
                <w:bCs w:val="1"/>
                <w:color w:val="auto"/>
                <w:w w:val="88"/>
              </w:rPr>
              <w:t>Payments Due by Period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Less Than 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25,900,000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6,983,000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9,250,000</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4,144,000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1,065,000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1,543,000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987,000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549,000</w:t>
            </w: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10,620,000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3,531,000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3,086,000</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2,506,000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1,497,000</w:t>
            </w:r>
          </w:p>
        </w:tc>
      </w:tr>
      <w:tr>
        <w:trPr>
          <w:trHeight w:val="25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40,664,000</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8,096,000</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11,612,000</w:t>
            </w:r>
          </w:p>
        </w:tc>
        <w:tc>
          <w:tcPr>
            <w:tcW w:w="2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9,660,000</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11,296,000</w:t>
            </w: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third quarter of fiscal 2013, we made a contribution of approximately $1,209,000 to our defined benefit pension plan. We have not presented this obligation for future years in the table above because the funding requirement can vary from year to year based on changes in the fair value of plan assets and actuarial assumptions. See Item 7A “Quantitative and Qualitative Disclosures About Market Risk” below for certain information regarding the potential impact of financial market fluctuations on pension plan assets and future funding contributions.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8"/>
          </w:tcPr>
          <w:p>
            <w:pPr>
              <w:ind w:left="60"/>
              <w:spacing w:after="0"/>
              <w:rPr>
                <w:sz w:val="20"/>
                <w:szCs w:val="20"/>
                <w:color w:val="auto"/>
              </w:rPr>
            </w:pPr>
            <w:r>
              <w:rPr>
                <w:rFonts w:ascii="Arial" w:cs="Arial" w:eastAsia="Arial" w:hAnsi="Arial"/>
                <w:sz w:val="18"/>
                <w:szCs w:val="18"/>
                <w:b w:val="1"/>
                <w:bCs w:val="1"/>
                <w:color w:val="auto"/>
              </w:rPr>
              <w:t>Amount of Commitment Expiration Per Period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Total Amounts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After 5</w:t>
            </w: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Committed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240" w:type="dxa"/>
            <w:vAlign w:val="bottom"/>
          </w:tcPr>
          <w:p>
            <w:pPr>
              <w:spacing w:after="0"/>
              <w:rPr>
                <w:sz w:val="20"/>
                <w:szCs w:val="20"/>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29,867,000</w:t>
            </w:r>
          </w:p>
        </w:tc>
        <w:tc>
          <w:tcPr>
            <w:tcW w:w="200" w:type="dxa"/>
            <w:vAlign w:val="bottom"/>
          </w:tcPr>
          <w:p>
            <w:pPr>
              <w:spacing w:after="0"/>
              <w:rPr>
                <w:sz w:val="22"/>
                <w:szCs w:val="22"/>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  29,867,000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2013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Our effective tax rate is based on expected income, statutory tax rates and tax planning opportunities available to us in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jurisdictions in which we operate. Significant judgment is required in determining our effective tax rate and in evaluating our tax positions.</w:t>
      </w:r>
    </w:p>
    <w:p>
      <w:pPr>
        <w:spacing w:after="0" w:line="14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We determine our current and deferred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tax effect of the expected reversal of tax differences is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For example, certain factors, such as depletion and the cost of fuel used in our manufacturing process, are difficult to predict and have a significant impact on our ability to use the deferred tax benefit related to our AMT credit carryforwards. We recorded valuation allowances for income taxes of $4,699,000 and $4,061,000 at July 31, 2013 and 2012, respectively, for the full amount of the deferred tax benefit related to our AMT credit and foreign net operating loss carryforwards since we believe it is more likely than not that the benefit of these tax attributes will not be realized.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provide for uncertain tax positions when such tax positions do not meet certain recognition thresholds or measurement standards. Amounts for uncertain tax positions are adjusted when new information becomes available or when positions are effectively settled. Our liability for unrecognized tax benefits based on tax positions related to the current and prior fiscal years was $273,000 at both July 31, 2013 and 2012. See Note 6 of the Notes to the Consolidated Financial Statements for further discussion.</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with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$2,173,000 and $2,979,000 for trade promotions at July 31, 2013 and 2012, respectively.</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cashflows discounted with spot rates on a yield curve of investment-grade corporate bonds. The yield curve is the Citigroup Pension Liability Index.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9 of the Notes to the Consolidated Financial Statements for additional information.</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the risk of loss and title pass to the customer. We record an allowance for doubtful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based on our historical experience and a periodic review of our accounts receivable, including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review of the overall aging of accounts and analysis of specific accounts. A customer account is determined to be uncollectible when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recorded an allowance for doubtful accounts of $641,000 and $626,000 at July 31, 2013 and 2012, respectively.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We value inventories at the lower of cost (first-in, first-out) or market. Inventory costs include the cost of raw materials, packaging</w:t>
      </w:r>
      <w:r>
        <w:rPr>
          <w:rFonts w:ascii="Arial" w:cs="Arial" w:eastAsia="Arial" w:hAnsi="Arial"/>
          <w:sz w:val="17"/>
          <w:szCs w:val="17"/>
          <w:b w:val="1"/>
          <w:bCs w:val="1"/>
          <w:color w:val="auto"/>
        </w:rPr>
        <w:t xml:space="preserve"> </w:t>
      </w:r>
      <w:r>
        <w:rPr>
          <w:rFonts w:ascii="Arial" w:cs="Arial" w:eastAsia="Arial" w:hAnsi="Arial"/>
          <w:sz w:val="17"/>
          <w:szCs w:val="17"/>
          <w:color w:val="auto"/>
        </w:rPr>
        <w:t>supplies, labor and other overhead costs. We perform a detailed review of our inventory items to determine if an obsolescence reserve adjustment is necessary. The review surveys all of our operating facilities and sales divisions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July 31, 2013 and 2012 were $364,000 and $281,000, respectively.</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 overburden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2013 and 2012, we have recorded an estimated net reclamation asset of $590,000 and $619,000, respectively, and a corresponding estimated reclamation liability of $1,269,000 as of both July 31, 2013 and 2012.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Impairment of goodwill, trademarks and other intangible assets. </w:t>
      </w:r>
      <w:r>
        <w:rPr>
          <w:rFonts w:ascii="Arial" w:cs="Arial" w:eastAsia="Arial" w:hAnsi="Arial"/>
          <w:sz w:val="18"/>
          <w:szCs w:val="18"/>
          <w:color w:val="auto"/>
        </w:rPr>
        <w:t>We review carrying values of goodwill, trademarks and other indefinite lived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intangible assets periodically for possible impairment in accordance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Our impairment review is based on a discounted cash flow approach that requires significant judgment with respect to volume, revenue, expense growth rates and the selection of an appropriate discount rate. Impairment occurs when the carrying value exceeds the fair value. Our impairment analysis is performed in the first quarter of the fiscal year and when indicators such as unexpected adverse economic factors, unanticipated technological changes, competitive activities and acts by governments and courts indicate that an asset may become impaired. We use judgment in assessing whether assets may have become impaired. Our analysis in the first quarter of fiscal 2013 did not indicate any impairment. We continue to monitor events, circumstances or changes in the business that might imply a reduction in value and might lead to impairment.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For our annual goodwill impairment test performed during the first quarter of fiscal 2013, we considered the FASB guidance issued under ASC 350 </w:t>
      </w:r>
      <w:r>
        <w:rPr>
          <w:rFonts w:ascii="Arial" w:cs="Arial" w:eastAsia="Arial" w:hAnsi="Arial"/>
          <w:sz w:val="16"/>
          <w:szCs w:val="16"/>
          <w:i w:val="1"/>
          <w:iCs w:val="1"/>
          <w:color w:val="auto"/>
        </w:rPr>
        <w:t xml:space="preserve">Intangibles-Goodwill and Other: Testing Goodwill for Impairment, </w:t>
      </w:r>
      <w:r>
        <w:rPr>
          <w:rFonts w:ascii="Arial" w:cs="Arial" w:eastAsia="Arial" w:hAnsi="Arial"/>
          <w:sz w:val="16"/>
          <w:szCs w:val="16"/>
          <w:color w:val="auto"/>
        </w:rPr>
        <w:t>which provides the option to first assess qualitative factors to determine if the annual two-step test of goodwill for impairment must be performed</w:t>
      </w:r>
      <w:r>
        <w:rPr>
          <w:rFonts w:ascii="Arial" w:cs="Arial" w:eastAsia="Arial" w:hAnsi="Arial"/>
          <w:sz w:val="16"/>
          <w:szCs w:val="16"/>
          <w:i w:val="1"/>
          <w:iCs w:val="1"/>
          <w:color w:val="auto"/>
        </w:rPr>
        <w:t>.</w:t>
      </w:r>
      <w:r>
        <w:rPr>
          <w:rFonts w:ascii="Arial" w:cs="Arial" w:eastAsia="Arial" w:hAnsi="Arial"/>
          <w:sz w:val="16"/>
          <w:szCs w:val="16"/>
          <w:color w:val="auto"/>
        </w:rPr>
        <w:t xml:space="preserve"> We did not elect to perform a qualitative assessment and continued to perform the two-step test to measure potential goodwill impairment. There was no impact on our Consolidated Financial Statements as a result of this new guidance.</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the first quarter of fiscal 2013, we adopted the FASB guidance issued under ASC 220 </w:t>
      </w:r>
      <w:r>
        <w:rPr>
          <w:rFonts w:ascii="Arial" w:cs="Arial" w:eastAsia="Arial" w:hAnsi="Arial"/>
          <w:sz w:val="17"/>
          <w:szCs w:val="17"/>
          <w:i w:val="1"/>
          <w:iCs w:val="1"/>
          <w:color w:val="auto"/>
        </w:rPr>
        <w:t>Comprehensive Income: Presentation of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w:t>
      </w:r>
      <w:r>
        <w:rPr>
          <w:rFonts w:ascii="Arial" w:cs="Arial" w:eastAsia="Arial" w:hAnsi="Arial"/>
          <w:sz w:val="17"/>
          <w:szCs w:val="17"/>
          <w:color w:val="auto"/>
        </w:rPr>
        <w:t>This guidance requires presentation of the components of net income and other comprehensive income either in one continuous statement,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as the Statement of Comprehensive Income, or in two separate consecutive statements. The requirements eliminate the current option to report other comprehensive income and its components in the Statement of Stockholders' Equity. In accordance with the new requirements, and consistent with our past practice for our Quarterly Reports on Form 10-Q, we elected to present the components of net income and other comprehensive income in two separate consecutive statements. The components recognized in net income or other comprehensive income did not change and there was no impact on our Consolidated Financial Statements as a result of adopting this new guidance.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July 2012, the FASB issued guidance under ASC 350 </w:t>
      </w:r>
      <w:r>
        <w:rPr>
          <w:rFonts w:ascii="Arial" w:cs="Arial" w:eastAsia="Arial" w:hAnsi="Arial"/>
          <w:sz w:val="17"/>
          <w:szCs w:val="17"/>
          <w:i w:val="1"/>
          <w:iCs w:val="1"/>
          <w:color w:val="auto"/>
        </w:rPr>
        <w:t>Intangibles-Goodwill and Other: Testing Indefinite-Lived Intangible Assets for Impairment,</w:t>
      </w:r>
      <w:r>
        <w:rPr>
          <w:rFonts w:ascii="Arial" w:cs="Arial" w:eastAsia="Arial" w:hAnsi="Arial"/>
          <w:sz w:val="17"/>
          <w:szCs w:val="17"/>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more likely than not that the indefinite-lived intangible asset's fair value is more than its carrying amount, then it is not necessary to perform the quantitative impairment test. However, if an entity concludes otherwise, then the quantitative impairment test must also be performed to identify and measure any potential impairment amount. We will consider the option provided in this guidance for our annual indefinite-lived asset impairment testing for our fiscal year 2014 beginning August 1, 2013.</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February 2013, the FASB issued guidance under ASC 220 </w:t>
      </w:r>
      <w:r>
        <w:rPr>
          <w:rFonts w:ascii="Arial" w:cs="Arial" w:eastAsia="Arial" w:hAnsi="Arial"/>
          <w:sz w:val="16"/>
          <w:szCs w:val="16"/>
          <w:i w:val="1"/>
          <w:iCs w:val="1"/>
          <w:color w:val="auto"/>
        </w:rPr>
        <w:t>Comprehensive Income: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that requires presentation by the respective line items of net income, either on the face of the statement where net income is 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or in the notes, information about significant amounts required under U.S. Generally Accepted Accounting Principles (“U.S. GAAP”) to be reclassified out of accumulated other comprehensive income in their entirety. For amounts not required to be reclassified in their entirety to net income, an entity is required to cross-reference to other disclosures that provide additional details about those amounts. These presentation requirements will be effective for our Quarterly Report on Form 10-Q for the quarter ending October 31, 2013 and will not have a significant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exposed to foreign currency fluctuation risk, primarily U.S. Dollar/British Pound, U.S. Dollar/Euro and U.S. Dollar/Canadian Dollar, as it relates to certain accounts receivables and to our foreign operations. We are subject to translation exposure of our foreign subsidiaries’ financial statements. In recent years, our foreign subsidiaries have not generated a substantial portion of our consolidated net sales or net income. In addition, a small portion of our consolidated accounts receivable are denominated in foreign currencies. During fiscal 2013, we entered into derivative contracts to reduce exposure to fluctuations in the exchange rate of the Euro compared to the U.S. Dollar. These contracts expired prior to July 31, 2013 and one immaterial transactions was executed per the contractual terms during the fiscal year. We believe that the overall foreign currency fluctuation risk is immaterial to our Consolidated Financial Statements.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regulatory risk in the fluids purification, agricultural and animal health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we may contract for a portion of our anticipated fuel needs using forward purchase contracts to mitigate the volatility of our kiln fuel prices. As of July 31, 2013, we have purchased no natural gas contracts for our planned kiln fuel needs for fiscal 2014. We continue to purchase natural gas at spot rates on a month to month basis.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July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24,035</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Accounts receivable, less allowance of $641 and $626</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31,148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in 2013 and 2012,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30,225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20,723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3,986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repairs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1,563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103,372</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95,202</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 and 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28,475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28,338</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112,056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109,181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11,615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depreciable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162,026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157,860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(118,082)</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(112,254)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depreciable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43,944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45,606</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5,845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16,275</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66,055</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64,453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5,162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2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$427 and $409 in 2013 and 2012,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of $455 and $380 in 2013 and 2012,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Licensing agreements and non-compete agreements,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of accumulated amortization of $1,861 and $1,611 in</w:t>
            </w: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2013 and 2012,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2,164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5,538</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14,132</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183,559</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3,500</w:t>
            </w:r>
          </w:p>
        </w:tc>
        <w:tc>
          <w:tcPr>
            <w:tcW w:w="4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6,483</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1,236</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9,087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2,824</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2,154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6,163</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31,447</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29,122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22,400</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8,569</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16,362</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1,843</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49,174</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59,837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80,621</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88,959</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w w:val="96"/>
              </w:rPr>
              <w:t>Common Stock, par value $.10 per share, issued 7,866,560 shares in 2013 and 7,786,241shares in 2012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787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Class B Stock, par value $.10 per share, issued 2,394,487 shares in 2013 and 2,374,859 shares in 2012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31,317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unearned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(1,824)</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132,750</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122,901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(5,608)</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487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treasury stock, at cost (2,914,567 Common and 324,741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Class B shares in 2013 and 2,911,564 Common and</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(55,296)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324,741 Class B shares in 2012)</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(55,208)</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102,938</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85,308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183,559</w:t>
            </w:r>
          </w:p>
        </w:tc>
        <w:tc>
          <w:tcPr>
            <w:tcW w:w="44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460" w:type="dxa"/>
            <w:vAlign w:val="bottom"/>
          </w:tcPr>
          <w:p>
            <w:pPr>
              <w:ind w:left="562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3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7"/>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9"/>
              </w:rPr>
              <w:t>(in thousands, except for per share data)</w:t>
            </w:r>
          </w:p>
        </w:tc>
      </w:tr>
      <w:tr>
        <w:trPr>
          <w:trHeight w:val="216"/>
        </w:trPr>
        <w:tc>
          <w:tcPr>
            <w:tcW w:w="3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250,583</w:t>
            </w:r>
          </w:p>
        </w:tc>
        <w:tc>
          <w:tcPr>
            <w:tcW w:w="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240,681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226,755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(184,084)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(181,676)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(176,715)</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66,499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w w:val="89"/>
              </w:rPr>
              <w:t>Selling, General and Administrative Expenses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(47,558)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(36,331)</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Capacity Rationalization Charges</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18,871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13,709</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Foreign exchange loss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37"/>
        </w:trPr>
        <w:tc>
          <w:tcPr>
            <w:tcW w:w="35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(1,372)</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17,499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(2,913)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14,586</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2.25</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51"/>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2.07</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365"/>
        </w:trPr>
        <w:tc>
          <w:tcPr>
            <w:tcW w:w="3580" w:type="dxa"/>
            <w:vAlign w:val="bottom"/>
            <w:tcBorders>
              <w:top w:val="single" w:sz="8" w:color="CCEEFF"/>
            </w:tcBorders>
            <w:shd w:val="clear" w:color="auto" w:fill="CCEEFF"/>
          </w:tcPr>
          <w:p>
            <w:pPr>
              <w:spacing w:after="0"/>
              <w:rPr>
                <w:sz w:val="24"/>
                <w:szCs w:val="24"/>
                <w:color w:val="auto"/>
              </w:rPr>
            </w:pPr>
          </w:p>
        </w:tc>
        <w:tc>
          <w:tcPr>
            <w:tcW w:w="32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4,909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5,083</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1,970</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1,934</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1,908</w:t>
            </w:r>
          </w:p>
        </w:tc>
      </w:tr>
      <w:tr>
        <w:trPr>
          <w:trHeight w:val="251"/>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6,927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7,103</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600" w:type="dxa"/>
            <w:vAlign w:val="bottom"/>
            <w:gridSpan w:val="5"/>
          </w:tcPr>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14,586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r>
      <w:tr>
        <w:trPr>
          <w:trHeight w:val="32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Unrealized gain on marketable securities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5,983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307</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20,497</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9,357</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9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94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Income/(Loss)</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July 31, 2010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9,884,139</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(2,883,505)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25,104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116,917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(47,513)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(4,751)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90,589</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9,051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(117,123)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157"/>
        </w:trPr>
        <w:tc>
          <w:tcPr>
            <w:tcW w:w="2180" w:type="dxa"/>
            <w:vAlign w:val="bottom"/>
          </w:tcPr>
          <w:p>
            <w:pPr>
              <w:spacing w:after="0" w:line="157" w:lineRule="exact"/>
              <w:rPr>
                <w:sz w:val="20"/>
                <w:szCs w:val="20"/>
                <w:color w:val="auto"/>
              </w:rPr>
            </w:pPr>
            <w:r>
              <w:rPr>
                <w:rFonts w:ascii="Arial" w:cs="Arial" w:eastAsia="Arial" w:hAnsi="Arial"/>
                <w:sz w:val="14"/>
                <w:szCs w:val="14"/>
                <w:color w:val="auto"/>
                <w:w w:val="96"/>
              </w:rPr>
              <w:t>Issuance of Stock Under Long-Term</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239,044</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33,500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10,123,183</w:t>
            </w: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(2,967,128)</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1,012</w:t>
            </w:r>
          </w:p>
        </w:tc>
        <w:tc>
          <w:tcPr>
            <w:tcW w:w="1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29,213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121,388</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(2,446)</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(49,424)</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(4,445)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95,298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(296,427)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57"/>
        </w:trPr>
        <w:tc>
          <w:tcPr>
            <w:tcW w:w="2180" w:type="dxa"/>
            <w:vAlign w:val="bottom"/>
          </w:tcPr>
          <w:p>
            <w:pPr>
              <w:spacing w:after="0" w:line="157" w:lineRule="exact"/>
              <w:rPr>
                <w:sz w:val="20"/>
                <w:szCs w:val="20"/>
                <w:color w:val="auto"/>
              </w:rPr>
            </w:pPr>
            <w:r>
              <w:rPr>
                <w:rFonts w:ascii="Arial" w:cs="Arial" w:eastAsia="Arial" w:hAnsi="Arial"/>
                <w:sz w:val="14"/>
                <w:szCs w:val="14"/>
                <w:color w:val="auto"/>
              </w:rPr>
              <w:t>Issuance of Stock Under Long-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37,917</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27,250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10,161,100</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(3,236,305)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29,759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122,901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(2,214)</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(55,208)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(10,946)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85,308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14,586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(4,712)</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57"/>
        </w:trPr>
        <w:tc>
          <w:tcPr>
            <w:tcW w:w="2180" w:type="dxa"/>
            <w:vAlign w:val="bottom"/>
          </w:tcPr>
          <w:p>
            <w:pPr>
              <w:spacing w:after="0" w:line="157" w:lineRule="exact"/>
              <w:rPr>
                <w:sz w:val="20"/>
                <w:szCs w:val="20"/>
                <w:color w:val="auto"/>
              </w:rPr>
            </w:pPr>
            <w:r>
              <w:rPr>
                <w:rFonts w:ascii="Arial" w:cs="Arial" w:eastAsia="Arial" w:hAnsi="Arial"/>
                <w:sz w:val="14"/>
                <w:szCs w:val="14"/>
                <w:color w:val="auto"/>
              </w:rPr>
              <w:t>Issuance of Stock Under Long-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8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99,947</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10,261,047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(3,239,308)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102,938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900" w:type="dxa"/>
            <w:vAlign w:val="bottom"/>
          </w:tcPr>
          <w:p>
            <w:pPr>
              <w:ind w:left="3600"/>
              <w:spacing w:after="0"/>
              <w:rPr>
                <w:sz w:val="20"/>
                <w:szCs w:val="20"/>
                <w:color w:val="auto"/>
              </w:rPr>
            </w:pPr>
            <w:r>
              <w:rPr>
                <w:rFonts w:ascii="Arial" w:cs="Arial" w:eastAsia="Arial" w:hAnsi="Arial"/>
                <w:sz w:val="18"/>
                <w:szCs w:val="18"/>
                <w:b w:val="1"/>
                <w:bCs w:val="1"/>
                <w:color w:val="auto"/>
              </w:rPr>
              <w:t>CONSOLIDATED STATEMENTS OF CASH FLOWS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0"/>
              </w:rPr>
              <w:t>Year-Ended July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14,586</w:t>
            </w:r>
          </w:p>
        </w:tc>
        <w:tc>
          <w:tcPr>
            <w:tcW w:w="4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43"/>
        </w:trPr>
        <w:tc>
          <w:tcPr>
            <w:tcW w:w="7900" w:type="dxa"/>
            <w:vAlign w:val="bottom"/>
          </w:tcPr>
          <w:p>
            <w:pPr>
              <w:ind w:left="580"/>
              <w:spacing w:after="0"/>
              <w:rPr>
                <w:sz w:val="20"/>
                <w:szCs w:val="20"/>
                <w:color w:val="auto"/>
              </w:rPr>
            </w:pPr>
            <w:r>
              <w:rPr>
                <w:rFonts w:ascii="Arial" w:cs="Arial" w:eastAsia="Arial" w:hAnsi="Arial"/>
                <w:sz w:val="18"/>
                <w:szCs w:val="18"/>
                <w:color w:val="auto"/>
              </w:rPr>
              <w:t>Amortization of investment (discounts) premiums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Non-cash stock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Provision for bad debts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Capacity rationalization charges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Increase (decrease) in:</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Deferred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Total Adjustments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8,780</w:t>
            </w: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17,241</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23,339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(34,439)</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(60,083)</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Dispositions of short-term investments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25,150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24,260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50,075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Proceeds from issuance of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(3,800)</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7900" w:type="dxa"/>
            <w:vAlign w:val="bottom"/>
          </w:tcPr>
          <w:p>
            <w:pPr>
              <w:ind w:left="146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(3,058)</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9,208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27,093</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17,885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24,035</w:t>
            </w: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27,093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Oil-Dri Corporation of America and its subsidiaries, all of which are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 when purchased.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6"/>
        </w:trPr>
        <w:tc>
          <w:tcPr>
            <w:tcW w:w="7400" w:type="dxa"/>
            <w:vAlign w:val="bottom"/>
            <w:gridSpan w:val="2"/>
          </w:tcPr>
          <w:p>
            <w:pPr>
              <w:ind w:left="660"/>
              <w:spacing w:after="0"/>
              <w:rPr>
                <w:sz w:val="20"/>
                <w:szCs w:val="20"/>
                <w:color w:val="auto"/>
              </w:rPr>
            </w:pPr>
            <w:r>
              <w:rPr>
                <w:rFonts w:ascii="Arial" w:cs="Arial" w:eastAsia="Arial" w:hAnsi="Arial"/>
                <w:sz w:val="18"/>
                <w:szCs w:val="18"/>
                <w:color w:val="auto"/>
                <w:w w:val="97"/>
              </w:rPr>
              <w:t>The composition of short-term investments was as follows as of July 31 (in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1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18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8,999</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5,998</w:t>
            </w:r>
          </w:p>
        </w:tc>
      </w:tr>
      <w:tr>
        <w:trPr>
          <w:trHeight w:val="27"/>
        </w:trPr>
        <w:tc>
          <w:tcPr>
            <w:tcW w:w="18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840" w:type="dxa"/>
            <w:vAlign w:val="bottom"/>
          </w:tcPr>
          <w:p>
            <w:pPr>
              <w:spacing w:after="0"/>
              <w:rPr>
                <w:sz w:val="23"/>
                <w:szCs w:val="23"/>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r>
      <w:tr>
        <w:trPr>
          <w:trHeight w:val="257"/>
        </w:trPr>
        <w:tc>
          <w:tcPr>
            <w:tcW w:w="1840" w:type="dxa"/>
            <w:vAlign w:val="bottom"/>
          </w:tcPr>
          <w:p>
            <w:pPr>
              <w:spacing w:after="0"/>
              <w:rPr>
                <w:sz w:val="22"/>
                <w:szCs w:val="22"/>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w:t>
            </w:r>
          </w:p>
        </w:tc>
      </w:tr>
      <w:tr>
        <w:trPr>
          <w:trHeight w:val="20"/>
        </w:trPr>
        <w:tc>
          <w:tcPr>
            <w:tcW w:w="1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and have the ability to hold these investments to maturity; therefore, these investments are reported at amortized cost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value inventories at the lower of cost (first-in, first-out) or market. We recorded inventory obsolescence reserves of approximately $364,000 and $281,000 as of July 31, 2013 and 2012, respectively. The composition of inventories was as follows as of July 31 (in thousands):</w:t>
      </w:r>
    </w:p>
    <w:p>
      <w:pPr>
        <w:spacing w:after="0" w:line="112"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3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12,112</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3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4,608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20,723</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4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amortize most of our intangible assets on a straight-line basis over periods ranging from seven to 17 years. We have some intangible assets that were determined to have indefinite lives and are not amortized. We periodically review intangibles and goodwill to assess recoverability from projected discounted cash flows of the related operating entities. Our review is based on discounted cash flow and other approaches that require significant judgment with respect to volume, revenue, expense growth rates and the selection of an appropriate discount rate. Impairment occurs when the carrying value exceeds the fair value. Our impairment analysis is performed in the first quarter of the fiscal year and when indicators such as unexpected adverse economic factors, unanticipated technological changes, competitive activities and acts by governments and courts indicate that an asset may become impaired.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2500" w:type="dxa"/>
        <w:tblCellMar>
          <w:top w:w="0" w:type="dxa"/>
          <w:left w:w="0" w:type="dxa"/>
          <w:bottom w:w="0" w:type="dxa"/>
          <w:right w:w="0" w:type="dxa"/>
        </w:tblCellMar>
      </w:tblPr>
      <w:tr>
        <w:trPr>
          <w:trHeight w:val="270"/>
        </w:trPr>
        <w:tc>
          <w:tcPr>
            <w:tcW w:w="298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94"/>
              </w:rPr>
              <w:t>2014</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r>
      <w:tr>
        <w:trPr>
          <w:trHeight w:val="243"/>
        </w:trPr>
        <w:tc>
          <w:tcPr>
            <w:tcW w:w="2980" w:type="dxa"/>
            <w:vAlign w:val="bottom"/>
          </w:tcPr>
          <w:p>
            <w:pPr>
              <w:jc w:val="right"/>
              <w:ind w:right="2490"/>
              <w:spacing w:after="0"/>
              <w:rPr>
                <w:sz w:val="20"/>
                <w:szCs w:val="20"/>
                <w:color w:val="auto"/>
              </w:rPr>
            </w:pPr>
            <w:r>
              <w:rPr>
                <w:rFonts w:ascii="Arial" w:cs="Arial" w:eastAsia="Arial" w:hAnsi="Arial"/>
                <w:sz w:val="18"/>
                <w:szCs w:val="18"/>
                <w:color w:val="auto"/>
                <w:w w:val="94"/>
              </w:rPr>
              <w:t>2015</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248</w:t>
            </w:r>
          </w:p>
        </w:tc>
      </w:tr>
      <w:tr>
        <w:trPr>
          <w:trHeight w:val="27"/>
        </w:trPr>
        <w:tc>
          <w:tcPr>
            <w:tcW w:w="29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jc w:val="right"/>
              <w:ind w:right="2490"/>
              <w:spacing w:after="0"/>
              <w:rPr>
                <w:sz w:val="20"/>
                <w:szCs w:val="20"/>
                <w:color w:val="auto"/>
              </w:rPr>
            </w:pPr>
            <w:r>
              <w:rPr>
                <w:rFonts w:ascii="Arial" w:cs="Arial" w:eastAsia="Arial" w:hAnsi="Arial"/>
                <w:sz w:val="18"/>
                <w:szCs w:val="18"/>
                <w:color w:val="auto"/>
                <w:w w:val="94"/>
              </w:rPr>
              <w:t>2016</w:t>
            </w:r>
          </w:p>
        </w:tc>
        <w:tc>
          <w:tcPr>
            <w:tcW w:w="2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r>
      <w:tr>
        <w:trPr>
          <w:trHeight w:val="243"/>
        </w:trPr>
        <w:tc>
          <w:tcPr>
            <w:tcW w:w="2980" w:type="dxa"/>
            <w:vAlign w:val="bottom"/>
          </w:tcPr>
          <w:p>
            <w:pPr>
              <w:jc w:val="right"/>
              <w:ind w:right="2490"/>
              <w:spacing w:after="0"/>
              <w:rPr>
                <w:sz w:val="20"/>
                <w:szCs w:val="20"/>
                <w:color w:val="auto"/>
              </w:rPr>
            </w:pPr>
            <w:r>
              <w:rPr>
                <w:rFonts w:ascii="Arial" w:cs="Arial" w:eastAsia="Arial" w:hAnsi="Arial"/>
                <w:sz w:val="18"/>
                <w:szCs w:val="18"/>
                <w:color w:val="auto"/>
                <w:w w:val="94"/>
              </w:rPr>
              <w:t>2017</w:t>
            </w: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7"/>
        </w:trPr>
        <w:tc>
          <w:tcPr>
            <w:tcW w:w="29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298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94"/>
              </w:rPr>
              <w:t>2018</w:t>
            </w: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27"/>
        </w:trPr>
        <w:tc>
          <w:tcPr>
            <w:tcW w:w="29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$2,187,000, $2,031,000, and $2,045,000 for the fiscal years ended July 31, 2013, 2012 and 2011, respectively. We defer and amortize the pre-production overburden removal costs associated with opening a new mine. No pre-production overburden removal costs were deferred in the last two fiscal years.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The amount of land and mineral rights included in land on the Consolidated Balance Sheets were approximately $13,000,000 and $2,165,000, respectively, as of both July 31, 2013 and 2012. Pre-production development costs on new mines and any prepaid royalties that may be offset against future royalties due upon extraction of the mineral are also capitalized. Prepaid royalties included in prepaid expenses and other assets on the Consolidated Balance Sheets were approximately $1,059,000 and $1,147,000 as of July 31, 2013 and 2012, respectively. No capitalized pre-production development costs were recorded in the last two fiscal years. All exploration related costs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activities.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1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200" w:type="dxa"/>
        <w:tblCellMar>
          <w:top w:w="0" w:type="dxa"/>
          <w:left w:w="0" w:type="dxa"/>
          <w:bottom w:w="0" w:type="dxa"/>
          <w:right w:w="0" w:type="dxa"/>
        </w:tblCellMar>
      </w:tblPr>
      <w:tr>
        <w:trPr>
          <w:trHeight w:val="264"/>
        </w:trPr>
        <w:tc>
          <w:tcPr>
            <w:tcW w:w="5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5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4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Packaging</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Mining and Other</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Office furniture, computers and equipment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5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reviewed for possible impairment on an annual basis.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with trade spending patterns and that of the industry, current trends and forecast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Advertising expenses were approximately $7,975,000, $10,846,000, and $3,220,000 for the years ended July 31, 2013, 2012 and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Advertising expenses increased in fiscal 2012 for our Cat's Pride Fresh &amp; Light products, which were introduced in the fourth quarter of fiscal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short-term investments, cash surrender value of life insurance policies and notes payable. These instruments, except for notes payable, were carried at amounts approximating fair value as of July 31, 2013 and 2012. The short-term investments included U.S. Treasury securities and certificates of deposit. We intend and have the ability to hold our short-term investments to maturity; therefore, these investments were reported at amortized cost, which was approximately equal to fair value. See Note 5 of the Notes to the Consolidated Financial Statements for additional information regarding the fair value of notes payable, as well as assets and liabilities recorded at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revenue when risk of loss and title are transferred under the terms of our sales agreements with customers. An invoice is generated at the time of shipment based on a fixed and determinable price. Sales returns and allowances are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 SALES</w:t>
      </w:r>
    </w:p>
    <w:p>
      <w:pPr>
        <w:spacing w:after="0" w:line="24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Cost of sales includes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$45,002,000, $42,095,000 and $39,763,000 for the fiscal years ended July 31, 2013,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$2,620,000, $2,006,000 and $1,933,000 were charged to expense as incurred for the fiscal years ended July 31, 2013,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9 of the Notes to the Consolidated Financial Statements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8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addition to existing valuation allowances, we provide for uncertain tax positions when such tax positions do not meet the recognition thresholds or measurement standards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For our annual goodwill impairment test performed during the first quarter of fiscal 2013, we considered the FASB guidance issued under ASC 350 </w:t>
      </w:r>
      <w:r>
        <w:rPr>
          <w:rFonts w:ascii="Arial" w:cs="Arial" w:eastAsia="Arial" w:hAnsi="Arial"/>
          <w:sz w:val="16"/>
          <w:szCs w:val="16"/>
          <w:i w:val="1"/>
          <w:iCs w:val="1"/>
          <w:color w:val="auto"/>
        </w:rPr>
        <w:t xml:space="preserve">Intangibles-Goodwill and Other: Testing Goodwill for Impairment, </w:t>
      </w:r>
      <w:r>
        <w:rPr>
          <w:rFonts w:ascii="Arial" w:cs="Arial" w:eastAsia="Arial" w:hAnsi="Arial"/>
          <w:sz w:val="16"/>
          <w:szCs w:val="16"/>
          <w:color w:val="auto"/>
        </w:rPr>
        <w:t>which provides the option to first assess qualitative factors to determine if the annual two-step test of goodwill for impairment must be performed</w:t>
      </w:r>
      <w:r>
        <w:rPr>
          <w:rFonts w:ascii="Arial" w:cs="Arial" w:eastAsia="Arial" w:hAnsi="Arial"/>
          <w:sz w:val="16"/>
          <w:szCs w:val="16"/>
          <w:i w:val="1"/>
          <w:iCs w:val="1"/>
          <w:color w:val="auto"/>
        </w:rPr>
        <w:t>.</w:t>
      </w:r>
      <w:r>
        <w:rPr>
          <w:rFonts w:ascii="Arial" w:cs="Arial" w:eastAsia="Arial" w:hAnsi="Arial"/>
          <w:sz w:val="16"/>
          <w:szCs w:val="16"/>
          <w:color w:val="auto"/>
        </w:rPr>
        <w:t xml:space="preserve"> We did not elect to perform a qualitative assessment and continued to perform the two-step test to measure potential goodwill impairment. There was no impact on our Consolidated Financial Statements as a result of this new guidance.</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the first quarter of fiscal 2013, we adopted the FASB guidance issued under ASC 220 </w:t>
      </w:r>
      <w:r>
        <w:rPr>
          <w:rFonts w:ascii="Arial" w:cs="Arial" w:eastAsia="Arial" w:hAnsi="Arial"/>
          <w:sz w:val="17"/>
          <w:szCs w:val="17"/>
          <w:i w:val="1"/>
          <w:iCs w:val="1"/>
          <w:color w:val="auto"/>
        </w:rPr>
        <w:t>Comprehensive Income: Presentation of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w:t>
      </w:r>
      <w:r>
        <w:rPr>
          <w:rFonts w:ascii="Arial" w:cs="Arial" w:eastAsia="Arial" w:hAnsi="Arial"/>
          <w:sz w:val="17"/>
          <w:szCs w:val="17"/>
          <w:color w:val="auto"/>
        </w:rPr>
        <w:t>This guidance requires presentation of the components of net income and other comprehensive income either in one continuous statement, referred to</w:t>
      </w:r>
      <w:r>
        <w:rPr>
          <w:rFonts w:ascii="Arial" w:cs="Arial" w:eastAsia="Arial" w:hAnsi="Arial"/>
          <w:sz w:val="17"/>
          <w:szCs w:val="17"/>
          <w:i w:val="1"/>
          <w:iCs w:val="1"/>
          <w:color w:val="auto"/>
        </w:rPr>
        <w:t xml:space="preserve"> </w:t>
      </w:r>
      <w:r>
        <w:rPr>
          <w:rFonts w:ascii="Arial" w:cs="Arial" w:eastAsia="Arial" w:hAnsi="Arial"/>
          <w:sz w:val="17"/>
          <w:szCs w:val="17"/>
          <w:color w:val="auto"/>
        </w:rPr>
        <w:t>as the Statement of Comprehensive Income, or in two separate consecutive statements. The requirements eliminate the current option to report other comprehensive income and its components in the Statement of Stockholders' Equity. In accordance with the new requirements, and consistent with our past practice for our Quarterly Reports on Form 10-Q, we elected to present the components of net income and other comprehensive income in two separate consecutive statements. The components recognized in net income or other comprehensive income did not change and there was no impact on our Consolidated Financial Statements as a result of adopting this new guidance.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July 2012, the FASB issued guidance under ASC 350 </w:t>
      </w:r>
      <w:r>
        <w:rPr>
          <w:rFonts w:ascii="Arial" w:cs="Arial" w:eastAsia="Arial" w:hAnsi="Arial"/>
          <w:sz w:val="17"/>
          <w:szCs w:val="17"/>
          <w:i w:val="1"/>
          <w:iCs w:val="1"/>
          <w:color w:val="auto"/>
        </w:rPr>
        <w:t>Intangibles-Goodwill and Other: Testing Indefinite-Lived Intangible Assets for Impairment,</w:t>
      </w:r>
      <w:r>
        <w:rPr>
          <w:rFonts w:ascii="Arial" w:cs="Arial" w:eastAsia="Arial" w:hAnsi="Arial"/>
          <w:sz w:val="17"/>
          <w:szCs w:val="17"/>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more likely than not that the indefinite-lived intangible asset's fair value is more than its carrying amount, then it is not necessary to perform the quantitative impairment test. However, if an entity concludes otherwise, then the quantitative impairment test must also be performed to identify and measure any potential impairment amount. We will consider the option provided in this guidance for our annual indefinite-lived asset impairment testing for our fiscal year 2014 beginning August 1, 2013.</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February 2013, the FASB issued guidance under ASC 220 </w:t>
      </w:r>
      <w:r>
        <w:rPr>
          <w:rFonts w:ascii="Arial" w:cs="Arial" w:eastAsia="Arial" w:hAnsi="Arial"/>
          <w:sz w:val="17"/>
          <w:szCs w:val="17"/>
          <w:i w:val="1"/>
          <w:iCs w:val="1"/>
          <w:color w:val="auto"/>
        </w:rPr>
        <w:t>Comprehensive Income: 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that requires presentation by the respective line items of net income, either on the face of the statement where net income is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or in the notes, information about significant amounts required under U.S. GAAP to be reclassified out of accumulated other comprehensive income in their entirety. For amounts not required to be reclassified in their entirety to net income, an entity is required to cross-reference to other disclosures that provide additional details about those amounts. These presentation requirements will be effective for our Quarterly Report on Form 10-Q for the quarter ending October 31, 2013 and will not have a significant impact on our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SPECIAL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Capacity Rationalization Charges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fiscal 2012 we announced the planned relocation of production of our industrial floor absorbent and cat litter products from our facility located in Mounds, Illinois, to our plants located in Mississippi. This decision was made due to the continued decline in the coarse cat litter market and after a comprehensive evaluation of our manufacturing operations and cost structure, including state regulatory requirements.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pre-tax employee-related costs of $70,000 (net of an adjustment to reduce the reserve estimate) during fiscal 2013 related to the production relocation. We incurred a pre-tax asset write-off of $1,187,000 and severance and other employee-related costs of $436,000 during fiscal 2012. These costs are shown as “Capacity Rationalization Charges” on the Consolidated Statements of Operations. Allocation of these expenses between operating segments is impracticable due to the shared nature of our production facilities. No additional material expense is expected to be incurred related to the capacity rationalization.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Following is a rollforward of the reserve included in Other Accrued Expenses on the Consolidated Balance Sheets as of July 31, 2013 and 2012 (in thousands).</w:t>
      </w:r>
    </w:p>
    <w:p>
      <w:pPr>
        <w:spacing w:after="0" w:line="329"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Severance and other</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employee related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Asset write-off</w:t>
            </w: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costs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Charges recognized in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Charges against reserve</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balance at July 31, 2012</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Charges against reserve</w:t>
            </w:r>
          </w:p>
        </w:tc>
        <w:tc>
          <w:tcPr>
            <w:tcW w:w="2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Reserve balance at July 31, 2013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OPERATING SEGMENTS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two reportable operating segments derived from the different characteristics of our major customer groups: Retail and Wholesale Products Group and Business to Business Products Group. Net sales and operating income for each segment are provided below. Revenues by product line are not provided because it would be impracticable to do so. The accounting policies of the segments are the same as those described in the Note 1 of the Notes to the Consolidated Financial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53,721</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76,376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79,658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81,049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53,462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50,359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51,709</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183,559</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174,267</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9"/>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Year Ended July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92,969</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85,456</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74,479</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30,739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28,643</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19,504</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157,614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155,225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152,276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10,561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10,439</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250,583</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240,681</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226,755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(22,359)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Capacity Rationalization Charges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(1,372)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17,499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68" w:right="239" w:bottom="1440" w:gutter="0" w:footer="0" w:header="0"/>
          <w:type w:val="continuous"/>
        </w:sectPr>
      </w:pPr>
    </w:p>
    <w:bookmarkStart w:id="48" w:name="page49"/>
    <w:bookmarkEnd w:id="48"/>
    <w:p>
      <w:pPr>
        <w:ind w:left="660"/>
        <w:spacing w:after="0"/>
        <w:rPr>
          <w:sz w:val="20"/>
          <w:szCs w:val="20"/>
          <w:color w:val="auto"/>
        </w:rPr>
      </w:pPr>
      <w:r>
        <w:rPr>
          <w:rFonts w:ascii="Arial" w:cs="Arial" w:eastAsia="Arial" w:hAnsi="Arial"/>
          <w:sz w:val="18"/>
          <w:szCs w:val="18"/>
          <w:color w:val="auto"/>
        </w:rPr>
        <w:t>The following is a summary of financial information by geographic region for the years ended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180"/>
              <w:spacing w:after="0"/>
              <w:rPr>
                <w:sz w:val="20"/>
                <w:szCs w:val="20"/>
                <w:color w:val="auto"/>
              </w:rPr>
            </w:pPr>
            <w:r>
              <w:rPr>
                <w:rFonts w:ascii="Arial" w:cs="Arial" w:eastAsia="Arial" w:hAnsi="Arial"/>
                <w:sz w:val="18"/>
                <w:szCs w:val="18"/>
                <w:color w:val="auto"/>
              </w:rPr>
              <w:t>Sales to unaffiliated customers by:</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238,655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229,382</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214,239</w:t>
            </w: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11,928</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11,299</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or transfers between geographic areas: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62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4,624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4,440</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17,744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9,382</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14,762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6,974</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(876)</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66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175,261</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165,565</w:t>
            </w:r>
          </w:p>
        </w:tc>
        <w:tc>
          <w:tcPr>
            <w:tcW w:w="3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163,696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subsidiaries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8,298</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8,702</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largest customer accounted for the following percentage of consolidated net sales and net accounts receivable: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for the years ended July 31</w:t>
            </w:r>
          </w:p>
        </w:tc>
        <w:tc>
          <w:tcPr>
            <w:tcW w:w="1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accounts receivable as of July 31</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0" w:type="dxa"/>
            <w:vAlign w:val="bottom"/>
          </w:tcPr>
          <w:p>
            <w:pPr>
              <w:spacing w:after="0"/>
              <w:rPr>
                <w:sz w:val="1"/>
                <w:szCs w:val="1"/>
                <w:color w:val="auto"/>
              </w:rPr>
            </w:pPr>
          </w:p>
        </w:tc>
      </w:tr>
      <w:tr>
        <w:trPr>
          <w:trHeight w:val="459"/>
        </w:trPr>
        <w:tc>
          <w:tcPr>
            <w:tcW w:w="7320" w:type="dxa"/>
            <w:vAlign w:val="bottom"/>
          </w:tcPr>
          <w:p>
            <w:pPr>
              <w:spacing w:after="0"/>
              <w:rPr>
                <w:sz w:val="20"/>
                <w:szCs w:val="20"/>
                <w:color w:val="auto"/>
              </w:rPr>
            </w:pPr>
            <w:r>
              <w:rPr>
                <w:rFonts w:ascii="Arial" w:cs="Arial" w:eastAsia="Arial" w:hAnsi="Arial"/>
                <w:sz w:val="18"/>
                <w:szCs w:val="18"/>
                <w:b w:val="1"/>
                <w:bCs w:val="1"/>
                <w:color w:val="auto"/>
              </w:rPr>
              <w:t>NOTE 4 – NOTES PAYABLE</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Prudential Insurance Company of America, Prudential Retirement Insurance and Annuity Company, Forethought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Insurance Company, Physicians Mutual Insurance Company and BCBSM, Inc.</w:t>
            </w: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380"/>
              <w:spacing w:after="0"/>
              <w:rPr>
                <w:sz w:val="20"/>
                <w:szCs w:val="20"/>
                <w:color w:val="auto"/>
              </w:rPr>
            </w:pPr>
            <w:r>
              <w:rPr>
                <w:rFonts w:ascii="Arial" w:cs="Arial" w:eastAsia="Arial" w:hAnsi="Arial"/>
                <w:sz w:val="18"/>
                <w:szCs w:val="18"/>
                <w:color w:val="auto"/>
                <w:w w:val="94"/>
              </w:rPr>
              <w:t>Payable in annual principal installments on August 1: $3,083 in each fiscal year 2016 through 2021. Interest</w:t>
            </w: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18,500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is payable semiannually at an annual rate of 3.96%</w:t>
            </w:r>
          </w:p>
        </w:tc>
        <w:tc>
          <w:tcPr>
            <w:tcW w:w="116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Prudential Financial</w:t>
            </w: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380"/>
              <w:spacing w:after="0"/>
              <w:rPr>
                <w:sz w:val="20"/>
                <w:szCs w:val="20"/>
                <w:color w:val="auto"/>
              </w:rPr>
            </w:pPr>
            <w:r>
              <w:rPr>
                <w:rFonts w:ascii="Arial" w:cs="Arial" w:eastAsia="Arial" w:hAnsi="Arial"/>
                <w:sz w:val="18"/>
                <w:szCs w:val="18"/>
                <w:color w:val="auto"/>
                <w:w w:val="97"/>
              </w:rPr>
              <w:t>Payable in annual principal installments on April 15. Interest is payable semiannually at an annual rate of</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6.55%</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The Prudential Insurance Company of America and Prudential Retirement Insurance and Annuity Company</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340"/>
              <w:spacing w:after="0"/>
              <w:rPr>
                <w:sz w:val="20"/>
                <w:szCs w:val="20"/>
                <w:color w:val="auto"/>
              </w:rPr>
            </w:pPr>
            <w:r>
              <w:rPr>
                <w:rFonts w:ascii="Arial" w:cs="Arial" w:eastAsia="Arial" w:hAnsi="Arial"/>
                <w:sz w:val="18"/>
                <w:szCs w:val="18"/>
                <w:color w:val="auto"/>
                <w:w w:val="96"/>
              </w:rPr>
              <w:t>Payable in annual principal installments on October 15: $3,500 in fiscal 2014 and 2015; and $400 in fiscal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7,400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2016. Interest is payable semiannually at an annual rate of 5.89%</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notes payable</w:t>
            </w: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25,900</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Less current maturities of notes payable</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notes payable</w:t>
            </w:r>
          </w:p>
        </w:tc>
        <w:tc>
          <w:tcPr>
            <w:tcW w:w="1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22,400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15, 2013 we made the final payment on the $25,000,000 Note Purchase Agreement with Prudential Financial.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$18,500,000 of senior promissory notes to The Prudential Insurance Company of America, Prudential Retirement Insurance and Annuity Company, Forethought Life Insurance Company, Physicians Mutual Insurance Company and BCBSM, Inc. dba Blue Cross and Blue Shield of Minnesota pursuant to a Note Agreement dated November 12, 2010. The notes bear interest at 3.96% per annum and mature on August 1, 2020. The proceeds of the sale may be used to fund future principal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jc w:val="both"/>
        <w:spacing w:after="0" w:line="291" w:lineRule="auto"/>
        <w:rPr>
          <w:sz w:val="20"/>
          <w:szCs w:val="20"/>
          <w:color w:val="auto"/>
        </w:rPr>
      </w:pPr>
      <w:r>
        <w:rPr>
          <w:rFonts w:ascii="Arial" w:cs="Arial" w:eastAsia="Arial" w:hAnsi="Arial"/>
          <w:sz w:val="16"/>
          <w:szCs w:val="16"/>
          <w:color w:val="auto"/>
        </w:rPr>
        <w:t>payments of our debt, acquisitions, stock repurchases, capital expenditures and for working capital purposes. The note agreement contains certain covenants that restrict our ability and the ability of certain of our subsidiaries to, among other things, (i) incur liens, (ii) incur indebtedness, (iii) merge or consolidate,</w:t>
      </w: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sell assets, (v) sell stock of those certain subsidiaries, (vi) engage in business that would change the general nature of the business we are engaged in, and</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other than on “arm's length” terms with affiliates.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sold at face value $15,000,000 in senior promissory notes to The Prudential Insurance Company of America and to Prudential Retirement Insurance and Annuity Company pursuant to a Note Agreement dated December 16, 2005. The notes bear interest at 5.89% per annum and mature on October 15, 2015. The proceeds of the sale may be used to fund future principal payments on debt, acquisitions, stock repurchases, and capital expenditures and for working capital purposes. The note agreement contains certain covenants that restrict our ability to, among other things, incur additional indebtedness, dispose of assets and merge or consolidate. The note agreement also requires a minimum fixed coverage ratio and a minimum consolidated net worth to be maintained.</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21, 2011, we signed a second amendment to extend our $15,000,000 unsecured revolving credit agreement with BMO Harris. The second amendment extends the credit agreement until December 31, 2014. The credit agreement with BMO Harris provides that we may select a variable rate based on either BMO Harris’ prime rate or a LIBOR-based rate, plus a margin which varies depending on our debt to earnings ratio, or a fixed rate as agreed between us and BMO Harris. At July 31, 2013, the variable rates would have been 3.25% for the BMO Harris’ prime-based rate or 1.93%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On June 21, 2012, we signed a third amendment to the credit agreement which also allows us to obtain foreign letters of credit when necessary. As of July 31, 2013 and 2012, there were no outstanding borrowings under this credit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promissory notes to The Prudential Insurance Company of America and Prudential Retirement Insurance and Annuity Company. In addition, our credit agreement with BMO Harris indirectly restricts dividends by requiring us to maintain consolidated net worth, as defined, of about $56,760,000 plus 25% of cumulative quarterly earnings from January 31, 2006.</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restrictive covenants and limitations at July 31,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maturities of notes payable as of July 31, 2013 (in thousands):</w:t>
      </w:r>
    </w:p>
    <w:p>
      <w:pPr>
        <w:spacing w:after="0" w:line="158" w:lineRule="exact"/>
        <w:rPr>
          <w:sz w:val="20"/>
          <w:szCs w:val="20"/>
          <w:color w:val="auto"/>
        </w:rPr>
      </w:pPr>
    </w:p>
    <w:tbl>
      <w:tblPr>
        <w:tblLayout w:type="fixed"/>
        <w:tblInd w:w="2200" w:type="dxa"/>
        <w:tblCellMar>
          <w:top w:w="0" w:type="dxa"/>
          <w:left w:w="0" w:type="dxa"/>
          <w:bottom w:w="0" w:type="dxa"/>
          <w:right w:w="0" w:type="dxa"/>
        </w:tblCellMar>
      </w:tblP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3,483</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3,083</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9,251</w:t>
            </w:r>
          </w:p>
        </w:tc>
      </w:tr>
      <w:tr>
        <w:trPr>
          <w:trHeight w:val="27"/>
        </w:trPr>
        <w:tc>
          <w:tcPr>
            <w:tcW w:w="5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25,900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ind w:left="40"/>
        <w:spacing w:after="0"/>
        <w:tabs>
          <w:tab w:leader="none" w:pos="11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640" w:hanging="443"/>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640" w:hanging="443"/>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640" w:hanging="443"/>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1200" w:right="20" w:hanging="1161"/>
        <w:spacing w:after="0" w:line="264" w:lineRule="auto"/>
        <w:tabs>
          <w:tab w:leader="none" w:pos="11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our financial assets and liabilities that were reported at fair value by level within the fair value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Fair Value at July 31, 2013</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Level 1</w:t>
            </w: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Marketable equity securities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surrender value of life insurance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These cash instruments are primarily money market mutual funds.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Marketable equity securities were valued using quoted market prices in active markets and as such are classified as Level 1 in the fair value hierarchy. These securities represent stock we own in one publicly traded company and are included in other noncurrent assets on the Consolidated Balance Sheets.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July 31, 2013. The cash surrender value of life insurance is included in other assets on the Consolidated Balance Sheets.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Short-term investments on the Consolidated Balance Sheets includes U.S. Treasury securities and certificates of deposit. We intend and have the ability to hold our short-term investments to maturity; therefore, these investments were reported at amortized cost on the Consolidated Balance Sheets, which approximated fair value as of July 31, 2013 and 2012, and these balances are excluded from the above table.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July 31, 2013 and 2012 due to the short maturity and nature of those balances; therefore, these balances are excluded from the above table.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and are excluded from the above table. The estimated fair value of notes payable was approximately $27,514,000 as of July 31, 2013 and $31,749,000 as of July 31, 2012. Our debt does not trade on a daily basis in an active market, therefore the fair value of notes payable was estimated based on market observable borrowing rates currently available for debt with similar terms and average maturities and is classified as Level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short-term investments and accounts receivable. We place our investments in government-backed instruments and with other high quality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30"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institutions.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 however, we require letters of credit for some foreign customers or we purchase insurance to reduce our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(benefit) consists of the following at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5,446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578</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Current Income Tax Total</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6,043</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(2,984)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2,038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Total</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(3,130)</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2,322</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2,913</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2,263</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reasons for variations between the statutory federal rate and the effective rates were as follows for the years ended July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7"/>
        </w:trPr>
        <w:tc>
          <w:tcPr>
            <w:tcW w:w="7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rate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34.0 %</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Depletion deductions allowed for mining</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(9.7)</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(8.7)</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expense, net of federal tax expense</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Foreign tax restructuring</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0.8</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in effective tax rate of foreign subsidiaries</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Empowerment zone credits</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(decrease) increase</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7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Effective income tax rate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0"/>
        </w:trPr>
        <w:tc>
          <w:tcPr>
            <w:tcW w:w="7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utilized approximately $1,369,000 of our domestic AMT credit carryforwards in fiscal 2013 based on the amount and composition of our taxable earnings. We correspondingly reduced the related valuation allowance that had been established in prior years for the full amount of the deferred tax benefit related to the AMT credits, thereby significantly reducing our effective income tax rate for fiscal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9"/>
              </w:rPr>
              <w:t>2013</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2012</w:t>
            </w: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Assets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6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6,868</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10,622</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marketing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Reclamation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assets – foreign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(4,699)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13,886</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7,736</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11,447</w:t>
            </w:r>
          </w:p>
        </w:tc>
      </w:tr>
      <w:tr>
        <w:trPr>
          <w:trHeight w:val="20"/>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July 31, 2013, we had a total of approximately $4,699,000 for AMT credit and foreign net operating loss carryforwards, which can be carried forward indefinitely or until utilized. A number of factors determine whether or not we will be able to utilize these tax attributes. For example, certain factors, such as depletion and the cost of fuel used in our manufacturing process have a significant impact on our ability to use the deferred tax benefit related to our AMT credit carryforwards. In determining whether a valuation allowance is warranted, we take into account such factors as prior earnings history, expected future earnings and other factors that could affect the realization of deferred tax assets. We believe it is more likely than not that we will not realize a benefit from the carryforwards; therefore, a valuation allowance has been established for the full amount of the deferred tax benefit related to the AMT credits and the foreign net operating loss.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provided for income taxes related to previously untaxed earnings of foreign subsidiaries during fiscal 2011 and subsequently no additional income tax expense has been incurred related to these foreign subsidiaries.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liability for unrecognized tax benefits (“UTBs”) based on tax positions related to the current and prior fiscal years did not change during fiscal 2013. Reconciliations of the beginning and ending amount of UTBs were as follows for the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Gross balance –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 - tax positions in current year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Gross decreases - tax positions from prior years</w:t>
            </w:r>
          </w:p>
        </w:tc>
        <w:tc>
          <w:tcPr>
            <w:tcW w:w="20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 of UTBs that, if recognized as of July 31, 2013, would affect our effective tax rate was $142,000. We classify interest and penalty accruals related to UTBs as income tax expense. During fiscal 2013, we recognized an immaterial amount of interest and penalties. As of July 31, 2013, we had accrued $14,000 for the payment of interest and penalties.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Our federal income tax returns for the fiscal years ended July 31, 2010, 2011 and 2012 remain open and are currently under examination. Foreign and U.S. state jurisdictions have statutes of limitations generally ranging from three to five years. The state impact of any federal income tax changes remains subject to examination by various states for a period of up to one year after formal notification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to the states. There are no material open or unsettled state, local or foreign income tax audits. We believe our accrual for tax liabilities is adequate for all open audit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at July 31, 2013 and 2012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has no conversion rights and Class A Common Stock has no conversion rights. Class B Stock is convertible on a share-by-share basis into Common Stock at any time and is subject to mandatory conversion under certain circumstances.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 See Note 4 of the Notes to the Consolidated Financial Statements regarding dividend restrictions provided in our debt agreements.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has authorized in the aggregate the repurchase of 3,666,771 shares of the Company stock since fiscal 1991. As of July 31, 2013, 3,012,333 shares of Common Stock and 342,241 shares of Class B Stock have been repurchased under the Board approved repurchase authorizations and 146,545 shares of Common Stock by other transactions authorized by management prior to the adoption of the Board’s repurchase authorizations.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determined the fair value of stock options and restricted stock issued under our long term incentive plans as of the grant date. 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stock options issued under our plans have an exercise price equal to the closing market price of our Common Stock on the date of grant. All options currently outstanding have a term of ten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There are no shares available for future grants under this plan.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2006 Long Term Incentive Plan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stock have been issued under the 2006 Plan as described in the restricted stock section below. As of July 31, 2013, there were 603,000 shares available for future grants under this plan.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directors. Stock options have been granted to our directors with a one year vesting period. There are no shares available for future grants under this plan. All shares of stock issued under the Directors’ Plan were from treasury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(Years)</w:t>
            </w:r>
          </w:p>
        </w:tc>
        <w:tc>
          <w:tcPr>
            <w:tcW w:w="18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July 31, 2010</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Options exercisable at July 31, 2010</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317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3,885</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non-vested at July 31, 2010</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1,720</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July 31, 2011</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Options exercisable at July 31, 2011</w:t>
            </w:r>
          </w:p>
        </w:tc>
        <w:tc>
          <w:tcPr>
            <w:tcW w:w="24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10.94</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non-vested at July 31, 2011</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July 31, 2012</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Options exercisable at July 31, 2012</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147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2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1,473</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non-vested at July 31, 2012</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4740" w:type="dxa"/>
            <w:vAlign w:val="bottom"/>
          </w:tcPr>
          <w:p>
            <w:pPr>
              <w:ind w:left="380"/>
              <w:spacing w:after="0"/>
              <w:rPr>
                <w:sz w:val="20"/>
                <w:szCs w:val="20"/>
                <w:color w:val="auto"/>
              </w:rPr>
            </w:pPr>
            <w:r>
              <w:rPr>
                <w:rFonts w:ascii="Arial" w:cs="Arial" w:eastAsia="Arial" w:hAnsi="Arial"/>
                <w:sz w:val="18"/>
                <w:szCs w:val="18"/>
                <w:b w:val="1"/>
                <w:bCs w:val="1"/>
                <w:color w:val="auto"/>
              </w:rPr>
              <w:t>Exercised</w:t>
            </w:r>
          </w:p>
        </w:tc>
        <w:tc>
          <w:tcPr>
            <w:tcW w:w="1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10.25</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1,385</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July 31, 2013</w:t>
            </w:r>
          </w:p>
        </w:tc>
        <w:tc>
          <w:tcPr>
            <w:tcW w:w="18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Options exercisable at July 31, 2013</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60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14.25</w:t>
            </w:r>
          </w:p>
        </w:tc>
        <w:tc>
          <w:tcPr>
            <w:tcW w:w="2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2.3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1,059</w:t>
            </w: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amount of cash received from the exercise of options during the fiscal year ended July 31, 2013 was approximately $2,271,000 and the related tax benefit was approximately $613,000. The amount of cash received from the exercise of options during the fiscal year ended July 31, 2012 was approximately $866,000 and the related tax benefit was approximately $234,000. The amount of cash received from the exercise of options during the fiscal year ended July 31, 2011 was approximately $2,867,000 and the related tax benefit was approximately $831,000.</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information related to stock options outstanding and exercisable at July 31, 2013. All outstanding stock options were exercisable as of July 31, 2013.</w:t>
      </w:r>
    </w:p>
    <w:p>
      <w:pPr>
        <w:spacing w:after="0" w:line="11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Options Outstanding and Exercisable by Price Range as of 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462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and</w:t>
            </w:r>
          </w:p>
        </w:tc>
        <w:tc>
          <w:tcPr>
            <w:tcW w:w="260" w:type="dxa"/>
            <w:vAlign w:val="bottom"/>
          </w:tcPr>
          <w:p>
            <w:pPr>
              <w:spacing w:after="0"/>
              <w:rPr>
                <w:sz w:val="18"/>
                <w:szCs w:val="18"/>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 (in</w:t>
            </w:r>
          </w:p>
        </w:tc>
        <w:tc>
          <w:tcPr>
            <w:tcW w:w="260" w:type="dxa"/>
            <w:vAlign w:val="bottom"/>
          </w:tcPr>
          <w:p>
            <w:pPr>
              <w:spacing w:after="0"/>
              <w:rPr>
                <w:sz w:val="18"/>
                <w:szCs w:val="18"/>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Remaining Contractual</w:t>
            </w: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Weighted Average</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2740" w:type="dxa"/>
            <w:vAlign w:val="bottom"/>
            <w:gridSpan w:val="5"/>
          </w:tcPr>
          <w:p>
            <w:pPr>
              <w:ind w:left="180"/>
              <w:spacing w:after="0"/>
              <w:rPr>
                <w:sz w:val="20"/>
                <w:szCs w:val="20"/>
                <w:color w:val="auto"/>
              </w:rPr>
            </w:pPr>
            <w:r>
              <w:rPr>
                <w:rFonts w:ascii="Arial" w:cs="Arial" w:eastAsia="Arial" w:hAnsi="Arial"/>
                <w:sz w:val="18"/>
                <w:szCs w:val="18"/>
                <w:b w:val="1"/>
                <w:bCs w:val="1"/>
                <w:color w:val="auto"/>
              </w:rPr>
              <w:t>Range of Exercise Prices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260" w:type="dxa"/>
            <w:vAlign w:val="bottom"/>
          </w:tcPr>
          <w:p>
            <w:pPr>
              <w:spacing w:after="0"/>
              <w:rPr>
                <w:sz w:val="20"/>
                <w:szCs w:val="20"/>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Life (Years)</w:t>
            </w:r>
          </w:p>
        </w:tc>
        <w:tc>
          <w:tcPr>
            <w:tcW w:w="140" w:type="dxa"/>
            <w:vAlign w:val="bottom"/>
          </w:tcPr>
          <w:p>
            <w:pPr>
              <w:spacing w:after="0"/>
              <w:rPr>
                <w:sz w:val="20"/>
                <w:szCs w:val="20"/>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Exercise Price</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10.51</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0.0</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12.01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13.50</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1.3</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13.51</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2.9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15.01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16.50</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2.6</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16.51</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3.3</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57"/>
        </w:trPr>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9.00</w:t>
            </w:r>
          </w:p>
        </w:tc>
        <w:tc>
          <w:tcPr>
            <w:tcW w:w="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2.3</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89"/>
              </w:rPr>
              <w:t>55</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5" w:name="page56"/>
    <w:bookmarkEnd w:id="55"/>
    <w:p>
      <w:pPr>
        <w:jc w:val="both"/>
        <w:ind w:firstLine="648"/>
        <w:spacing w:after="0" w:line="264" w:lineRule="auto"/>
        <w:rPr>
          <w:sz w:val="20"/>
          <w:szCs w:val="20"/>
          <w:color w:val="auto"/>
        </w:rPr>
      </w:pPr>
      <w:r>
        <w:rPr>
          <w:rFonts w:ascii="Arial" w:cs="Arial" w:eastAsia="Arial" w:hAnsi="Arial"/>
          <w:sz w:val="18"/>
          <w:szCs w:val="18"/>
          <w:color w:val="auto"/>
        </w:rPr>
        <w:t>We recognized the related compensation expense over the period from the date of grant to the date when the award is no longer contingent on the employee providing additional service to us. We recognized no stock-based compensation expense related to stock options during fiscal 2013, $4,000 during fiscal 2012 and $10,000 during fiscal 2011, net of related tax effect.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both July 31, 2013 and July 31, 2012, we had no unamortized expense associated with outstanding stock options. As of July 31, 2011, we had total unamortized compensation expense of approximately $4,000. The weighted average period over which this expense was expected to be amortized was 0.3 years as of July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non-vested restricted stock as of July 31, 2013 was issued under the 2006 Plan with vesting periods from two to five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5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34"/>
        </w:trPr>
        <w:tc>
          <w:tcPr>
            <w:tcW w:w="55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37"/>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Non-vested restricted stock outstanding at July 31, 2011</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2,446</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Non-vested restricted stock outstanding at July 31, 2012</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2,214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Granted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Vested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(34)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21.75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Forfeitures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2013</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117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22.24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1,824</w:t>
            </w:r>
          </w:p>
        </w:tc>
      </w:tr>
      <w:tr>
        <w:trPr>
          <w:trHeight w:val="27"/>
        </w:trPr>
        <w:tc>
          <w:tcPr>
            <w:tcW w:w="55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recognized stock-based compensation related to restricted stock of $631,000, $519,000 and $468,000, net of related tax effect, in fiscal 2013,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also provide a postretirement health benefits plan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 We increased the length of service and certain other eligibility requirements for this plan during fiscal 2013.</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a specific number of days of employment. Our contributions to this plan, and to similar plans maintained by our foreign subsidiaries, were $708,000, $673,000 and $714,000 for the fiscal years ended July 31, 2013, 2012 and 2011,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funded status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41,839</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31,142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2,585</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1,544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96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(7,324)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97"/>
        </w:trPr>
        <w:tc>
          <w:tcPr>
            <w:tcW w:w="6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36,866</w:t>
            </w:r>
          </w:p>
        </w:tc>
        <w:tc>
          <w:tcPr>
            <w:tcW w:w="2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41,839</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2,441</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2,585</w:t>
            </w:r>
          </w:p>
        </w:tc>
      </w:tr>
      <w:tr>
        <w:trPr>
          <w:trHeight w:val="311"/>
        </w:trPr>
        <w:tc>
          <w:tcPr>
            <w:tcW w:w="6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20,108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2,514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(944)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22,887</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20,108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(13,979)</w:t>
            </w: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(21,731)</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(2,441)</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benefit obligation for the Pension Plan was $31,841,000 as of July 31, 2013 and $35,255,000 as of July 31,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60"/>
              <w:spacing w:after="0"/>
              <w:rPr>
                <w:sz w:val="20"/>
                <w:szCs w:val="20"/>
                <w:color w:val="auto"/>
              </w:rPr>
            </w:pPr>
            <w:r>
              <w:rPr>
                <w:rFonts w:ascii="Arial" w:cs="Arial" w:eastAsia="Arial" w:hAnsi="Arial"/>
                <w:sz w:val="18"/>
                <w:szCs w:val="18"/>
                <w:b w:val="1"/>
                <w:bCs w:val="1"/>
                <w:color w:val="auto"/>
              </w:rPr>
              <w:t>Pension Benefits</w:t>
            </w:r>
          </w:p>
        </w:tc>
        <w:tc>
          <w:tcPr>
            <w:tcW w:w="260" w:type="dxa"/>
            <w:vAlign w:val="bottom"/>
          </w:tcPr>
          <w:p>
            <w:pPr>
              <w:spacing w:after="0"/>
              <w:rPr>
                <w:sz w:val="20"/>
                <w:szCs w:val="20"/>
                <w:color w:val="auto"/>
              </w:rPr>
            </w:pPr>
          </w:p>
        </w:tc>
        <w:tc>
          <w:tcPr>
            <w:tcW w:w="14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7"/>
              </w:rPr>
              <w:t>Benefits</w:t>
            </w:r>
          </w:p>
        </w:tc>
        <w:tc>
          <w:tcPr>
            <w:tcW w:w="82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48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4,843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–net of tax:</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5,172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obligation at transition</w:t>
            </w: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675"/>
        </w:trPr>
        <w:tc>
          <w:tcPr>
            <w:tcW w:w="4800" w:type="dxa"/>
            <w:vAlign w:val="bottom"/>
          </w:tcPr>
          <w:p>
            <w:pPr>
              <w:spacing w:after="0"/>
              <w:rPr>
                <w:sz w:val="24"/>
                <w:szCs w:val="24"/>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364"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components of the net periodic pension and postretirement health benefit costs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Pension Cost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7"/>
          </w:tcPr>
          <w:p>
            <w:pPr>
              <w:jc w:val="right"/>
              <w:ind w:right="270"/>
              <w:spacing w:after="0"/>
              <w:rPr>
                <w:sz w:val="20"/>
                <w:szCs w:val="20"/>
                <w:color w:val="auto"/>
              </w:rPr>
            </w:pPr>
            <w:r>
              <w:rPr>
                <w:rFonts w:ascii="Arial" w:cs="Arial" w:eastAsia="Arial" w:hAnsi="Arial"/>
                <w:sz w:val="18"/>
                <w:szCs w:val="18"/>
                <w:b w:val="1"/>
                <w:bCs w:val="1"/>
                <w:color w:val="auto"/>
                <w:w w:val="96"/>
              </w:rPr>
              <w:t>Postretirement Health Benefit Cost</w:t>
            </w:r>
          </w:p>
        </w:tc>
      </w:tr>
      <w:tr>
        <w:trPr>
          <w:trHeight w:val="27"/>
        </w:trPr>
        <w:tc>
          <w:tcPr>
            <w:tcW w:w="4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7"/>
        </w:trPr>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w:t>
            </w: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Prior service costs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amounts, net of tax, that are recognized in other comprehensive income for the fiscal years ended July 31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5"/>
              </w:rPr>
              <w:t>Pension Benefits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2012</w:t>
            </w:r>
          </w:p>
        </w:tc>
        <w:tc>
          <w:tcPr>
            <w:tcW w:w="220" w:type="dxa"/>
            <w:vAlign w:val="bottom"/>
          </w:tcPr>
          <w:p>
            <w:pPr>
              <w:spacing w:after="0"/>
              <w:rPr>
                <w:sz w:val="20"/>
                <w:szCs w:val="20"/>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6,246</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Prior service cost establishment due to plan amendments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Amortization of actuarial loss</w:t>
            </w:r>
          </w:p>
        </w:tc>
        <w:tc>
          <w:tcPr>
            <w:tcW w:w="2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7"/>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recognized in other comprehensive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6,041</w:t>
            </w:r>
          </w:p>
        </w:tc>
        <w:tc>
          <w:tcPr>
            <w:tcW w:w="440" w:type="dxa"/>
            <w:vAlign w:val="bottom"/>
            <w:tcBorders>
              <w:bottom w:val="single" w:sz="8" w:color="CCEEFF"/>
            </w:tcBorders>
            <w:gridSpan w:val="3"/>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r>
      <w:tr>
        <w:trPr>
          <w:trHeight w:val="20"/>
        </w:trPr>
        <w:tc>
          <w:tcPr>
            <w:tcW w:w="710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46"/>
        </w:trPr>
        <w:tc>
          <w:tcPr>
            <w:tcW w:w="11420" w:type="dxa"/>
            <w:vAlign w:val="bottom"/>
            <w:gridSpan w:val="16"/>
          </w:tcPr>
          <w:p>
            <w:pPr>
              <w:ind w:left="660"/>
              <w:spacing w:after="0"/>
              <w:rPr>
                <w:sz w:val="20"/>
                <w:szCs w:val="20"/>
                <w:color w:val="auto"/>
              </w:rPr>
            </w:pPr>
            <w:r>
              <w:rPr>
                <w:rFonts w:ascii="Arial" w:cs="Arial" w:eastAsia="Arial" w:hAnsi="Arial"/>
                <w:sz w:val="18"/>
                <w:szCs w:val="18"/>
                <w:color w:val="auto"/>
                <w:w w:val="92"/>
              </w:rPr>
              <w:t>The following table shows amortization amounts, net of tax, expected to be recognized in fiscal 2014 in accumulated other comprehensive income</w:t>
            </w:r>
          </w:p>
        </w:tc>
      </w:tr>
      <w:tr>
        <w:trPr>
          <w:trHeight w:val="257"/>
        </w:trPr>
        <w:tc>
          <w:tcPr>
            <w:tcW w:w="710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373"/>
        </w:trPr>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7"/>
          </w:tcPr>
          <w:p>
            <w:pPr>
              <w:ind w:left="40"/>
              <w:spacing w:after="0"/>
              <w:rPr>
                <w:sz w:val="20"/>
                <w:szCs w:val="20"/>
                <w:color w:val="auto"/>
              </w:rPr>
            </w:pPr>
            <w:r>
              <w:rPr>
                <w:rFonts w:ascii="Arial" w:cs="Arial" w:eastAsia="Arial" w:hAnsi="Arial"/>
                <w:sz w:val="18"/>
                <w:szCs w:val="18"/>
                <w:b w:val="1"/>
                <w:bCs w:val="1"/>
                <w:color w:val="auto"/>
              </w:rPr>
              <w:t>Postretirement Health</w:t>
            </w:r>
          </w:p>
        </w:tc>
      </w:tr>
      <w:tr>
        <w:trPr>
          <w:trHeight w:val="234"/>
        </w:trPr>
        <w:tc>
          <w:tcPr>
            <w:tcW w:w="71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5"/>
              </w:rPr>
              <w:t>Pension Benefits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Benefits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5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obligation at transition</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r>
      <w:tr>
        <w:trPr>
          <w:trHeight w:val="257"/>
        </w:trPr>
        <w:tc>
          <w:tcPr>
            <w:tcW w:w="7100" w:type="dxa"/>
            <w:vAlign w:val="bottom"/>
          </w:tcPr>
          <w:p>
            <w:pPr>
              <w:ind w:left="80"/>
              <w:spacing w:after="0"/>
              <w:rPr>
                <w:sz w:val="20"/>
                <w:szCs w:val="20"/>
                <w:color w:val="auto"/>
              </w:rPr>
            </w:pPr>
            <w:r>
              <w:rPr>
                <w:rFonts w:ascii="Arial" w:cs="Arial" w:eastAsia="Arial" w:hAnsi="Arial"/>
                <w:sz w:val="18"/>
                <w:szCs w:val="18"/>
                <w:b w:val="1"/>
                <w:bCs w:val="1"/>
                <w:color w:val="auto"/>
              </w:rPr>
              <w:t>Total to be recognized as other comprehensive loss</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2"/>
                <w:szCs w:val="22"/>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 We expect to contribute approximately $1,038,000 in fiscal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The following table shows the estimated future benefit payments (in thousands):</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w w:val="91"/>
              </w:rPr>
              <w:t>Pension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5600" w:type="dxa"/>
            <w:vAlign w:val="bottom"/>
          </w:tcPr>
          <w:p>
            <w:pPr>
              <w:spacing w:after="0"/>
              <w:rPr>
                <w:sz w:val="20"/>
                <w:szCs w:val="20"/>
                <w:color w:val="auto"/>
              </w:rPr>
            </w:pPr>
          </w:p>
        </w:tc>
        <w:tc>
          <w:tcPr>
            <w:tcW w:w="1280" w:type="dxa"/>
            <w:vAlign w:val="bottom"/>
          </w:tcPr>
          <w:p>
            <w:pPr>
              <w:ind w:left="600"/>
              <w:spacing w:after="0"/>
              <w:rPr>
                <w:sz w:val="20"/>
                <w:szCs w:val="20"/>
                <w:color w:val="auto"/>
              </w:rPr>
            </w:pPr>
            <w:r>
              <w:rPr>
                <w:rFonts w:ascii="Arial" w:cs="Arial" w:eastAsia="Arial" w:hAnsi="Arial"/>
                <w:sz w:val="18"/>
                <w:szCs w:val="18"/>
                <w:b w:val="1"/>
                <w:bCs w:val="1"/>
                <w:color w:val="auto"/>
                <w:w w:val="92"/>
              </w:rPr>
              <w:t>Benefits</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56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1,123</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2015</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1,180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5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1,211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2017</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1,299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1,421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2019-23</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8,621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Actual results in any given year will often differ from actuarial assumptions because of economic and other factors. The assumptions used in the previous calculations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6540" w:type="dxa"/>
            <w:vAlign w:val="bottom"/>
          </w:tcPr>
          <w:p>
            <w:pPr>
              <w:spacing w:after="0"/>
              <w:rPr>
                <w:sz w:val="20"/>
                <w:szCs w:val="20"/>
                <w:color w:val="auto"/>
              </w:rPr>
            </w:pPr>
          </w:p>
        </w:tc>
        <w:tc>
          <w:tcPr>
            <w:tcW w:w="250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40" w:type="dxa"/>
            <w:vAlign w:val="bottom"/>
          </w:tcPr>
          <w:p>
            <w:pPr>
              <w:spacing w:after="0"/>
              <w:rPr>
                <w:sz w:val="20"/>
                <w:szCs w:val="20"/>
                <w:color w:val="auto"/>
              </w:rPr>
            </w:pPr>
          </w:p>
        </w:tc>
        <w:tc>
          <w:tcPr>
            <w:tcW w:w="154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8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2013</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7"/>
              </w:rPr>
              <w:t>3.75%</w:t>
            </w:r>
          </w:p>
        </w:tc>
        <w:tc>
          <w:tcPr>
            <w:tcW w:w="154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0"/>
              </w:rPr>
              <w:t>5.25%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4.80%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4.80%</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3.75%</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7.50%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discount rate for fiscal 2013 and 2012 was the single equivalent rate that would yield the same present value as the plan’s expected cashflows discounted with spot rates on a yield curve of investment-grade corporate bonds. The yield curve is the Citigroup Pension Liability Index.</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services and investment managers), and long-term inflation assumptions. Our historical actual return averaged approximately 7.9% for the 10-year period ending July 31, 2013. The actual rate of return in fiscal 2013 was approximately 13.7%. Future actual pension expense will depend on future investment performance, changes in future discount rates and various other factors related to the population of participants in our pension plans.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fiscal 2013, the medical cost trend assumption was 8.0% . The graded trend rate is expected to decrease to an ultimate rate of 5.0% in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of a one-percentage point change in the assumed health care cost trend in the fiscal year ended July 31, 2013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538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53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w:t>
            </w:r>
          </w:p>
        </w:tc>
        <w:tc>
          <w:tcPr>
            <w:tcW w:w="22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$(32)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Effect on accumulated postretirement benefit obligation</w:t>
            </w:r>
          </w:p>
        </w:tc>
        <w:tc>
          <w:tcPr>
            <w:tcW w:w="2280" w:type="dxa"/>
            <w:vAlign w:val="bottom"/>
          </w:tcPr>
          <w:p>
            <w:pPr>
              <w:jc w:val="right"/>
              <w:ind w:right="870"/>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1"/>
                <w:szCs w:val="21"/>
                <w:color w:val="auto"/>
              </w:rPr>
            </w:pPr>
          </w:p>
        </w:tc>
        <w:tc>
          <w:tcPr>
            <w:tcW w:w="1980" w:type="dxa"/>
            <w:vAlign w:val="bottom"/>
          </w:tcPr>
          <w:p>
            <w:pPr>
              <w:jc w:val="right"/>
              <w:ind w:right="650"/>
              <w:spacing w:after="0"/>
              <w:rPr>
                <w:sz w:val="20"/>
                <w:szCs w:val="20"/>
                <w:color w:val="auto"/>
              </w:rPr>
            </w:pPr>
            <w:r>
              <w:rPr>
                <w:rFonts w:ascii="Arial" w:cs="Arial" w:eastAsia="Arial" w:hAnsi="Arial"/>
                <w:sz w:val="18"/>
                <w:szCs w:val="18"/>
                <w:color w:val="auto"/>
              </w:rPr>
              <w:t>$(299)</w:t>
            </w:r>
          </w:p>
        </w:tc>
      </w:tr>
      <w:tr>
        <w:trPr>
          <w:trHeight w:val="702"/>
        </w:trPr>
        <w:tc>
          <w:tcPr>
            <w:tcW w:w="5380" w:type="dxa"/>
            <w:vAlign w:val="bottom"/>
          </w:tcPr>
          <w:p>
            <w:pPr>
              <w:spacing w:after="0"/>
              <w:rPr>
                <w:sz w:val="24"/>
                <w:szCs w:val="24"/>
                <w:color w:val="auto"/>
              </w:rPr>
            </w:pPr>
          </w:p>
        </w:tc>
        <w:tc>
          <w:tcPr>
            <w:tcW w:w="2280" w:type="dxa"/>
            <w:vAlign w:val="bottom"/>
          </w:tcPr>
          <w:p>
            <w:pPr>
              <w:jc w:val="right"/>
              <w:ind w:right="177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2014 and the actual allocation as of July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Target fiscal</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7320" w:type="dxa"/>
            <w:vAlign w:val="bottom"/>
          </w:tcPr>
          <w:p>
            <w:pPr>
              <w:ind w:left="2980"/>
              <w:spacing w:after="0"/>
              <w:rPr>
                <w:sz w:val="20"/>
                <w:szCs w:val="20"/>
                <w:color w:val="auto"/>
              </w:rPr>
            </w:pPr>
            <w:r>
              <w:rPr>
                <w:rFonts w:ascii="Arial" w:cs="Arial" w:eastAsia="Arial" w:hAnsi="Arial"/>
                <w:sz w:val="18"/>
                <w:szCs w:val="18"/>
                <w:b w:val="1"/>
                <w:bCs w:val="1"/>
                <w:color w:val="auto"/>
              </w:rPr>
              <w:t>Asset Allocation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3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7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accrued income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3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32%</w:t>
            </w:r>
          </w:p>
        </w:tc>
      </w:tr>
      <w:tr>
        <w:trPr>
          <w:trHeight w:val="27"/>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61%</w:t>
            </w:r>
          </w:p>
        </w:tc>
      </w:tr>
      <w:tr>
        <w:trPr>
          <w:trHeight w:val="27"/>
        </w:trPr>
        <w:tc>
          <w:tcPr>
            <w:tcW w:w="7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by level, within the fair value hierarchy, the Pension Plan's assets carried at fair value as of July 31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b w:val="1"/>
                <w:bCs w:val="1"/>
                <w:color w:val="auto"/>
                <w:w w:val="99"/>
              </w:rPr>
              <w:t>Fair Value At July 31, 2013</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Prices in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 for</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identical</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2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0"/>
        </w:trPr>
        <w:tc>
          <w:tcPr>
            <w:tcW w:w="572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5"/>
                <w:szCs w:val="25"/>
                <w:color w:val="auto"/>
                <w:vertAlign w:val="superscript"/>
              </w:rPr>
              <w:t>(i)</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70"/>
        </w:trPr>
        <w:tc>
          <w:tcPr>
            <w:tcW w:w="572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b w:val="1"/>
                <w:bCs w:val="1"/>
                <w:color w:val="auto"/>
                <w:w w:val="99"/>
              </w:rPr>
              <w:t>Fair Value At July 31, 2012</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Quoted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Prices in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 for</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identical</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2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2)</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20" w:type="dxa"/>
            <w:vAlign w:val="bottom"/>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Pr>
          <w:p>
            <w:pPr>
              <w:ind w:left="34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At July 31, 2013 this class also included exchange traded funds that invest in a portfolio of such stocks.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at least 80% of their assets in stocks of non- U.S. companies that are primarily in developed markets, however the fund allows up to 20% to be invested in emerging markets.</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majority of the investments in this class seek maximum real return by investing primarily in commodity-linked derivative instruments. Assets not invested in commodity-linked instruments may be invested in inflation-indexed securities and other fixed income instruments.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includes bonds of U.S. and non-U.S. issuers from diverse industries.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invests at least 80% of its net assets, plus any borrowing for investment purposes, directly in, or in derivative instruments that provide exposure to, emerging market bonds and other debt instruments denominated in the local currency of issue.</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not backed by the full faith and credit of the United States government.</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invests at least 80% of its net assets in bonds and other fixed income instruments issued by governmental or private-sector entities. More than 50% of its net assets are invested in mortgage-backed securities. The fund may invest up to 33 1/3% of its net assets in high-yield bonds, bank loans and assignments and credit default swaps.</w:t>
      </w:r>
    </w:p>
    <w:p>
      <w:pPr>
        <w:spacing w:after="0" w:line="1"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seek long-term positive returns by employing a number of arbitrage and alternative investment strategies. The portfolio of instruments may include equities, convertible securities, debt securities, warrants, options, swaps, future contracts, forwards or other types of derivative instruments.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2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10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$542,000 and $416,000 into these plans in fiscal years 2013 and 2012, respectively. We recorded $412,000 and $462,000 of interest expense associated with these plans in fiscal years 2013 and 2012, respectively. Payments to participants were $465,000 and $400,000 in fiscal 2013 and 2012, respectively, and the total liability recorded for deferred compensation was $7,813,000 and $7,272,000 at July 31, 2013 and 2012, respectively.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A total of $877,000 and $322,000 were awarded to certain executives for the fiscal years ended July 31, 2013 and July 31, 2012, respectively. These awards will vest and accrue interest over a three-year period.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of the above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Oil-Dri Corporation of America Supplemental Executive Retirement Plan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see Note 9 of the Notes to the Consolidated Financial Statements. The SERP liability recorded at July 31, 2013 was $1,039,000, which was lower than the $1,241,000 liability recorded at July 31, 2012 due primarily to an increase in the discount rate used to actuarially value the obligation at July 31, 2013. As a result of the lower SERP liability, we recorded approximately $202,000 of income for the fiscal year ended July 31, 2013, compared to $698,000 in expense for the fiscal year ended July 31, 2012. The SERP is unfunded and we will fund benefits when payments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CONTINGENCIES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leased or owned property. These leases generally provide us with the right to mine as long as we continue to pay a minimum monthly rental, which is applied against the per ton royalty when the property is mined. We also lease certain offices and production facilities. In addition, we lease vehicles, railcars, mining property and equipment, warehouse space, data processing equipment, and office equipment. In most cases, we expect that, in the normal course of business, leases will be renewed or replaced by other leases.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schedule by year of future minimum rental requirements under operating leases that have initial or remaining non-cancelable lease terms in excess of one year as of July 31, 2013 (in thousands):</w:t>
      </w:r>
    </w:p>
    <w:p>
      <w:pPr>
        <w:spacing w:after="0" w:line="104" w:lineRule="exact"/>
        <w:rPr>
          <w:sz w:val="20"/>
          <w:szCs w:val="20"/>
          <w:color w:val="auto"/>
        </w:rPr>
      </w:pPr>
    </w:p>
    <w:tbl>
      <w:tblPr>
        <w:tblLayout w:type="fixed"/>
        <w:tblInd w:w="2360" w:type="dxa"/>
        <w:tblCellMar>
          <w:top w:w="0" w:type="dxa"/>
          <w:left w:w="0" w:type="dxa"/>
          <w:bottom w:w="0" w:type="dxa"/>
          <w:right w:w="0" w:type="dxa"/>
        </w:tblCellMar>
      </w:tblPr>
      <w:tr>
        <w:trPr>
          <w:trHeight w:val="270"/>
        </w:trPr>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2014</w:t>
            </w:r>
          </w:p>
        </w:tc>
        <w:tc>
          <w:tcPr>
            <w:tcW w:w="3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43"/>
        </w:trPr>
        <w:tc>
          <w:tcPr>
            <w:tcW w:w="2160" w:type="dxa"/>
            <w:vAlign w:val="bottom"/>
          </w:tcPr>
          <w:p>
            <w:pPr>
              <w:ind w:left="260"/>
              <w:spacing w:after="0"/>
              <w:rPr>
                <w:sz w:val="20"/>
                <w:szCs w:val="20"/>
                <w:color w:val="auto"/>
              </w:rPr>
            </w:pPr>
            <w:r>
              <w:rPr>
                <w:rFonts w:ascii="Arial" w:cs="Arial" w:eastAsia="Arial" w:hAnsi="Arial"/>
                <w:sz w:val="18"/>
                <w:szCs w:val="18"/>
                <w:color w:val="auto"/>
              </w:rPr>
              <w:t>2015</w:t>
            </w:r>
          </w:p>
        </w:tc>
        <w:tc>
          <w:tcPr>
            <w:tcW w:w="38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7"/>
        </w:trPr>
        <w:tc>
          <w:tcPr>
            <w:tcW w:w="21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2016</w:t>
            </w:r>
          </w:p>
        </w:tc>
        <w:tc>
          <w:tcPr>
            <w:tcW w:w="3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43"/>
        </w:trPr>
        <w:tc>
          <w:tcPr>
            <w:tcW w:w="2160" w:type="dxa"/>
            <w:vAlign w:val="bottom"/>
          </w:tcPr>
          <w:p>
            <w:pPr>
              <w:ind w:left="260"/>
              <w:spacing w:after="0"/>
              <w:rPr>
                <w:sz w:val="20"/>
                <w:szCs w:val="20"/>
                <w:color w:val="auto"/>
              </w:rPr>
            </w:pPr>
            <w:r>
              <w:rPr>
                <w:rFonts w:ascii="Arial" w:cs="Arial" w:eastAsia="Arial" w:hAnsi="Arial"/>
                <w:sz w:val="18"/>
                <w:szCs w:val="18"/>
                <w:color w:val="auto"/>
              </w:rPr>
              <w:t>2017</w:t>
            </w:r>
          </w:p>
        </w:tc>
        <w:tc>
          <w:tcPr>
            <w:tcW w:w="38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7"/>
        </w:trPr>
        <w:tc>
          <w:tcPr>
            <w:tcW w:w="21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3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43"/>
        </w:trPr>
        <w:tc>
          <w:tcPr>
            <w:tcW w:w="216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38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702"/>
        </w:trPr>
        <w:tc>
          <w:tcPr>
            <w:tcW w:w="2160" w:type="dxa"/>
            <w:vAlign w:val="bottom"/>
          </w:tcPr>
          <w:p>
            <w:pPr>
              <w:spacing w:after="0"/>
              <w:rPr>
                <w:sz w:val="24"/>
                <w:szCs w:val="24"/>
                <w:color w:val="auto"/>
              </w:rPr>
            </w:pPr>
          </w:p>
        </w:tc>
        <w:tc>
          <w:tcPr>
            <w:tcW w:w="3800" w:type="dxa"/>
            <w:vAlign w:val="bottom"/>
          </w:tcPr>
          <w:p>
            <w:pPr>
              <w:jc w:val="right"/>
              <w:ind w:right="2430"/>
              <w:spacing w:after="0"/>
              <w:rPr>
                <w:sz w:val="20"/>
                <w:szCs w:val="20"/>
                <w:color w:val="auto"/>
              </w:rPr>
            </w:pPr>
            <w:r>
              <w:rPr>
                <w:rFonts w:ascii="Arial" w:cs="Arial" w:eastAsia="Arial" w:hAnsi="Arial"/>
                <w:sz w:val="18"/>
                <w:szCs w:val="18"/>
                <w:color w:val="auto"/>
              </w:rPr>
              <w:t>62</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2" w:name="page63"/>
    <w:bookmarkEnd w:id="62"/>
    <w:p>
      <w:pPr>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rental expense for all operating leases, including those with terms of one month or less which were not renewed, for the fiscal years ended July 31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Vehicles and Railcars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1,885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1,574</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Office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Warehouse facilities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Mining properties: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Minimum</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320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Contingent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3,531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Contingent mining royalty payments are determined based on the tons of raw clay mined.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CASH FLOW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payments for interest and income taxes were as follows for the fiscal years ended July 31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34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1,607</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r>
      <w:tr>
        <w:trPr>
          <w:trHeight w:val="243"/>
        </w:trPr>
        <w:tc>
          <w:tcPr>
            <w:tcW w:w="346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4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5,064</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2,501</w:t>
            </w:r>
          </w:p>
        </w:tc>
      </w:tr>
      <w:tr>
        <w:trPr>
          <w:trHeight w:val="702"/>
        </w:trPr>
        <w:tc>
          <w:tcPr>
            <w:tcW w:w="3460" w:type="dxa"/>
            <w:vAlign w:val="bottom"/>
          </w:tcPr>
          <w:p>
            <w:pPr>
              <w:spacing w:after="0"/>
              <w:rPr>
                <w:sz w:val="24"/>
                <w:szCs w:val="24"/>
                <w:color w:val="auto"/>
              </w:rPr>
            </w:pPr>
          </w:p>
        </w:tc>
        <w:tc>
          <w:tcPr>
            <w:tcW w:w="4660" w:type="dxa"/>
            <w:vAlign w:val="bottom"/>
          </w:tcPr>
          <w:p>
            <w:pPr>
              <w:jc w:val="right"/>
              <w:ind w:right="223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NOTE 14 – SELECTED QUARTERLY FINANCIAL DATA (UNAUDITED)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900" w:type="dxa"/>
            <w:vAlign w:val="bottom"/>
            <w:gridSpan w:val="12"/>
          </w:tcPr>
          <w:p>
            <w:pPr>
              <w:ind w:left="660"/>
              <w:spacing w:after="0"/>
              <w:rPr>
                <w:sz w:val="20"/>
                <w:szCs w:val="20"/>
                <w:color w:val="auto"/>
              </w:rPr>
            </w:pPr>
            <w:r>
              <w:rPr>
                <w:rFonts w:ascii="Arial" w:cs="Arial" w:eastAsia="Arial" w:hAnsi="Arial"/>
                <w:sz w:val="18"/>
                <w:szCs w:val="18"/>
                <w:color w:val="auto"/>
                <w:w w:val="92"/>
              </w:rPr>
              <w:t>A summary of selected information for fiscal years 2013 and 2012 is as follows (in thousands, except for per share amounts):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2"/>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ind w:left="120"/>
              <w:spacing w:after="0"/>
              <w:rPr>
                <w:sz w:val="20"/>
                <w:szCs w:val="20"/>
                <w:color w:val="auto"/>
              </w:rPr>
            </w:pPr>
            <w:r>
              <w:rPr>
                <w:rFonts w:ascii="Arial" w:cs="Arial" w:eastAsia="Arial" w:hAnsi="Arial"/>
                <w:sz w:val="18"/>
                <w:szCs w:val="18"/>
                <w:b w:val="1"/>
                <w:bCs w:val="1"/>
                <w:color w:val="auto"/>
              </w:rPr>
              <w:t>Fiscal 2013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October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31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61,417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61,122</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64,152</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63,892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250,583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17,231</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16,108</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66,499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4,452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3,251</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4,737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14,586</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0.1800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0.3600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0.1900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0.7300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0.1350</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0.1425</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0.5475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21.26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20.82</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25.30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594"/>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ind w:left="120"/>
              <w:spacing w:after="0"/>
              <w:rPr>
                <w:sz w:val="20"/>
                <w:szCs w:val="20"/>
                <w:color w:val="auto"/>
              </w:rPr>
            </w:pPr>
            <w:r>
              <w:rPr>
                <w:rFonts w:ascii="Arial" w:cs="Arial" w:eastAsia="Arial" w:hAnsi="Arial"/>
                <w:sz w:val="18"/>
                <w:szCs w:val="18"/>
                <w:b w:val="1"/>
                <w:bCs w:val="1"/>
                <w:color w:val="auto"/>
              </w:rPr>
              <w:t>Fiscal 2012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October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31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0"/>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59,582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60,203</w:t>
            </w:r>
          </w:p>
        </w:tc>
        <w:tc>
          <w:tcPr>
            <w:tcW w:w="2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59,780</w:t>
            </w:r>
          </w:p>
        </w:tc>
        <w:tc>
          <w:tcPr>
            <w:tcW w:w="2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61,116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240,681</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14,203</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15,543</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59,005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3,239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6,098</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0.92</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0.85</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0.1700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0.1700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0.1800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0.6900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0.1275</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0.1350</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0.5175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16.87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18.29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702"/>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60"/>
          </w:cols>
          <w:pgMar w:left="240" w:top="364" w:right="2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Sponsoring Organizations of the Treadway Commission (COSO). Based on our assessment, our management concluded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internal control over financial reporting was effective as of July 31, 2013.</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2013 have been audited by PricewaterhouseCoopers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5" w:name="page66"/>
    <w:bookmarkEnd w:id="6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Oil-Dri Corporation of America:</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Oil-Dri Corporation of America and its subsidiaries at July 31, 2013 and 2012, and the results of their operations and their cash flows for each of the three years in the period ended July 31, 2013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July 31, 2013,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The Company’s management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ind w:firstLine="648"/>
        <w:spacing w:after="0" w:line="34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2013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2013 annual meeting of stockholders under the captions “Executive Compensation,” “Report of the Compensation Committee of the Board of Directors,” “Director Compensation,” “Compensation Committee” and “Compensation Committee Interlocks and Insider Participation” and is incorporated herein by reference.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The information required by this Item is contained in Oil-Dri’s Proxy Statement for its 2013 annual meeting of stockholders under the captions “Principal Stockholders,” “Security Ownership of Management” and “Equity Compensation Plans”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2013 annual meeting of stockholders under the captions “Certain Relationships and Related Party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2013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68" w:name="page69"/>
    <w:bookmarkEnd w:id="68"/>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July 31, 2013 and July 31, 2012.</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fiscal years ended July 31, 2013, July 31, 2012 and July 31, 2011.</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Comprehensive Income for the fiscal years ended July 31, 2013, July 31, 2012 and July 31, 2011.</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Stockholders’ Equity for the fiscal years ended July 31, 2013, July 31, 2012 and July 31, 2011.</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July 31, 2013, July 31, 2012 and July 31, 2011.</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 years ended July 31, 2013, July 31, 2012 and July 31, 2011.</w:t>
      </w:r>
    </w:p>
    <w:p>
      <w:pPr>
        <w:spacing w:after="0" w:line="333"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580" w:right="25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ind w:left="480"/>
              <w:spacing w:after="0"/>
              <w:rPr>
                <w:sz w:val="20"/>
                <w:szCs w:val="20"/>
                <w:color w:val="auto"/>
              </w:rPr>
            </w:pPr>
            <w:r>
              <w:rPr>
                <w:rFonts w:ascii="Arial" w:cs="Arial" w:eastAsia="Arial" w:hAnsi="Arial"/>
                <w:sz w:val="18"/>
                <w:szCs w:val="18"/>
                <w:color w:val="auto"/>
              </w:rPr>
              <w:t>(a)(3)</w:t>
            </w:r>
          </w:p>
        </w:tc>
        <w:tc>
          <w:tcPr>
            <w:tcW w:w="4680" w:type="dxa"/>
            <w:vAlign w:val="bottom"/>
          </w:tcPr>
          <w:p>
            <w:pPr>
              <w:ind w:left="20"/>
              <w:spacing w:after="0"/>
              <w:rPr>
                <w:sz w:val="20"/>
                <w:szCs w:val="20"/>
                <w:color w:val="auto"/>
              </w:rPr>
            </w:pPr>
            <w:r>
              <w:rPr>
                <w:rFonts w:ascii="Arial" w:cs="Arial" w:eastAsia="Arial" w:hAnsi="Arial"/>
                <w:sz w:val="18"/>
                <w:szCs w:val="18"/>
                <w:color w:val="auto"/>
              </w:rPr>
              <w:t>The following documents are exhibits to this Report:</w:t>
            </w:r>
          </w:p>
        </w:tc>
      </w:tr>
      <w:tr>
        <w:trPr>
          <w:trHeight w:val="594"/>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4"/>
                <w:szCs w:val="24"/>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Certificate of Incorporation of Oil-Dri, as amended.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Oil-Dri’s Registration Statement on Form S-8 (Registration No. 333-57625), filed on June 24, 1998.</w:t>
      </w:r>
    </w:p>
    <w:p>
      <w:pPr>
        <w:spacing w:after="0" w:line="200" w:lineRule="exact"/>
        <w:rPr>
          <w:sz w:val="20"/>
          <w:szCs w:val="20"/>
          <w:color w:val="auto"/>
        </w:rPr>
      </w:pPr>
    </w:p>
    <w:p>
      <w:pPr>
        <w:sectPr>
          <w:pgSz w:w="11900" w:h="16838" w:orient="portrait"/>
          <w:cols w:equalWidth="0" w:num="2">
            <w:col w:w="5960" w:space="360"/>
            <w:col w:w="5080"/>
          </w:cols>
          <w:pgMar w:left="240" w:top="580" w:right="259" w:bottom="1440" w:gutter="0" w:footer="0" w:header="0"/>
          <w:type w:val="continuous"/>
        </w:sectPr>
      </w:pPr>
    </w:p>
    <w:p>
      <w:pPr>
        <w:spacing w:after="0" w:line="89" w:lineRule="exact"/>
        <w:rPr>
          <w:sz w:val="20"/>
          <w:szCs w:val="20"/>
          <w:color w:val="auto"/>
        </w:rPr>
      </w:pPr>
    </w:p>
    <w:p>
      <w:pPr>
        <w:ind w:left="130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79" w:lineRule="exact"/>
        <w:rPr>
          <w:sz w:val="20"/>
          <w:szCs w:val="20"/>
          <w:color w:val="auto"/>
        </w:rPr>
      </w:pPr>
    </w:p>
    <w:p>
      <w:pPr>
        <w:jc w:val="both"/>
        <w:ind w:left="1280" w:hanging="967"/>
        <w:spacing w:after="0" w:line="279"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Step“™dated as of March 12, 2001 between A&amp;M Products Manufacturing Company and Oil-Dri (confidential treatment of certain portions of this exhibit has been granted).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Exhibit 3.1 to Oil-Dri’s (file No. 001-12622) Current Report on Form 8-K filed on December 11, 2006.</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631"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80" w:lineRule="exact"/>
        <w:rPr>
          <w:sz w:val="20"/>
          <w:szCs w:val="20"/>
          <w:color w:val="auto"/>
        </w:rPr>
      </w:pPr>
    </w:p>
    <w:p>
      <w:pPr>
        <w:jc w:val="both"/>
        <w:ind w:left="1280" w:hanging="967"/>
        <w:spacing w:after="0" w:line="264" w:lineRule="auto"/>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Step”™dated as of March 12, 2001.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Annual Report on Form 10-K for the fiscal year ended July 31, 2007.</w:t>
      </w:r>
    </w:p>
    <w:p>
      <w:pPr>
        <w:spacing w:after="0" w:line="200"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580" w:right="2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140"/>
        <w:spacing w:after="0"/>
        <w:tabs>
          <w:tab w:leader="none" w:pos="29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31750</wp:posOffset>
            </wp:positionV>
            <wp:extent cx="3773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jc w:val="both"/>
        <w:ind w:left="1080" w:hanging="967"/>
        <w:spacing w:after="0" w:line="264"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dated as of October 15, 2007, to Memorandum of Agreement #1450 “Fresh Step”™ dated as of March 12, 2001.</w:t>
      </w:r>
    </w:p>
    <w:p>
      <w:pPr>
        <w:spacing w:after="0" w:line="316" w:lineRule="exact"/>
        <w:rPr>
          <w:sz w:val="20"/>
          <w:szCs w:val="20"/>
          <w:color w:val="auto"/>
        </w:rPr>
      </w:pPr>
    </w:p>
    <w:p>
      <w:pPr>
        <w:jc w:val="both"/>
        <w:ind w:left="1100" w:hanging="994"/>
        <w:spacing w:after="0" w:line="286" w:lineRule="auto"/>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Exclusive Supply Agreement dated May 19, 1999 between Church &amp; Dwight Co., Inc. and Oil-Dri (confidential treatment of certain portions of this exhibit has been granted).</w:t>
      </w:r>
    </w:p>
    <w:p>
      <w:pPr>
        <w:spacing w:after="0" w:line="301" w:lineRule="exact"/>
        <w:rPr>
          <w:sz w:val="20"/>
          <w:szCs w:val="20"/>
          <w:color w:val="auto"/>
        </w:rPr>
      </w:pPr>
    </w:p>
    <w:p>
      <w:pPr>
        <w:jc w:val="both"/>
        <w:ind w:left="1100" w:hanging="994"/>
        <w:spacing w:after="0" w:line="264" w:lineRule="auto"/>
        <w:tabs>
          <w:tab w:leader="none" w:pos="10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$15,000,000 Credit Agreement, dated January 27, 2006 among the Company, certain subsidiaries of the Company and Harris N.A.</w:t>
      </w:r>
    </w:p>
    <w:p>
      <w:pPr>
        <w:spacing w:after="0" w:line="289" w:lineRule="exact"/>
        <w:rPr>
          <w:sz w:val="20"/>
          <w:szCs w:val="20"/>
          <w:color w:val="auto"/>
        </w:rPr>
      </w:pPr>
    </w:p>
    <w:p>
      <w:pPr>
        <w:jc w:val="both"/>
        <w:ind w:left="1100" w:hanging="994"/>
        <w:spacing w:after="0" w:line="277" w:lineRule="auto"/>
        <w:tabs>
          <w:tab w:leader="none" w:pos="10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First Amendment, dated as of December 19, 2008 to Credit Agreement dated as of January 27, 2006.</w:t>
      </w:r>
    </w:p>
    <w:p>
      <w:pPr>
        <w:spacing w:after="0" w:line="200" w:lineRule="exact"/>
        <w:rPr>
          <w:sz w:val="20"/>
          <w:szCs w:val="20"/>
          <w:color w:val="auto"/>
        </w:rPr>
      </w:pPr>
    </w:p>
    <w:p>
      <w:pPr>
        <w:spacing w:after="0" w:line="322" w:lineRule="exact"/>
        <w:rPr>
          <w:sz w:val="20"/>
          <w:szCs w:val="20"/>
          <w:color w:val="auto"/>
        </w:rPr>
      </w:pPr>
    </w:p>
    <w:p>
      <w:pPr>
        <w:jc w:val="both"/>
        <w:ind w:left="1100" w:hanging="994"/>
        <w:spacing w:after="0" w:line="277" w:lineRule="auto"/>
        <w:tabs>
          <w:tab w:leader="none" w:pos="10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Second Amendment, dated as of December 21, 2011 to Credit Agreement dated as of January 27, 2006.</w:t>
      </w:r>
    </w:p>
    <w:p>
      <w:pPr>
        <w:spacing w:after="0" w:line="279" w:lineRule="exact"/>
        <w:rPr>
          <w:sz w:val="20"/>
          <w:szCs w:val="20"/>
          <w:color w:val="auto"/>
        </w:rPr>
      </w:pPr>
    </w:p>
    <w:p>
      <w:pPr>
        <w:jc w:val="both"/>
        <w:ind w:left="1100" w:hanging="994"/>
        <w:spacing w:after="0" w:line="277" w:lineRule="auto"/>
        <w:tabs>
          <w:tab w:leader="none" w:pos="10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Third Amendment, dated as of June 21, 2012 to Credit Agreement dated as of January 27, 2006.</w:t>
      </w:r>
    </w:p>
    <w:p>
      <w:pPr>
        <w:spacing w:after="0" w:line="279" w:lineRule="exact"/>
        <w:rPr>
          <w:sz w:val="20"/>
          <w:szCs w:val="20"/>
          <w:color w:val="auto"/>
        </w:rPr>
      </w:pPr>
    </w:p>
    <w:p>
      <w:pPr>
        <w:jc w:val="both"/>
        <w:ind w:left="1100" w:hanging="994"/>
        <w:spacing w:after="0" w:line="259" w:lineRule="auto"/>
        <w:tabs>
          <w:tab w:leader="none" w:pos="10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$15,000,000 Note Agreement dated as of December 16, 2005 among the Company, The Prudential Insurance Company of America and Prudential Retirement Insurance and Annuity Company.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(10)(r) to Oil-Dri’s (File No. 001-12622) Annual Report on Form 10-K for the fiscal year ended July 31, 1999.</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 2006.</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2009.</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 to Oil-Dri’s (File No. 001-12622) Current Report on Form 8-K filed on December 28, 2011.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December 22, 2005.</w:t>
      </w:r>
    </w:p>
    <w:p>
      <w:pPr>
        <w:spacing w:after="0" w:line="591" w:lineRule="exact"/>
        <w:rPr>
          <w:sz w:val="20"/>
          <w:szCs w:val="20"/>
          <w:color w:val="auto"/>
        </w:rPr>
      </w:pPr>
    </w:p>
    <w:p>
      <w:pPr>
        <w:sectPr>
          <w:pgSz w:w="11900" w:h="16838" w:orient="portrait"/>
          <w:cols w:equalWidth="0" w:num="2">
            <w:col w:w="5720" w:space="400"/>
            <w:col w:w="5080"/>
          </w:cols>
          <w:pgMar w:left="440" w:top="530" w:right="259" w:bottom="1440" w:gutter="0" w:footer="0" w:header="0"/>
        </w:sectPr>
      </w:pP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10.10</w:t>
            </w:r>
          </w:p>
        </w:tc>
        <w:tc>
          <w:tcPr>
            <w:tcW w:w="4940" w:type="dxa"/>
            <w:vAlign w:val="bottom"/>
          </w:tcPr>
          <w:p>
            <w:pPr>
              <w:ind w:left="320"/>
              <w:spacing w:after="0"/>
              <w:rPr>
                <w:sz w:val="20"/>
                <w:szCs w:val="20"/>
                <w:color w:val="auto"/>
              </w:rPr>
            </w:pPr>
            <w:r>
              <w:rPr>
                <w:rFonts w:ascii="Arial" w:cs="Arial" w:eastAsia="Arial" w:hAnsi="Arial"/>
                <w:sz w:val="18"/>
                <w:szCs w:val="18"/>
                <w:color w:val="auto"/>
                <w:w w:val="91"/>
              </w:rPr>
              <w:t>First Amendment, dated as of July 12, 2006 to Note Agreement</w:t>
            </w: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dated as of December 16, 2005.</w:t>
            </w:r>
          </w:p>
        </w:tc>
      </w:tr>
    </w:tbl>
    <w:p>
      <w:pPr>
        <w:spacing w:after="0" w:line="200" w:lineRule="exact"/>
        <w:rPr>
          <w:sz w:val="20"/>
          <w:szCs w:val="20"/>
          <w:color w:val="auto"/>
        </w:rPr>
      </w:pPr>
    </w:p>
    <w:p>
      <w:pPr>
        <w:spacing w:after="0" w:line="353" w:lineRule="exact"/>
        <w:rPr>
          <w:sz w:val="20"/>
          <w:szCs w:val="20"/>
          <w:color w:val="auto"/>
        </w:rPr>
      </w:pPr>
    </w:p>
    <w:p>
      <w:pPr>
        <w:jc w:val="both"/>
        <w:ind w:left="1100" w:hanging="1036"/>
        <w:spacing w:after="0" w:line="273" w:lineRule="auto"/>
        <w:tabs>
          <w:tab w:leader="none" w:pos="10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287" w:lineRule="exact"/>
        <w:rPr>
          <w:sz w:val="20"/>
          <w:szCs w:val="20"/>
          <w:color w:val="auto"/>
        </w:rPr>
      </w:pPr>
    </w:p>
    <w:p>
      <w:pPr>
        <w:jc w:val="both"/>
        <w:ind w:left="1100" w:hanging="1039"/>
        <w:spacing w:after="0" w:line="277" w:lineRule="auto"/>
        <w:tabs>
          <w:tab w:leader="none" w:pos="10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Description of 1987 Executive Deferred Compensation Program.*</w:t>
      </w:r>
    </w:p>
    <w:p>
      <w:pPr>
        <w:spacing w:after="0" w:line="200" w:lineRule="exact"/>
        <w:rPr>
          <w:sz w:val="20"/>
          <w:szCs w:val="20"/>
          <w:color w:val="auto"/>
        </w:rPr>
      </w:pPr>
    </w:p>
    <w:p>
      <w:pPr>
        <w:spacing w:after="0" w:line="322" w:lineRule="exact"/>
        <w:rPr>
          <w:sz w:val="20"/>
          <w:szCs w:val="20"/>
          <w:color w:val="auto"/>
        </w:rPr>
      </w:pPr>
    </w:p>
    <w:p>
      <w:pPr>
        <w:jc w:val="both"/>
        <w:ind w:left="1100" w:hanging="1039"/>
        <w:spacing w:after="0" w:line="308" w:lineRule="auto"/>
        <w:tabs>
          <w:tab w:leader="none" w:pos="10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Salary Continuation Agreement dated August 1, l989 between Richard M. Jaffee and Oil-Dri (“1989 Agreement”).*</w:t>
      </w:r>
    </w:p>
    <w:p>
      <w:pPr>
        <w:spacing w:after="0" w:line="200" w:lineRule="exact"/>
        <w:rPr>
          <w:sz w:val="20"/>
          <w:szCs w:val="20"/>
          <w:color w:val="auto"/>
        </w:rPr>
      </w:pPr>
    </w:p>
    <w:p>
      <w:pPr>
        <w:spacing w:after="0" w:line="298" w:lineRule="exact"/>
        <w:rPr>
          <w:sz w:val="20"/>
          <w:szCs w:val="20"/>
          <w:color w:val="auto"/>
        </w:rPr>
      </w:pPr>
    </w:p>
    <w:p>
      <w:pPr>
        <w:jc w:val="both"/>
        <w:ind w:left="1100" w:hanging="1039"/>
        <w:spacing w:after="0" w:line="277" w:lineRule="auto"/>
        <w:tabs>
          <w:tab w:leader="none" w:pos="10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Extension and Amendment, dated October 9, 1998, to the 1989 Agreement.*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10.9 to Oil-Dri’s (File No. 001-12622) Annual Report on Form 10-K for the fiscal year ended July 31, 2006.</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October 31,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2006.</w:t>
      </w:r>
    </w:p>
    <w:p>
      <w:pPr>
        <w:spacing w:after="0" w:line="200" w:lineRule="exact"/>
        <w:rPr>
          <w:sz w:val="20"/>
          <w:szCs w:val="20"/>
          <w:color w:val="auto"/>
        </w:rPr>
      </w:pPr>
    </w:p>
    <w:p>
      <w:pPr>
        <w:sectPr>
          <w:pgSz w:w="11900" w:h="16838" w:orient="portrait"/>
          <w:cols w:equalWidth="0" w:num="2">
            <w:col w:w="5720" w:space="400"/>
            <w:col w:w="5080"/>
          </w:cols>
          <w:pgMar w:left="440" w:top="530" w:right="259" w:bottom="1440" w:gutter="0" w:footer="0" w:header="0"/>
          <w:type w:val="continuous"/>
        </w:sectPr>
      </w:pP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00"/>
          </w:cols>
          <w:pgMar w:left="440" w:top="530" w:right="25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Second Amendment, effective October 31, 2000,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Third Amendment, dated as of January 31, 2006,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Fourth Amendment, dated as of October 14, 2010,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Deferred Compensation Plan,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as amended and restated effective April 1, 2003.*</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2007,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Second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1995 Long-Term Incentive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Plan as amended and restated effective June 9, 2000.*</w:t>
            </w:r>
          </w:p>
        </w:tc>
      </w:tr>
      <w:tr>
        <w:trPr>
          <w:trHeight w:val="7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Supplemental Executive Retirement Plan dated April 1, 2003.*</w:t>
            </w:r>
          </w:p>
        </w:tc>
      </w:tr>
      <w:tr>
        <w:trPr>
          <w:trHeight w:val="95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Oil-Dri Corporation of America Outside Director Stock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October 16, 1999.*</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Annual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January 1, 2008).*</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2005 Deferred Compensation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Plan (as amended and restated effective January 1, 2008)*</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2006 Long Term Incentive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Plan (as amended and restated effective July 28, 2006)*</w:t>
            </w:r>
          </w:p>
        </w:tc>
      </w:tr>
      <w:tr>
        <w:trPr>
          <w:trHeight w:val="70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Pr>
          <w:p>
            <w:pPr>
              <w:ind w:left="4340"/>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99.1 to Oil-Dri’s (File No. 001-12622) Current Report on Form 8-K filed on November 13, 2000.</w:t>
      </w:r>
    </w:p>
    <w:p>
      <w:pPr>
        <w:spacing w:after="0" w:line="2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13,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October 14, 2010.</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2003.</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10.4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10.3 to Oil-Dri’s (File No. 001-12622) Quarterly Report on Form 10-Q for the quarter ended January 31, 2008.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to Oil-Dri’s (File No. 001-12622) Definitive Proxy Statement on Schedule 14A filed on November 3, 2006.</w:t>
      </w:r>
    </w:p>
    <w:p>
      <w:pPr>
        <w:sectPr>
          <w:pgSz w:w="11900" w:h="16838" w:orient="portrait"/>
          <w:cols w:equalWidth="0" w:num="2">
            <w:col w:w="5960" w:space="360"/>
            <w:col w:w="5080"/>
          </w:cols>
          <w:pgMar w:left="240" w:top="530" w:right="2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Corporation of America 2006 Long Term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July 28, 2006)*</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A</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Incentive  Plan  Employee  Stock  Option  Agreement  for</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B</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Incentive Plan Director Stock Option Agreement for Common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Incentive  Plan  Restricted  Stock  Agreement  for  Class  A</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Incentive  Plan  Restricted  Stock  Agreement  for  Common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Incentive Plan Restricted Stock Agreement for Class B 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Letter Agreement, dated as of October 10, 2011, between Oil-</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Dri Corporation of America and Steven Jay Adolph.*</w:t>
            </w:r>
          </w:p>
        </w:tc>
      </w:tr>
      <w:tr>
        <w:trPr>
          <w:trHeight w:val="783"/>
        </w:trPr>
        <w:tc>
          <w:tcPr>
            <w:tcW w:w="92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10.5 to Oil-Dri’s (File No. 001-12622) Quarterly Report on Form 10-Q for the quarter ended January 31, 2008.</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December 11, 2006.</w:t>
      </w: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10.3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10.4 to Oil-Dri’s (file No. 001-12622) Current Report on Form 8-K filed on December 11, 2006.</w:t>
      </w:r>
    </w:p>
    <w:p>
      <w:pPr>
        <w:spacing w:after="0" w:line="200" w:lineRule="exact"/>
        <w:rPr>
          <w:sz w:val="20"/>
          <w:szCs w:val="20"/>
          <w:color w:val="auto"/>
        </w:rPr>
      </w:pPr>
    </w:p>
    <w:p>
      <w:pPr>
        <w:spacing w:after="0" w:line="2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10.5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10.6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10.7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10.8 to Oil-Dri’s (file No. 001-12622) Current Report on Form 8-K filed on December 11, 2006.</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October 31, 2011.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Available at Oil-Dri’s website at www.oildri.com or in print upon request to Investor Relations, Oil-Dri Corporation of America, 410 North Michigan Avenue, Suite 400, Chicago, IL 60611-4213, telephone (312) 321-1515 or e-mail to info@oildri.com.</w:t>
      </w:r>
    </w:p>
    <w:p>
      <w:pPr>
        <w:spacing w:after="0" w:line="200" w:lineRule="exact"/>
        <w:rPr>
          <w:sz w:val="20"/>
          <w:szCs w:val="20"/>
          <w:color w:val="auto"/>
        </w:rPr>
      </w:pPr>
    </w:p>
    <w:p>
      <w:pPr>
        <w:sectPr>
          <w:pgSz w:w="11900" w:h="16838" w:orient="portrait"/>
          <w:cols w:equalWidth="0" w:num="2">
            <w:col w:w="5960" w:space="360"/>
            <w:col w:w="5080"/>
          </w:cols>
          <w:pgMar w:left="240" w:top="746" w:right="259" w:bottom="1440" w:gutter="0" w:footer="0" w:header="0"/>
        </w:sectPr>
      </w:pP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21.1</w:t>
            </w:r>
          </w:p>
        </w:tc>
        <w:tc>
          <w:tcPr>
            <w:tcW w:w="4420" w:type="dxa"/>
            <w:vAlign w:val="bottom"/>
          </w:tcPr>
          <w:p>
            <w:pPr>
              <w:ind w:left="340"/>
              <w:spacing w:after="0"/>
              <w:rPr>
                <w:sz w:val="20"/>
                <w:szCs w:val="20"/>
                <w:color w:val="auto"/>
              </w:rPr>
            </w:pPr>
            <w:r>
              <w:rPr>
                <w:rFonts w:ascii="Arial" w:cs="Arial" w:eastAsia="Arial" w:hAnsi="Arial"/>
                <w:sz w:val="18"/>
                <w:szCs w:val="18"/>
                <w:color w:val="auto"/>
              </w:rPr>
              <w:t>Subsidiaries of Oil-Dri.</w:t>
            </w:r>
          </w:p>
        </w:tc>
        <w:tc>
          <w:tcPr>
            <w:tcW w:w="2020" w:type="dxa"/>
            <w:vAlign w:val="bottom"/>
          </w:tcPr>
          <w:p>
            <w:pPr>
              <w:ind w:left="940"/>
              <w:spacing w:after="0"/>
              <w:rPr>
                <w:sz w:val="20"/>
                <w:szCs w:val="20"/>
                <w:color w:val="auto"/>
              </w:rPr>
            </w:pPr>
            <w:r>
              <w:rPr>
                <w:rFonts w:ascii="Arial" w:cs="Arial" w:eastAsia="Arial" w:hAnsi="Arial"/>
                <w:sz w:val="18"/>
                <w:szCs w:val="18"/>
                <w:color w:val="auto"/>
                <w:w w:val="90"/>
              </w:rPr>
              <w:t>Filed herewith.</w:t>
            </w:r>
          </w:p>
        </w:tc>
      </w:tr>
      <w:tr>
        <w:trPr>
          <w:trHeight w:val="54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23.1</w:t>
            </w:r>
          </w:p>
        </w:tc>
        <w:tc>
          <w:tcPr>
            <w:tcW w:w="4420" w:type="dxa"/>
            <w:vAlign w:val="bottom"/>
          </w:tcPr>
          <w:p>
            <w:pPr>
              <w:ind w:left="340"/>
              <w:spacing w:after="0"/>
              <w:rPr>
                <w:sz w:val="20"/>
                <w:szCs w:val="20"/>
                <w:color w:val="auto"/>
              </w:rPr>
            </w:pPr>
            <w:r>
              <w:rPr>
                <w:rFonts w:ascii="Arial" w:cs="Arial" w:eastAsia="Arial" w:hAnsi="Arial"/>
                <w:sz w:val="18"/>
                <w:szCs w:val="18"/>
                <w:color w:val="auto"/>
              </w:rPr>
              <w:t>Consent of PricewaterhouseCoopers LLP.</w:t>
            </w:r>
          </w:p>
        </w:tc>
        <w:tc>
          <w:tcPr>
            <w:tcW w:w="2020" w:type="dxa"/>
            <w:vAlign w:val="bottom"/>
          </w:tcPr>
          <w:p>
            <w:pPr>
              <w:ind w:left="940"/>
              <w:spacing w:after="0"/>
              <w:rPr>
                <w:sz w:val="20"/>
                <w:szCs w:val="20"/>
                <w:color w:val="auto"/>
              </w:rPr>
            </w:pPr>
            <w:r>
              <w:rPr>
                <w:rFonts w:ascii="Arial" w:cs="Arial" w:eastAsia="Arial" w:hAnsi="Arial"/>
                <w:sz w:val="18"/>
                <w:szCs w:val="18"/>
                <w:color w:val="auto"/>
                <w:w w:val="90"/>
              </w:rPr>
              <w:t>Filed herewith.</w:t>
            </w:r>
          </w:p>
        </w:tc>
      </w:tr>
      <w:tr>
        <w:trPr>
          <w:trHeight w:val="59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31.1</w:t>
            </w:r>
          </w:p>
        </w:tc>
        <w:tc>
          <w:tcPr>
            <w:tcW w:w="4420" w:type="dxa"/>
            <w:vAlign w:val="bottom"/>
          </w:tcPr>
          <w:p>
            <w:pPr>
              <w:ind w:left="340"/>
              <w:spacing w:after="0"/>
              <w:rPr>
                <w:sz w:val="20"/>
                <w:szCs w:val="20"/>
                <w:color w:val="auto"/>
              </w:rPr>
            </w:pPr>
            <w:r>
              <w:rPr>
                <w:rFonts w:ascii="Arial" w:cs="Arial" w:eastAsia="Arial" w:hAnsi="Arial"/>
                <w:sz w:val="18"/>
                <w:szCs w:val="18"/>
                <w:color w:val="auto"/>
              </w:rPr>
              <w:t>Certifications pursuant to Rule 13a – 14(a).</w:t>
            </w:r>
          </w:p>
        </w:tc>
        <w:tc>
          <w:tcPr>
            <w:tcW w:w="2020" w:type="dxa"/>
            <w:vAlign w:val="bottom"/>
          </w:tcPr>
          <w:p>
            <w:pPr>
              <w:ind w:left="940"/>
              <w:spacing w:after="0"/>
              <w:rPr>
                <w:sz w:val="20"/>
                <w:szCs w:val="20"/>
                <w:color w:val="auto"/>
              </w:rPr>
            </w:pPr>
            <w:r>
              <w:rPr>
                <w:rFonts w:ascii="Arial" w:cs="Arial" w:eastAsia="Arial" w:hAnsi="Arial"/>
                <w:sz w:val="18"/>
                <w:szCs w:val="18"/>
                <w:color w:val="auto"/>
                <w:w w:val="90"/>
              </w:rPr>
              <w:t>Filed herewith.</w:t>
            </w:r>
          </w:p>
        </w:tc>
      </w:tr>
    </w:tbl>
    <w:p>
      <w:pPr>
        <w:spacing w:after="0" w:line="200" w:lineRule="exact"/>
        <w:rPr>
          <w:sz w:val="20"/>
          <w:szCs w:val="20"/>
          <w:color w:val="auto"/>
        </w:rPr>
      </w:pPr>
    </w:p>
    <w:p>
      <w:pPr>
        <w:sectPr>
          <w:pgSz w:w="11900" w:h="16838" w:orient="portrait"/>
          <w:cols w:equalWidth="0" w:num="1">
            <w:col w:w="11400"/>
          </w:cols>
          <w:pgMar w:left="240" w:top="746" w:right="259"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746" w:right="25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6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60" w:type="dxa"/>
            <w:vAlign w:val="bottom"/>
          </w:tcPr>
          <w:p>
            <w:pPr>
              <w:ind w:left="190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w w:val="93"/>
              </w:rPr>
              <w:t>Certifications pursuant to Section 1350 of the Sarbanes-Oxley</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94"/>
        </w:trPr>
        <w:tc>
          <w:tcPr>
            <w:tcW w:w="920" w:type="dxa"/>
            <w:vAlign w:val="bottom"/>
          </w:tcPr>
          <w:p>
            <w:pPr>
              <w:jc w:val="right"/>
              <w:ind w:right="27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Mine Safety Disclosure</w:t>
            </w:r>
          </w:p>
        </w:tc>
      </w:tr>
      <w:tr>
        <w:trPr>
          <w:trHeight w:val="540"/>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101.INS</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Instance Document</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101.SCH</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101.CAL</w:t>
            </w:r>
          </w:p>
        </w:tc>
        <w:tc>
          <w:tcPr>
            <w:tcW w:w="4660" w:type="dxa"/>
            <w:vAlign w:val="bottom"/>
          </w:tcPr>
          <w:p>
            <w:pPr>
              <w:ind w:left="20"/>
              <w:spacing w:after="0"/>
              <w:rPr>
                <w:sz w:val="20"/>
                <w:szCs w:val="20"/>
                <w:color w:val="auto"/>
              </w:rPr>
            </w:pPr>
            <w:r>
              <w:rPr>
                <w:rFonts w:ascii="Arial" w:cs="Arial" w:eastAsia="Arial" w:hAnsi="Arial"/>
                <w:sz w:val="18"/>
                <w:szCs w:val="18"/>
                <w:color w:val="auto"/>
                <w:w w:val="96"/>
              </w:rPr>
              <w:t>XBRL Taxonomy Extension Calculation Linkbase Document</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101.DEF</w:t>
            </w:r>
          </w:p>
        </w:tc>
        <w:tc>
          <w:tcPr>
            <w:tcW w:w="4660" w:type="dxa"/>
            <w:vAlign w:val="bottom"/>
          </w:tcPr>
          <w:p>
            <w:pPr>
              <w:ind w:left="20"/>
              <w:spacing w:after="0"/>
              <w:rPr>
                <w:sz w:val="20"/>
                <w:szCs w:val="20"/>
                <w:color w:val="auto"/>
              </w:rPr>
            </w:pPr>
            <w:r>
              <w:rPr>
                <w:rFonts w:ascii="Arial" w:cs="Arial" w:eastAsia="Arial" w:hAnsi="Arial"/>
                <w:sz w:val="18"/>
                <w:szCs w:val="18"/>
                <w:color w:val="auto"/>
                <w:w w:val="99"/>
              </w:rPr>
              <w:t>XBRL Taxonomy Extension Definition Linkbase Document</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101.LAB</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101.PRE</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37" w:lineRule="exact"/>
        <w:rPr>
          <w:sz w:val="20"/>
          <w:szCs w:val="20"/>
          <w:color w:val="auto"/>
        </w:rPr>
      </w:pPr>
    </w:p>
    <w:p>
      <w:pPr>
        <w:ind w:left="1300" w:hanging="491"/>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8"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249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5940" w:space="360"/>
            <w:col w:w="3919"/>
          </w:cols>
          <w:pgMar w:left="240" w:top="530"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11, 2013</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 Richard M. Jaffee</w:t>
            </w: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5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Richard M. Jaffee</w:t>
            </w:r>
          </w:p>
        </w:tc>
        <w:tc>
          <w:tcPr>
            <w:tcW w:w="160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60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S. Jaffee</w:t>
            </w: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5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60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c>
          <w:tcPr>
            <w:tcW w:w="160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0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T. Smith</w:t>
            </w: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5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60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3"/>
              </w:rPr>
              <w:t>Vice President, Chief Financial Officer</w:t>
            </w:r>
          </w:p>
        </w:tc>
        <w:tc>
          <w:tcPr>
            <w:tcW w:w="160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1600" w:type="dxa"/>
            <w:vAlign w:val="bottom"/>
          </w:tcPr>
          <w:p>
            <w:pPr>
              <w:spacing w:after="0"/>
              <w:rPr>
                <w:sz w:val="23"/>
                <w:szCs w:val="23"/>
                <w:color w:val="auto"/>
              </w:rPr>
            </w:pPr>
          </w:p>
        </w:tc>
      </w:tr>
      <w:tr>
        <w:trPr>
          <w:trHeight w:val="594"/>
        </w:trPr>
        <w:tc>
          <w:tcPr>
            <w:tcW w:w="5620" w:type="dxa"/>
            <w:vAlign w:val="bottom"/>
          </w:tcPr>
          <w:p>
            <w:pPr>
              <w:ind w:left="180"/>
              <w:spacing w:after="0"/>
              <w:rPr>
                <w:sz w:val="20"/>
                <w:szCs w:val="20"/>
                <w:color w:val="auto"/>
              </w:rPr>
            </w:pPr>
            <w:r>
              <w:rPr>
                <w:rFonts w:ascii="Arial" w:cs="Arial" w:eastAsia="Arial" w:hAnsi="Arial"/>
                <w:sz w:val="18"/>
                <w:szCs w:val="18"/>
                <w:color w:val="auto"/>
              </w:rPr>
              <w:t>/s/ Paula J. Krystopolski</w:t>
            </w: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5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Paula J. Krystopolski</w:t>
            </w:r>
          </w:p>
        </w:tc>
        <w:tc>
          <w:tcPr>
            <w:tcW w:w="160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160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60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 Steven Cole</w:t>
            </w: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5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7"/>
              </w:rPr>
              <w:t>J. Steven Cole</w:t>
            </w:r>
          </w:p>
        </w:tc>
        <w:tc>
          <w:tcPr>
            <w:tcW w:w="160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Joseph C. Miller</w:t>
            </w: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5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1"/>
              </w:rPr>
              <w:t>Joseph C. Miller</w:t>
            </w:r>
          </w:p>
        </w:tc>
        <w:tc>
          <w:tcPr>
            <w:tcW w:w="160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6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6"/>
              </w:rPr>
              <w:t>/s/ Michael A. Nemeroff</w:t>
            </w:r>
          </w:p>
        </w:tc>
        <w:tc>
          <w:tcPr>
            <w:tcW w:w="3620" w:type="dxa"/>
            <w:vAlign w:val="bottom"/>
          </w:tcPr>
          <w:p>
            <w:pPr>
              <w:spacing w:after="0"/>
              <w:rPr>
                <w:sz w:val="20"/>
                <w:szCs w:val="20"/>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20" w:type="dxa"/>
            <w:vAlign w:val="bottom"/>
            <w:gridSpan w:val="2"/>
          </w:tcPr>
          <w:p>
            <w:pPr>
              <w:jc w:val="center"/>
              <w:ind w:right="351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2000" w:type="dxa"/>
            <w:vAlign w:val="bottom"/>
          </w:tcPr>
          <w:p>
            <w:pPr>
              <w:spacing w:after="0"/>
              <w:rPr>
                <w:sz w:val="23"/>
                <w:szCs w:val="23"/>
                <w:color w:val="auto"/>
              </w:rPr>
            </w:pPr>
          </w:p>
        </w:tc>
        <w:tc>
          <w:tcPr>
            <w:tcW w:w="5220" w:type="dxa"/>
            <w:vAlign w:val="bottom"/>
            <w:gridSpan w:val="2"/>
          </w:tcPr>
          <w:p>
            <w:pPr>
              <w:jc w:val="center"/>
              <w:ind w:right="349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2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20" w:type="dxa"/>
            <w:vAlign w:val="bottom"/>
            <w:gridSpan w:val="2"/>
          </w:tcPr>
          <w:p>
            <w:pPr>
              <w:jc w:val="center"/>
              <w:ind w:right="3510"/>
              <w:spacing w:after="0"/>
              <w:rPr>
                <w:sz w:val="20"/>
                <w:szCs w:val="20"/>
                <w:color w:val="auto"/>
              </w:rPr>
            </w:pPr>
            <w:r>
              <w:rPr>
                <w:rFonts w:ascii="Arial" w:cs="Arial" w:eastAsia="Arial" w:hAnsi="Arial"/>
                <w:sz w:val="18"/>
                <w:szCs w:val="18"/>
                <w:color w:val="auto"/>
                <w:w w:val="94"/>
              </w:rPr>
              <w:t>Allan H. Selig</w:t>
            </w:r>
          </w:p>
        </w:tc>
      </w:tr>
      <w:tr>
        <w:trPr>
          <w:trHeight w:val="270"/>
        </w:trPr>
        <w:tc>
          <w:tcPr>
            <w:tcW w:w="2000" w:type="dxa"/>
            <w:vAlign w:val="bottom"/>
          </w:tcPr>
          <w:p>
            <w:pPr>
              <w:spacing w:after="0"/>
              <w:rPr>
                <w:sz w:val="23"/>
                <w:szCs w:val="23"/>
                <w:color w:val="auto"/>
              </w:rPr>
            </w:pPr>
          </w:p>
        </w:tc>
        <w:tc>
          <w:tcPr>
            <w:tcW w:w="5220" w:type="dxa"/>
            <w:vAlign w:val="bottom"/>
            <w:gridSpan w:val="2"/>
          </w:tcPr>
          <w:p>
            <w:pPr>
              <w:jc w:val="center"/>
              <w:ind w:right="349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2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20" w:type="dxa"/>
            <w:vAlign w:val="bottom"/>
            <w:gridSpan w:val="2"/>
          </w:tcPr>
          <w:p>
            <w:pPr>
              <w:jc w:val="center"/>
              <w:ind w:right="3510"/>
              <w:spacing w:after="0"/>
              <w:rPr>
                <w:sz w:val="20"/>
                <w:szCs w:val="20"/>
                <w:color w:val="auto"/>
              </w:rPr>
            </w:pPr>
            <w:r>
              <w:rPr>
                <w:rFonts w:ascii="Arial" w:cs="Arial" w:eastAsia="Arial" w:hAnsi="Arial"/>
                <w:sz w:val="18"/>
                <w:szCs w:val="18"/>
                <w:color w:val="auto"/>
                <w:w w:val="90"/>
              </w:rPr>
              <w:t>Paul E. Suckow</w:t>
            </w:r>
          </w:p>
        </w:tc>
      </w:tr>
      <w:tr>
        <w:trPr>
          <w:trHeight w:val="270"/>
        </w:trPr>
        <w:tc>
          <w:tcPr>
            <w:tcW w:w="2000" w:type="dxa"/>
            <w:vAlign w:val="bottom"/>
          </w:tcPr>
          <w:p>
            <w:pPr>
              <w:spacing w:after="0"/>
              <w:rPr>
                <w:sz w:val="23"/>
                <w:szCs w:val="23"/>
                <w:color w:val="auto"/>
              </w:rPr>
            </w:pPr>
          </w:p>
        </w:tc>
        <w:tc>
          <w:tcPr>
            <w:tcW w:w="5220" w:type="dxa"/>
            <w:vAlign w:val="bottom"/>
            <w:gridSpan w:val="2"/>
          </w:tcPr>
          <w:p>
            <w:pPr>
              <w:jc w:val="center"/>
              <w:ind w:right="349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w w:val="90"/>
              </w:rPr>
              <w:t>/s/ Lawrence E. Washow</w:t>
            </w:r>
          </w:p>
        </w:tc>
        <w:tc>
          <w:tcPr>
            <w:tcW w:w="362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Arial" w:cs="Arial" w:eastAsia="Arial" w:hAnsi="Arial"/>
                <w:sz w:val="18"/>
                <w:szCs w:val="18"/>
                <w:color w:val="auto"/>
                <w:w w:val="87"/>
              </w:rPr>
              <w:t>October 11, 2013</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20" w:type="dxa"/>
            <w:vAlign w:val="bottom"/>
            <w:gridSpan w:val="2"/>
          </w:tcPr>
          <w:p>
            <w:pPr>
              <w:jc w:val="center"/>
              <w:ind w:right="3510"/>
              <w:spacing w:after="0"/>
              <w:rPr>
                <w:sz w:val="20"/>
                <w:szCs w:val="20"/>
                <w:color w:val="auto"/>
              </w:rPr>
            </w:pPr>
            <w:r>
              <w:rPr>
                <w:rFonts w:ascii="Arial" w:cs="Arial" w:eastAsia="Arial" w:hAnsi="Arial"/>
                <w:sz w:val="18"/>
                <w:szCs w:val="18"/>
                <w:color w:val="auto"/>
                <w:w w:val="90"/>
              </w:rPr>
              <w:t>Lawrence E. Washow</w:t>
            </w:r>
          </w:p>
        </w:tc>
      </w:tr>
      <w:tr>
        <w:trPr>
          <w:trHeight w:val="270"/>
        </w:trPr>
        <w:tc>
          <w:tcPr>
            <w:tcW w:w="2000" w:type="dxa"/>
            <w:vAlign w:val="bottom"/>
          </w:tcPr>
          <w:p>
            <w:pPr>
              <w:spacing w:after="0"/>
              <w:rPr>
                <w:sz w:val="23"/>
                <w:szCs w:val="23"/>
                <w:color w:val="auto"/>
              </w:rPr>
            </w:pPr>
          </w:p>
        </w:tc>
        <w:tc>
          <w:tcPr>
            <w:tcW w:w="5220" w:type="dxa"/>
            <w:vAlign w:val="bottom"/>
            <w:gridSpan w:val="2"/>
          </w:tcPr>
          <w:p>
            <w:pPr>
              <w:jc w:val="center"/>
              <w:ind w:right="3490"/>
              <w:spacing w:after="0"/>
              <w:rPr>
                <w:sz w:val="20"/>
                <w:szCs w:val="20"/>
                <w:color w:val="auto"/>
              </w:rPr>
            </w:pPr>
            <w:r>
              <w:rPr>
                <w:rFonts w:ascii="Arial" w:cs="Arial" w:eastAsia="Arial" w:hAnsi="Arial"/>
                <w:sz w:val="18"/>
                <w:szCs w:val="18"/>
                <w:color w:val="auto"/>
                <w:w w:val="95"/>
              </w:rPr>
              <w:t>Director</w:t>
            </w:r>
          </w:p>
        </w:tc>
      </w:tr>
      <w:tr>
        <w:trPr>
          <w:trHeight w:val="702"/>
        </w:trPr>
        <w:tc>
          <w:tcPr>
            <w:tcW w:w="2000" w:type="dxa"/>
            <w:vAlign w:val="bottom"/>
          </w:tcPr>
          <w:p>
            <w:pPr>
              <w:spacing w:after="0"/>
              <w:rPr>
                <w:sz w:val="24"/>
                <w:szCs w:val="24"/>
                <w:color w:val="auto"/>
              </w:rPr>
            </w:pPr>
          </w:p>
        </w:tc>
        <w:tc>
          <w:tcPr>
            <w:tcW w:w="5220" w:type="dxa"/>
            <w:vAlign w:val="bottom"/>
            <w:gridSpan w:val="2"/>
          </w:tcPr>
          <w:p>
            <w:pPr>
              <w:jc w:val="right"/>
              <w:ind w:right="133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0219"/>
          </w:cols>
          <w:pgMar w:left="240" w:top="801"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8"/>
          </w:tcPr>
          <w:p>
            <w:pPr>
              <w:jc w:val="center"/>
              <w:ind w:right="50"/>
              <w:spacing w:after="0"/>
              <w:rPr>
                <w:sz w:val="20"/>
                <w:szCs w:val="20"/>
                <w:color w:val="auto"/>
              </w:rPr>
            </w:pPr>
            <w:r>
              <w:rPr>
                <w:rFonts w:ascii="Arial" w:cs="Arial" w:eastAsia="Arial" w:hAnsi="Arial"/>
                <w:sz w:val="18"/>
                <w:szCs w:val="18"/>
                <w:b w:val="1"/>
                <w:bCs w:val="1"/>
                <w:color w:val="auto"/>
                <w:w w:val="90"/>
              </w:rPr>
              <w:t>Year Ended July 31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6"/>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8"/>
              </w:rPr>
              <w:t>(in thousands</w:t>
            </w:r>
            <w:r>
              <w:rPr>
                <w:rFonts w:ascii="Arial" w:cs="Arial" w:eastAsia="Arial" w:hAnsi="Arial"/>
                <w:sz w:val="18"/>
                <w:szCs w:val="18"/>
                <w:color w:val="auto"/>
                <w:w w:val="88"/>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4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4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626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w:t>
            </w:r>
          </w:p>
        </w:tc>
        <w:tc>
          <w:tcPr>
            <w:tcW w:w="4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4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4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reserve for income taxes:</w:t>
            </w:r>
          </w:p>
        </w:tc>
        <w:tc>
          <w:tcPr>
            <w:tcW w:w="4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4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4,061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charged to expense</w:t>
            </w:r>
          </w:p>
        </w:tc>
        <w:tc>
          <w:tcPr>
            <w:tcW w:w="4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57"/>
        </w:trPr>
        <w:tc>
          <w:tcPr>
            <w:tcW w:w="410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47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720" w:type="dxa"/>
            <w:vAlign w:val="bottom"/>
            <w:vMerge w:val="restart"/>
          </w:tcPr>
          <w:p>
            <w:pPr>
              <w:jc w:val="right"/>
              <w:ind w:right="2930"/>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1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Exhibit No.</w:t>
            </w:r>
          </w:p>
        </w:tc>
        <w:tc>
          <w:tcPr>
            <w:tcW w:w="10260" w:type="dxa"/>
            <w:vAlign w:val="bottom"/>
          </w:tcPr>
          <w:p>
            <w:pPr>
              <w:ind w:left="4700"/>
              <w:spacing w:after="0"/>
              <w:rPr>
                <w:sz w:val="20"/>
                <w:szCs w:val="20"/>
                <w:color w:val="auto"/>
              </w:rPr>
            </w:pPr>
            <w:r>
              <w:rPr>
                <w:rFonts w:ascii="Arial" w:cs="Arial" w:eastAsia="Arial" w:hAnsi="Arial"/>
                <w:sz w:val="18"/>
                <w:szCs w:val="18"/>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Subsidiaries of Oil-Dri</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Consent of PricewaterhouseCoopers LLP</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Certifications by Daniel S. Jaffee, President and Chief Executive Officer and Daniel T. Smith, Vice President and Chief Financial Officer,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required by Rule 13a-14(a)</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Mine Safety Disclosure</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Instance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Note:</w:t>
            </w: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79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6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14,586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 to nonvested stock</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14,370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6,006</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8,928</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Shares Calculation</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57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4,909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5,083</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1,970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1,908</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97"/>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6,927</w:t>
            </w:r>
          </w:p>
        </w:tc>
        <w:tc>
          <w:tcPr>
            <w:tcW w:w="1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7,062</w:t>
            </w:r>
          </w:p>
        </w:tc>
        <w:tc>
          <w:tcPr>
            <w:tcW w:w="1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7,103</w:t>
            </w:r>
          </w:p>
        </w:tc>
      </w:tr>
      <w:tr>
        <w:trPr>
          <w:trHeight w:val="257"/>
        </w:trPr>
        <w:tc>
          <w:tcPr>
            <w:tcW w:w="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2.25</w:t>
            </w: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Net Income Per Share: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2.07</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40"/>
          </w:cols>
          <w:pgMar w:left="240" w:top="364" w:right="9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SUBSIDIARIES OF OIL-DRI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 Mountain Production Company</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Mississippi</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Canada ULC</w:t>
            </w:r>
          </w:p>
        </w:tc>
        <w:tc>
          <w:tcPr>
            <w:tcW w:w="370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Mounds Production Company, LLC</w:t>
            </w:r>
          </w:p>
        </w:tc>
        <w:tc>
          <w:tcPr>
            <w:tcW w:w="3700" w:type="dxa"/>
            <w:vAlign w:val="bottom"/>
          </w:tcPr>
          <w:p>
            <w:pPr>
              <w:ind w:left="40"/>
              <w:spacing w:after="0"/>
              <w:rPr>
                <w:sz w:val="20"/>
                <w:szCs w:val="20"/>
                <w:color w:val="auto"/>
              </w:rPr>
            </w:pPr>
            <w:r>
              <w:rPr>
                <w:rFonts w:ascii="Arial" w:cs="Arial" w:eastAsia="Arial" w:hAnsi="Arial"/>
                <w:sz w:val="18"/>
                <w:szCs w:val="18"/>
                <w:color w:val="auto"/>
              </w:rPr>
              <w:t>Illinois</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Corporation of Georgia</w:t>
            </w:r>
          </w:p>
        </w:tc>
        <w:tc>
          <w:tcPr>
            <w:tcW w:w="3700" w:type="dxa"/>
            <w:vAlign w:val="bottom"/>
          </w:tcPr>
          <w:p>
            <w:pPr>
              <w:ind w:left="40"/>
              <w:spacing w:after="0"/>
              <w:rPr>
                <w:sz w:val="20"/>
                <w:szCs w:val="20"/>
                <w:color w:val="auto"/>
              </w:rPr>
            </w:pPr>
            <w:r>
              <w:rPr>
                <w:rFonts w:ascii="Arial" w:cs="Arial" w:eastAsia="Arial" w:hAnsi="Arial"/>
                <w:sz w:val="18"/>
                <w:szCs w:val="18"/>
                <w:color w:val="auto"/>
              </w:rPr>
              <w:t>Georgia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Corporation of Nevada</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Nevada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Mississippi</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SARL</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(U.K.) Limited</w:t>
            </w:r>
          </w:p>
        </w:tc>
        <w:tc>
          <w:tcPr>
            <w:tcW w:w="370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Taft Production Company</w:t>
            </w:r>
          </w:p>
        </w:tc>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7"/>
        </w:trPr>
        <w:tc>
          <w:tcPr>
            <w:tcW w:w="3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364"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333-87008, No. 333-87010 and No. 333-139550) of Oil-Dri Corporation of America of our report dated October 11, 2013 relating to the financial statements, financial statement schedule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ectPr>
          <w:pgSz w:w="11900" w:h="16838" w:orient="portrait"/>
          <w:cols w:equalWidth="0" w:num="1">
            <w:col w:w="11420"/>
          </w:cols>
          <w:pgMar w:left="240" w:top="364"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20"/>
              <w:spacing w:after="0"/>
              <w:rPr>
                <w:sz w:val="20"/>
                <w:szCs w:val="20"/>
                <w:color w:val="auto"/>
              </w:rPr>
            </w:pPr>
            <w:r>
              <w:rPr>
                <w:rFonts w:ascii="Arial" w:cs="Arial" w:eastAsia="Arial" w:hAnsi="Arial"/>
                <w:sz w:val="18"/>
                <w:szCs w:val="18"/>
                <w:color w:val="auto"/>
              </w:rPr>
              <w:t>October 11, 2013</w:t>
            </w:r>
          </w:p>
        </w:tc>
      </w:tr>
      <w:tr>
        <w:trPr>
          <w:trHeight w:val="27"/>
        </w:trPr>
        <w:tc>
          <w:tcPr>
            <w:tcW w:w="9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318"/>
        </w:trPr>
        <w:tc>
          <w:tcPr>
            <w:tcW w:w="9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297"/>
        </w:trPr>
        <w:tc>
          <w:tcPr>
            <w:tcW w:w="92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9"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0"/>
              <w:spacing w:after="0"/>
              <w:rPr>
                <w:sz w:val="20"/>
                <w:szCs w:val="20"/>
                <w:color w:val="auto"/>
              </w:rPr>
            </w:pPr>
            <w:r>
              <w:rPr>
                <w:rFonts w:ascii="Arial" w:cs="Arial" w:eastAsia="Arial" w:hAnsi="Arial"/>
                <w:sz w:val="18"/>
                <w:szCs w:val="18"/>
                <w:color w:val="auto"/>
              </w:rPr>
              <w:t>October 11, 2013</w:t>
            </w:r>
          </w:p>
        </w:tc>
      </w:tr>
      <w:tr>
        <w:trPr>
          <w:trHeight w:val="27"/>
        </w:trPr>
        <w:tc>
          <w:tcPr>
            <w:tcW w:w="9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Daniel T. Smith</w:t>
            </w:r>
          </w:p>
        </w:tc>
      </w:tr>
      <w:tr>
        <w:trPr>
          <w:trHeight w:val="27"/>
        </w:trPr>
        <w:tc>
          <w:tcPr>
            <w:tcW w:w="9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318"/>
        </w:trPr>
        <w:tc>
          <w:tcPr>
            <w:tcW w:w="94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Daniel T. Smith</w:t>
            </w:r>
          </w:p>
        </w:tc>
      </w:tr>
      <w:tr>
        <w:trPr>
          <w:trHeight w:val="297"/>
        </w:trPr>
        <w:tc>
          <w:tcPr>
            <w:tcW w:w="94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20"/>
          </w:cols>
          <w:pgMar w:left="240" w:top="585"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11,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11,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80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ind w:left="100"/>
              <w:spacing w:after="0"/>
              <w:rPr>
                <w:sz w:val="20"/>
                <w:szCs w:val="20"/>
                <w:color w:val="auto"/>
              </w:rPr>
            </w:pPr>
            <w:r>
              <w:rPr>
                <w:rFonts w:ascii="Arial" w:cs="Arial" w:eastAsia="Arial" w:hAnsi="Arial"/>
                <w:sz w:val="18"/>
                <w:szCs w:val="18"/>
                <w:color w:val="auto"/>
                <w:w w:val="9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104,741</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3</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14,538</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4</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4,085</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651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11,624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3</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2013.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Roman"/>
      <w:start w:val="4"/>
    </w:lvl>
  </w:abstractNum>
  <w:abstractNum w:abstractNumId="7">
    <w:nsid w:val="216231B"/>
    <w:multiLevelType w:val="hybridMultilevel"/>
    <w:lvl w:ilvl="0">
      <w:lvlJc w:val="left"/>
      <w:lvlText w:val="(%1)"/>
      <w:numFmt w:val="lowerRoman"/>
      <w:start w:val="7"/>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2020-02-18T22:01:19Z</dcterms:created>
  <dcterms:modified xsi:type="dcterms:W3CDTF">2020-02-18T22:01:19Z</dcterms:modified>
</cp:coreProperties>
</file>