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3"/>
          </w:tcPr>
          <w:p>
            <w:pPr>
              <w:spacing w:after="0"/>
              <w:rPr>
                <w:sz w:val="20"/>
                <w:szCs w:val="20"/>
                <w:color w:val="auto"/>
              </w:rPr>
            </w:pPr>
            <w:r>
              <w:rPr>
                <w:rFonts w:ascii="Arial" w:cs="Arial" w:eastAsia="Arial" w:hAnsi="Arial"/>
                <w:sz w:val="18"/>
                <w:szCs w:val="18"/>
                <w:color w:val="auto"/>
              </w:rPr>
              <w:t>Date of Report (Date of earliest event reported)</w:t>
            </w: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March 11, 2014</w:t>
            </w:r>
          </w:p>
        </w:tc>
        <w:tc>
          <w:tcPr>
            <w:tcW w:w="3640" w:type="dxa"/>
            <w:vAlign w:val="bottom"/>
            <w:tcBorders>
              <w:bottom w:val="single" w:sz="8" w:color="auto"/>
            </w:tcBorders>
          </w:tcPr>
          <w:p>
            <w:pPr>
              <w:spacing w:after="0"/>
              <w:rPr>
                <w:sz w:val="20"/>
                <w:szCs w:val="20"/>
                <w:color w:val="auto"/>
              </w:rPr>
            </w:pPr>
          </w:p>
        </w:tc>
      </w:tr>
      <w:tr>
        <w:trPr>
          <w:trHeight w:val="426"/>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jc w:val="center"/>
              <w:ind w:right="720"/>
              <w:spacing w:after="0"/>
              <w:rPr>
                <w:sz w:val="20"/>
                <w:szCs w:val="20"/>
                <w:color w:val="auto"/>
              </w:rPr>
            </w:pPr>
            <w:r>
              <w:rPr>
                <w:rFonts w:ascii="Arial" w:cs="Arial" w:eastAsia="Arial" w:hAnsi="Arial"/>
                <w:sz w:val="18"/>
                <w:szCs w:val="18"/>
                <w:b w:val="1"/>
                <w:bCs w:val="1"/>
                <w:color w:val="auto"/>
                <w:w w:val="94"/>
              </w:rPr>
              <w:t>Oil-Dri Corporation of America</w:t>
            </w:r>
          </w:p>
        </w:tc>
        <w:tc>
          <w:tcPr>
            <w:tcW w:w="3640" w:type="dxa"/>
            <w:vAlign w:val="bottom"/>
            <w:tcBorders>
              <w:bottom w:val="single" w:sz="8" w:color="auto"/>
            </w:tcBorders>
          </w:tcPr>
          <w:p>
            <w:pPr>
              <w:spacing w:after="0"/>
              <w:rPr>
                <w:sz w:val="24"/>
                <w:szCs w:val="24"/>
                <w:color w:val="auto"/>
              </w:rPr>
            </w:pPr>
          </w:p>
        </w:tc>
      </w:tr>
      <w:tr>
        <w:trPr>
          <w:trHeight w:val="224"/>
        </w:trPr>
        <w:tc>
          <w:tcPr>
            <w:tcW w:w="3660" w:type="dxa"/>
            <w:vAlign w:val="bottom"/>
          </w:tcPr>
          <w:p>
            <w:pPr>
              <w:spacing w:after="0"/>
              <w:rPr>
                <w:sz w:val="19"/>
                <w:szCs w:val="19"/>
                <w:color w:val="auto"/>
              </w:rPr>
            </w:pPr>
          </w:p>
        </w:tc>
        <w:tc>
          <w:tcPr>
            <w:tcW w:w="4120" w:type="dxa"/>
            <w:vAlign w:val="bottom"/>
            <w:gridSpan w:val="7"/>
          </w:tcPr>
          <w:p>
            <w:pPr>
              <w:ind w:left="180"/>
              <w:spacing w:after="0"/>
              <w:rPr>
                <w:sz w:val="20"/>
                <w:szCs w:val="20"/>
                <w:color w:val="auto"/>
              </w:rPr>
            </w:pPr>
            <w:r>
              <w:rPr>
                <w:rFonts w:ascii="Arial" w:cs="Arial" w:eastAsia="Arial" w:hAnsi="Arial"/>
                <w:sz w:val="18"/>
                <w:szCs w:val="18"/>
                <w:color w:val="auto"/>
                <w:w w:val="95"/>
              </w:rPr>
              <w:t>(Exact name of registrant as specified in its charter)</w:t>
            </w:r>
          </w:p>
        </w:tc>
        <w:tc>
          <w:tcPr>
            <w:tcW w:w="3640" w:type="dxa"/>
            <w:vAlign w:val="bottom"/>
          </w:tcPr>
          <w:p>
            <w:pPr>
              <w:spacing w:after="0"/>
              <w:rPr>
                <w:sz w:val="19"/>
                <w:szCs w:val="19"/>
                <w:color w:val="auto"/>
              </w:rPr>
            </w:pPr>
          </w:p>
        </w:tc>
      </w:tr>
      <w:tr>
        <w:trPr>
          <w:trHeight w:val="418"/>
        </w:trPr>
        <w:tc>
          <w:tcPr>
            <w:tcW w:w="436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1"/>
              </w:rPr>
              <w:t>Delaware</w:t>
            </w:r>
          </w:p>
        </w:tc>
        <w:tc>
          <w:tcPr>
            <w:tcW w:w="182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195"/>
        </w:trPr>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gridSpan w:val="4"/>
          </w:tcPr>
          <w:p>
            <w:pPr>
              <w:jc w:val="center"/>
              <w:ind w:right="370"/>
              <w:spacing w:after="0" w:line="195" w:lineRule="exact"/>
              <w:rPr>
                <w:sz w:val="20"/>
                <w:szCs w:val="20"/>
                <w:color w:val="auto"/>
              </w:rPr>
            </w:pPr>
            <w:r>
              <w:rPr>
                <w:rFonts w:ascii="Arial" w:cs="Arial" w:eastAsia="Arial" w:hAnsi="Arial"/>
                <w:sz w:val="18"/>
                <w:szCs w:val="18"/>
                <w:color w:val="auto"/>
                <w:w w:val="93"/>
              </w:rPr>
              <w:t>(Commission File</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4360" w:type="dxa"/>
            <w:vAlign w:val="bottom"/>
            <w:gridSpan w:val="3"/>
          </w:tcPr>
          <w:p>
            <w:pPr>
              <w:jc w:val="center"/>
              <w:ind w:right="680"/>
              <w:spacing w:after="0"/>
              <w:rPr>
                <w:sz w:val="20"/>
                <w:szCs w:val="20"/>
                <w:color w:val="auto"/>
              </w:rPr>
            </w:pPr>
            <w:r>
              <w:rPr>
                <w:rFonts w:ascii="Arial" w:cs="Arial" w:eastAsia="Arial" w:hAnsi="Arial"/>
                <w:sz w:val="18"/>
                <w:szCs w:val="18"/>
                <w:color w:val="auto"/>
                <w:w w:val="94"/>
              </w:rPr>
              <w:t>incorporation)</w:t>
            </w:r>
          </w:p>
        </w:tc>
        <w:tc>
          <w:tcPr>
            <w:tcW w:w="3420" w:type="dxa"/>
            <w:vAlign w:val="bottom"/>
            <w:gridSpan w:val="5"/>
          </w:tcPr>
          <w:p>
            <w:pPr>
              <w:jc w:val="center"/>
              <w:ind w:right="680"/>
              <w:spacing w:after="0"/>
              <w:rPr>
                <w:sz w:val="20"/>
                <w:szCs w:val="20"/>
                <w:color w:val="auto"/>
              </w:rPr>
            </w:pPr>
            <w:r>
              <w:rPr>
                <w:rFonts w:ascii="Arial" w:cs="Arial" w:eastAsia="Arial" w:hAnsi="Arial"/>
                <w:sz w:val="18"/>
                <w:szCs w:val="18"/>
                <w:color w:val="auto"/>
                <w:w w:val="94"/>
              </w:rPr>
              <w:t>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36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2"/>
              </w:rPr>
              <w:t>410 North Michigan Avenue</w:t>
            </w: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436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88"/>
              </w:rPr>
              <w:t>Suite 400</w:t>
            </w: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4"/>
        </w:trPr>
        <w:tc>
          <w:tcPr>
            <w:tcW w:w="4360" w:type="dxa"/>
            <w:vAlign w:val="bottom"/>
            <w:tcBorders>
              <w:bottom w:val="single" w:sz="8" w:color="auto"/>
            </w:tcBorders>
            <w:gridSpan w:val="3"/>
          </w:tcPr>
          <w:p>
            <w:pPr>
              <w:jc w:val="center"/>
              <w:ind w:left="1050"/>
              <w:spacing w:after="0"/>
              <w:rPr>
                <w:sz w:val="20"/>
                <w:szCs w:val="20"/>
                <w:color w:val="auto"/>
              </w:rPr>
            </w:pPr>
            <w:r>
              <w:rPr>
                <w:rFonts w:ascii="Arial" w:cs="Arial" w:eastAsia="Arial" w:hAnsi="Arial"/>
                <w:sz w:val="18"/>
                <w:szCs w:val="18"/>
                <w:b w:val="1"/>
                <w:bCs w:val="1"/>
                <w:color w:val="auto"/>
                <w:w w:val="91"/>
              </w:rPr>
              <w:t>Chicago, Illinois</w:t>
            </w:r>
          </w:p>
        </w:tc>
        <w:tc>
          <w:tcPr>
            <w:tcW w:w="11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24"/>
        </w:trPr>
        <w:tc>
          <w:tcPr>
            <w:tcW w:w="4360" w:type="dxa"/>
            <w:vAlign w:val="bottom"/>
            <w:gridSpan w:val="3"/>
          </w:tcPr>
          <w:p>
            <w:pPr>
              <w:ind w:left="1380"/>
              <w:spacing w:after="0"/>
              <w:rPr>
                <w:sz w:val="20"/>
                <w:szCs w:val="20"/>
                <w:color w:val="auto"/>
              </w:rPr>
            </w:pPr>
            <w:r>
              <w:rPr>
                <w:rFonts w:ascii="Arial" w:cs="Arial" w:eastAsia="Arial" w:hAnsi="Arial"/>
                <w:sz w:val="18"/>
                <w:szCs w:val="18"/>
                <w:color w:val="auto"/>
                <w:w w:val="96"/>
              </w:rPr>
              <w:t>(Address of principal executive offices)</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jc w:val="center"/>
              <w:ind w:right="1630"/>
              <w:spacing w:after="0"/>
              <w:rPr>
                <w:sz w:val="20"/>
                <w:szCs w:val="20"/>
                <w:color w:val="auto"/>
              </w:rPr>
            </w:pPr>
            <w:r>
              <w:rPr>
                <w:rFonts w:ascii="Arial" w:cs="Arial" w:eastAsia="Arial" w:hAnsi="Arial"/>
                <w:sz w:val="18"/>
                <w:szCs w:val="18"/>
                <w:color w:val="auto"/>
                <w:w w:val="94"/>
              </w:rPr>
              <w:t>(Zip Code)</w:t>
            </w:r>
          </w:p>
        </w:tc>
      </w:tr>
      <w:tr>
        <w:trPr>
          <w:trHeight w:val="418"/>
        </w:trPr>
        <w:tc>
          <w:tcPr>
            <w:tcW w:w="4360" w:type="dxa"/>
            <w:vAlign w:val="bottom"/>
            <w:gridSpan w:val="3"/>
          </w:tcPr>
          <w:p>
            <w:pPr>
              <w:jc w:val="center"/>
              <w:ind w:right="660"/>
              <w:spacing w:after="0"/>
              <w:rPr>
                <w:sz w:val="20"/>
                <w:szCs w:val="20"/>
                <w:color w:val="auto"/>
              </w:rPr>
            </w:pPr>
            <w:r>
              <w:rPr>
                <w:rFonts w:ascii="Arial" w:cs="Arial" w:eastAsia="Arial" w:hAnsi="Arial"/>
                <w:sz w:val="18"/>
                <w:szCs w:val="18"/>
                <w:color w:val="auto"/>
                <w:w w:val="89"/>
              </w:rPr>
              <w:t>Registrant’s telephone number, including area code</w:t>
            </w:r>
          </w:p>
        </w:tc>
        <w:tc>
          <w:tcPr>
            <w:tcW w:w="32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(312) 321-1515</w:t>
            </w: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0"/>
        </w:trPr>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r>
    </w:tbl>
    <w:p>
      <w:pPr>
        <w:spacing w:after="0" w:line="200" w:lineRule="exact"/>
        <w:rPr>
          <w:sz w:val="24"/>
          <w:szCs w:val="24"/>
          <w:color w:val="auto"/>
        </w:rPr>
      </w:pPr>
    </w:p>
    <w:p>
      <w:pPr>
        <w:spacing w:after="0" w:line="23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11, 2014, Oil-Dri Corporation of America (the “Registrant”) issued a press release announcing its results of operations for its second quarter ended January 31, 2014.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w:t>
            </w:r>
          </w:p>
        </w:tc>
        <w:tc>
          <w:tcPr>
            <w:tcW w:w="34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230"/>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340" w:type="dxa"/>
            <w:vAlign w:val="bottom"/>
          </w:tcPr>
          <w:p>
            <w:pPr>
              <w:spacing w:after="0"/>
              <w:rPr>
                <w:sz w:val="20"/>
                <w:szCs w:val="20"/>
                <w:color w:val="auto"/>
              </w:rPr>
            </w:pPr>
          </w:p>
        </w:tc>
        <w:tc>
          <w:tcPr>
            <w:tcW w:w="9920" w:type="dxa"/>
            <w:vAlign w:val="bottom"/>
            <w:tcBorders>
              <w:bottom w:val="single" w:sz="8" w:color="auto"/>
            </w:tcBorders>
          </w:tcPr>
          <w:p>
            <w:pPr>
              <w:ind w:left="4120"/>
              <w:spacing w:after="0"/>
              <w:rPr>
                <w:sz w:val="20"/>
                <w:szCs w:val="20"/>
                <w:color w:val="auto"/>
              </w:rPr>
            </w:pPr>
            <w:r>
              <w:rPr>
                <w:rFonts w:ascii="Arial" w:cs="Arial" w:eastAsia="Arial" w:hAnsi="Arial"/>
                <w:sz w:val="18"/>
                <w:szCs w:val="18"/>
                <w:color w:val="auto"/>
              </w:rPr>
              <w:t>Description of Exhibits</w:t>
            </w: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of the Registrant dated March 11, 2014 (Quarterly Earnings)</w:t>
            </w:r>
          </w:p>
        </w:tc>
      </w:tr>
      <w:tr>
        <w:trPr>
          <w:trHeight w:val="662"/>
        </w:trPr>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3" w:name="page4"/>
    <w:bookmarkEnd w:id="3"/>
    <w:p>
      <w:pPr>
        <w:jc w:val="center"/>
        <w:ind w:right="-5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OIL-DRI CORPORATION OF AMERICA</w:t>
      </w:r>
    </w:p>
    <w:p>
      <w:pPr>
        <w:spacing w:after="0" w:line="225" w:lineRule="exact"/>
        <w:rPr>
          <w:sz w:val="20"/>
          <w:szCs w:val="20"/>
          <w:color w:val="auto"/>
        </w:rPr>
      </w:pPr>
    </w:p>
    <w:p>
      <w:pPr>
        <w:ind w:left="3440"/>
        <w:spacing w:after="0"/>
        <w:tabs>
          <w:tab w:leader="none" w:pos="4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-130810</wp:posOffset>
            </wp:positionV>
            <wp:extent cx="4699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Vice President and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40"/>
          </w:cols>
          <w:pgMar w:left="240" w:top="1121" w:right="8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3"/>
          </w:tcPr>
          <w:p>
            <w:pPr>
              <w:ind w:left="3720"/>
              <w:spacing w:after="0"/>
              <w:rPr>
                <w:sz w:val="20"/>
                <w:szCs w:val="20"/>
                <w:color w:val="auto"/>
              </w:rPr>
            </w:pPr>
            <w:r>
              <w:rPr>
                <w:rFonts w:ascii="Arial" w:cs="Arial" w:eastAsia="Arial" w:hAnsi="Arial"/>
                <w:sz w:val="18"/>
                <w:szCs w:val="18"/>
                <w:color w:val="auto"/>
              </w:rPr>
              <w:t>Exhibit Index</w:t>
            </w:r>
          </w:p>
        </w:tc>
      </w:tr>
      <w:tr>
        <w:trPr>
          <w:trHeight w:val="438"/>
        </w:trPr>
        <w:tc>
          <w:tcPr>
            <w:tcW w:w="1160" w:type="dxa"/>
            <w:vAlign w:val="bottom"/>
          </w:tcPr>
          <w:p>
            <w:pPr>
              <w:spacing w:after="0"/>
              <w:rPr>
                <w:sz w:val="20"/>
                <w:szCs w:val="20"/>
                <w:color w:val="auto"/>
              </w:rPr>
            </w:pPr>
            <w:r>
              <w:rPr>
                <w:rFonts w:ascii="Arial" w:cs="Arial" w:eastAsia="Arial" w:hAnsi="Arial"/>
                <w:sz w:val="18"/>
                <w:szCs w:val="18"/>
                <w:color w:val="auto"/>
              </w:rPr>
              <w:t>Exhibit</w:t>
            </w:r>
          </w:p>
        </w:tc>
        <w:tc>
          <w:tcPr>
            <w:tcW w:w="3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30"/>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340" w:type="dxa"/>
            <w:vAlign w:val="bottom"/>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p>
        </w:tc>
        <w:tc>
          <w:tcPr>
            <w:tcW w:w="620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rPr>
              <w:t>Description of Exhibits</w:t>
            </w: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4"/>
          </w:tcPr>
          <w:p>
            <w:pPr>
              <w:ind w:left="340"/>
              <w:spacing w:after="0"/>
              <w:rPr>
                <w:sz w:val="20"/>
                <w:szCs w:val="20"/>
                <w:color w:val="auto"/>
              </w:rPr>
            </w:pPr>
            <w:r>
              <w:rPr>
                <w:rFonts w:ascii="Arial" w:cs="Arial" w:eastAsia="Arial" w:hAnsi="Arial"/>
                <w:sz w:val="18"/>
                <w:szCs w:val="18"/>
                <w:color w:val="auto"/>
              </w:rPr>
              <w:t>Press Release of the Registrant dated March 11, 2014 (Quarterly Earnings)</w:t>
            </w:r>
          </w:p>
        </w:tc>
      </w:tr>
      <w:tr>
        <w:trPr>
          <w:trHeight w:val="662"/>
        </w:trPr>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1107" w:right="239" w:bottom="1440"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bookmarkStart w:id="5" w:name="page6"/>
    <w:bookmarkEnd w:id="5"/>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835025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3081655</wp:posOffset>
            </wp:positionH>
            <wp:positionV relativeFrom="page">
              <wp:posOffset>226060</wp:posOffset>
            </wp:positionV>
            <wp:extent cx="1406525" cy="471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06525" cy="47180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Announces Record Sales for Second Quarter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First Six-Months of Fiscal 2014</w:t>
      </w:r>
    </w:p>
    <w:p>
      <w:pPr>
        <w:spacing w:after="0" w:line="211"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CHICAGO—(March 11, 2014)—Oil-Dri Corporation of America (NYSE: ODC) today announced net sales of $69,305,000 for the second quarter ended January 31, 2014, a 13% increase compared with net sales of $61,122,000 in the same quarter one year ago. Net income for the second quarter was $4,281,000, or $0.60 per diluted share, up 94% from net income of $2,146,000, or $0.31 per diluted share, for the same quarter of fiscal 2013.</w:t>
      </w:r>
    </w:p>
    <w:p>
      <w:pPr>
        <w:spacing w:after="0" w:line="14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Net sales for the six-month period were $132,851,000, an 8% increase compared with net sales of $122,539,000 in the same period one year ago. Net income for the six-month period was $7,168,000, or $1.01 per diluted share, up 7% from net income of $6,598,000, or $0.94 per diluted share, in the same period of fiscal 2013.</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income was up in both periods due to increased sales and decreased selling, general and administrative expenses, including advertising. Net income was adversely impacted by increased costs, predominately the rising cost of natural gas. Compared to fiscal 2013, the cost of natural gas used increased 28% in the quarter and 33% for the first six months.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Review</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President and Chief Executive Officer Daniel S. Jaffee said, “We are pleased to report record sales results for the quarter and six-month period. Strong growth occurred in many of our market areas. For example, demand increased for our Pure-Flo bleaching earth and Calibrin animal health products. This demand is consistent with the continued global growth of vegetable oils and fats as well as livestock consumption.</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“Additionally, sales of Cat’s Pride Fresh &amp; Light grew 60% in the second quarter versus the same quarter last year, contributing to an 18% increase in overall branded cat litter sales. Private label cat litter sales also increased significantly in the second quarter driven primarily by the previously reported acquisition of certain assets of MFM Industries, Inc. (“MFM”) on November 1, 2013. New private label cat litter sales to MFM-related customers accounted for more than $3,000,000 in sales for the quarter.</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“Our team united to effectively meet the challenge of servicing the business and customers we acquired in the MFM acquisition which occurred at the beginning of the quarter.”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Reagan B. Culbertson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Investor Relations, Oil-Dri Corporation of America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reagan.culbertson@oildri.com</w:t>
      </w:r>
    </w:p>
    <w:p>
      <w:pPr>
        <w:spacing w:after="0" w:line="9" w:lineRule="exact"/>
        <w:rPr>
          <w:sz w:val="20"/>
          <w:szCs w:val="20"/>
          <w:color w:val="auto"/>
        </w:rPr>
      </w:pPr>
    </w:p>
    <w:p>
      <w:pPr>
        <w:ind w:left="5600" w:hanging="441"/>
        <w:spacing w:after="0"/>
        <w:tabs>
          <w:tab w:leader="none" w:pos="5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706 3256</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1177925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3081655</wp:posOffset>
            </wp:positionH>
            <wp:positionV relativeFrom="page">
              <wp:posOffset>568960</wp:posOffset>
            </wp:positionV>
            <wp:extent cx="1406525"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06525" cy="47180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Segment Review</w:t>
            </w: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4480" w:type="dxa"/>
            <w:vAlign w:val="bottom"/>
          </w:tcPr>
          <w:p>
            <w:pPr>
              <w:jc w:val="center"/>
              <w:ind w:left="1630"/>
              <w:spacing w:after="0"/>
              <w:rPr>
                <w:sz w:val="20"/>
                <w:szCs w:val="20"/>
                <w:color w:val="auto"/>
              </w:rPr>
            </w:pPr>
            <w:r>
              <w:rPr>
                <w:rFonts w:ascii="Arial" w:cs="Arial" w:eastAsia="Arial" w:hAnsi="Arial"/>
                <w:sz w:val="18"/>
                <w:szCs w:val="18"/>
                <w:b w:val="1"/>
                <w:bCs w:val="1"/>
                <w:color w:val="auto"/>
                <w:w w:val="83"/>
              </w:rPr>
              <w:t>Business to Business</w:t>
            </w: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gridSpan w:val="4"/>
          </w:tcPr>
          <w:p>
            <w:pPr>
              <w:jc w:val="right"/>
              <w:ind w:right="1180"/>
              <w:spacing w:after="0"/>
              <w:rPr>
                <w:sz w:val="20"/>
                <w:szCs w:val="20"/>
                <w:color w:val="auto"/>
              </w:rPr>
            </w:pPr>
            <w:r>
              <w:rPr>
                <w:rFonts w:ascii="Arial" w:cs="Arial" w:eastAsia="Arial" w:hAnsi="Arial"/>
                <w:sz w:val="18"/>
                <w:szCs w:val="18"/>
                <w:b w:val="1"/>
                <w:bCs w:val="1"/>
                <w:color w:val="auto"/>
              </w:rPr>
              <w:t>Second Quarter</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4480" w:type="dxa"/>
            <w:vAlign w:val="bottom"/>
          </w:tcPr>
          <w:p>
            <w:pPr>
              <w:jc w:val="center"/>
              <w:ind w:left="1630"/>
              <w:spacing w:after="0"/>
              <w:rPr>
                <w:sz w:val="20"/>
                <w:szCs w:val="20"/>
                <w:color w:val="auto"/>
              </w:rPr>
            </w:pPr>
            <w:r>
              <w:rPr>
                <w:rFonts w:ascii="Arial" w:cs="Arial" w:eastAsia="Arial" w:hAnsi="Arial"/>
                <w:sz w:val="18"/>
                <w:szCs w:val="18"/>
                <w:b w:val="1"/>
                <w:bCs w:val="1"/>
                <w:color w:val="auto"/>
                <w:w w:val="87"/>
              </w:rPr>
              <w:t>Products</w:t>
            </w: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4"/>
          </w:tcPr>
          <w:p>
            <w:pPr>
              <w:jc w:val="right"/>
              <w:ind w:right="840"/>
              <w:spacing w:after="0"/>
              <w:rPr>
                <w:sz w:val="20"/>
                <w:szCs w:val="20"/>
                <w:color w:val="auto"/>
              </w:rPr>
            </w:pPr>
            <w:r>
              <w:rPr>
                <w:rFonts w:ascii="Arial" w:cs="Arial" w:eastAsia="Arial" w:hAnsi="Arial"/>
                <w:sz w:val="18"/>
                <w:szCs w:val="18"/>
                <w:b w:val="1"/>
                <w:bCs w:val="1"/>
                <w:i w:val="1"/>
                <w:iCs w:val="1"/>
                <w:color w:val="auto"/>
              </w:rPr>
              <w:t>November 1 – January 31</w:t>
            </w:r>
          </w:p>
        </w:tc>
        <w:tc>
          <w:tcPr>
            <w:tcW w:w="16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4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Fiscal 2014</w:t>
            </w: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Fiscal 2013</w:t>
            </w: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shd w:val="clear" w:color="auto" w:fill="CCFFCC"/>
          </w:tcPr>
          <w:p>
            <w:pPr>
              <w:jc w:val="center"/>
              <w:ind w:left="1630"/>
              <w:spacing w:after="0"/>
              <w:rPr>
                <w:sz w:val="20"/>
                <w:szCs w:val="20"/>
                <w:color w:val="auto"/>
              </w:rPr>
            </w:pPr>
            <w:r>
              <w:rPr>
                <w:rFonts w:ascii="Arial" w:cs="Arial" w:eastAsia="Arial" w:hAnsi="Arial"/>
                <w:sz w:val="18"/>
                <w:szCs w:val="18"/>
                <w:color w:val="auto"/>
                <w:w w:val="87"/>
              </w:rPr>
              <w:t>Net Sales</w:t>
            </w:r>
          </w:p>
        </w:tc>
        <w:tc>
          <w:tcPr>
            <w:tcW w:w="21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25,264,000</w:t>
            </w:r>
          </w:p>
        </w:tc>
        <w:tc>
          <w:tcPr>
            <w:tcW w:w="3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21,715,000</w:t>
            </w:r>
          </w:p>
        </w:tc>
        <w:tc>
          <w:tcPr>
            <w:tcW w:w="16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w:t>
            </w:r>
          </w:p>
        </w:tc>
      </w:tr>
      <w:tr>
        <w:trPr>
          <w:trHeight w:val="230"/>
        </w:trPr>
        <w:tc>
          <w:tcPr>
            <w:tcW w:w="4480" w:type="dxa"/>
            <w:vAlign w:val="bottom"/>
          </w:tcPr>
          <w:p>
            <w:pPr>
              <w:jc w:val="center"/>
              <w:ind w:left="1610"/>
              <w:spacing w:after="0"/>
              <w:rPr>
                <w:sz w:val="20"/>
                <w:szCs w:val="20"/>
                <w:color w:val="auto"/>
              </w:rPr>
            </w:pPr>
            <w:r>
              <w:rPr>
                <w:rFonts w:ascii="Arial" w:cs="Arial" w:eastAsia="Arial" w:hAnsi="Arial"/>
                <w:sz w:val="18"/>
                <w:szCs w:val="18"/>
                <w:color w:val="auto"/>
                <w:w w:val="89"/>
              </w:rPr>
              <w:t>Segment Income</w:t>
            </w:r>
          </w:p>
        </w:tc>
        <w:tc>
          <w:tcPr>
            <w:tcW w:w="2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7,993,000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7,101,000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bl>
    <w:p>
      <w:pPr>
        <w:spacing w:after="0" w:line="187"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The increase in net sales of Business to Business products in the second quarter can be attributed to a favorable product mix, higher selling prices and a 3% volume increase. Segment income was positively impacted by improved sales, but limited by increases in materials and freight costs. Net sales of Pure-Flo and Select fluids purification products were up in both domestic and foreign markets, as were sales of Calibrin bacterial and fungal toxin binders, which are sold in foreign markets. Sales of Agsorb used as agricultural chemical carriers increased while co-packaged coarse cat litter sales were down slightly.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Business to Business</w:t>
            </w:r>
          </w:p>
        </w:tc>
        <w:tc>
          <w:tcPr>
            <w:tcW w:w="200" w:type="dxa"/>
            <w:vAlign w:val="bottom"/>
          </w:tcPr>
          <w:p>
            <w:pPr>
              <w:spacing w:after="0"/>
              <w:rPr>
                <w:sz w:val="18"/>
                <w:szCs w:val="18"/>
                <w:color w:val="auto"/>
              </w:rPr>
            </w:pPr>
          </w:p>
        </w:tc>
        <w:tc>
          <w:tcPr>
            <w:tcW w:w="3180" w:type="dxa"/>
            <w:vAlign w:val="bottom"/>
            <w:gridSpan w:val="4"/>
          </w:tcPr>
          <w:p>
            <w:pPr>
              <w:jc w:val="right"/>
              <w:ind w:right="1360"/>
              <w:spacing w:after="0"/>
              <w:rPr>
                <w:sz w:val="20"/>
                <w:szCs w:val="20"/>
                <w:color w:val="auto"/>
              </w:rPr>
            </w:pPr>
            <w:r>
              <w:rPr>
                <w:rFonts w:ascii="Arial" w:cs="Arial" w:eastAsia="Arial" w:hAnsi="Arial"/>
                <w:sz w:val="18"/>
                <w:szCs w:val="18"/>
                <w:b w:val="1"/>
                <w:bCs w:val="1"/>
                <w:color w:val="auto"/>
              </w:rPr>
              <w:t>Six Months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6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Products</w:t>
            </w:r>
          </w:p>
        </w:tc>
        <w:tc>
          <w:tcPr>
            <w:tcW w:w="200" w:type="dxa"/>
            <w:vAlign w:val="bottom"/>
          </w:tcPr>
          <w:p>
            <w:pPr>
              <w:spacing w:after="0"/>
              <w:rPr>
                <w:sz w:val="20"/>
                <w:szCs w:val="20"/>
                <w:color w:val="auto"/>
              </w:rPr>
            </w:pPr>
          </w:p>
        </w:tc>
        <w:tc>
          <w:tcPr>
            <w:tcW w:w="3180" w:type="dxa"/>
            <w:vAlign w:val="bottom"/>
            <w:gridSpan w:val="4"/>
          </w:tcPr>
          <w:p>
            <w:pPr>
              <w:jc w:val="right"/>
              <w:ind w:right="940"/>
              <w:spacing w:after="0"/>
              <w:rPr>
                <w:sz w:val="20"/>
                <w:szCs w:val="20"/>
                <w:color w:val="auto"/>
              </w:rPr>
            </w:pPr>
            <w:r>
              <w:rPr>
                <w:rFonts w:ascii="Arial" w:cs="Arial" w:eastAsia="Arial" w:hAnsi="Arial"/>
                <w:sz w:val="18"/>
                <w:szCs w:val="18"/>
                <w:b w:val="1"/>
                <w:bCs w:val="1"/>
                <w:i w:val="1"/>
                <w:iCs w:val="1"/>
                <w:color w:val="auto"/>
              </w:rPr>
              <w:t>August 1 – January 31</w:t>
            </w:r>
          </w:p>
        </w:tc>
        <w:tc>
          <w:tcPr>
            <w:tcW w:w="16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Change</w:t>
            </w:r>
          </w:p>
        </w:tc>
      </w:tr>
      <w:tr>
        <w:trPr>
          <w:trHeight w:val="210"/>
        </w:trPr>
        <w:tc>
          <w:tcPr>
            <w:tcW w:w="6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Fiscal 2014</w:t>
            </w: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Fiscal 2013</w:t>
            </w: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00" w:type="dxa"/>
            <w:vAlign w:val="bottom"/>
            <w:gridSpan w:val="2"/>
            <w:shd w:val="clear" w:color="auto" w:fill="CCFFCC"/>
          </w:tcPr>
          <w:p>
            <w:pPr>
              <w:jc w:val="center"/>
              <w:ind w:right="200"/>
              <w:spacing w:after="0"/>
              <w:rPr>
                <w:sz w:val="20"/>
                <w:szCs w:val="20"/>
                <w:color w:val="auto"/>
              </w:rPr>
            </w:pPr>
            <w:r>
              <w:rPr>
                <w:rFonts w:ascii="Arial" w:cs="Arial" w:eastAsia="Arial" w:hAnsi="Arial"/>
                <w:sz w:val="18"/>
                <w:szCs w:val="18"/>
                <w:color w:val="auto"/>
                <w:w w:val="87"/>
              </w:rPr>
              <w:t>Net Sales</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49,179,000</w:t>
            </w:r>
          </w:p>
        </w:tc>
        <w:tc>
          <w:tcPr>
            <w:tcW w:w="3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43,497,000</w:t>
            </w:r>
          </w:p>
        </w:tc>
        <w:tc>
          <w:tcPr>
            <w:tcW w:w="16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w:t>
            </w:r>
          </w:p>
        </w:tc>
      </w:tr>
      <w:tr>
        <w:trPr>
          <w:trHeight w:val="230"/>
        </w:trPr>
        <w:tc>
          <w:tcPr>
            <w:tcW w:w="64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Segment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15,644,000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14,624,000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bl>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increase in net sales for the segment in the six-month period can also be attributed to a favorable product mix, higher selling prices and a 3% volume increase. Segment income increased from one year ago due to improved sales, but was again adversely impacted by materials, freight and packaging costs. Net sales of fluids purification and animal health products led the growth, including increased sales of Calibrin broad-spectrum toxin binders. Agsorb carriers sold to corn rootworm pesticide producers were also up and co-packaged coarse cat litter sales were down slightly compared to the first six months of fiscal 2013.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Reagan B. Culbertson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Investor Relations, Oil-Dri Corporation of America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reagan.culbertson@oildri.com</w:t>
      </w:r>
    </w:p>
    <w:p>
      <w:pPr>
        <w:spacing w:after="0" w:line="9" w:lineRule="exact"/>
        <w:rPr>
          <w:sz w:val="20"/>
          <w:szCs w:val="20"/>
          <w:color w:val="auto"/>
        </w:rPr>
      </w:pPr>
    </w:p>
    <w:p>
      <w:pPr>
        <w:ind w:left="5600" w:hanging="441"/>
        <w:spacing w:after="0"/>
        <w:tabs>
          <w:tab w:leader="none" w:pos="5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706 3256</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1177925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3081655</wp:posOffset>
            </wp:positionH>
            <wp:positionV relativeFrom="page">
              <wp:posOffset>568960</wp:posOffset>
            </wp:positionV>
            <wp:extent cx="1406525"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06525" cy="47180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Retail and Wholesale</w:t>
            </w:r>
          </w:p>
        </w:tc>
        <w:tc>
          <w:tcPr>
            <w:tcW w:w="200" w:type="dxa"/>
            <w:vAlign w:val="bottom"/>
          </w:tcPr>
          <w:p>
            <w:pPr>
              <w:spacing w:after="0"/>
              <w:rPr>
                <w:sz w:val="18"/>
                <w:szCs w:val="18"/>
                <w:color w:val="auto"/>
              </w:rPr>
            </w:pPr>
          </w:p>
        </w:tc>
        <w:tc>
          <w:tcPr>
            <w:tcW w:w="3180" w:type="dxa"/>
            <w:vAlign w:val="bottom"/>
            <w:gridSpan w:val="4"/>
          </w:tcPr>
          <w:p>
            <w:pPr>
              <w:jc w:val="right"/>
              <w:ind w:right="1180"/>
              <w:spacing w:after="0"/>
              <w:rPr>
                <w:sz w:val="20"/>
                <w:szCs w:val="20"/>
                <w:color w:val="auto"/>
              </w:rPr>
            </w:pPr>
            <w:r>
              <w:rPr>
                <w:rFonts w:ascii="Arial" w:cs="Arial" w:eastAsia="Arial" w:hAnsi="Arial"/>
                <w:sz w:val="18"/>
                <w:szCs w:val="18"/>
                <w:b w:val="1"/>
                <w:bCs w:val="1"/>
                <w:color w:val="auto"/>
              </w:rPr>
              <w:t>Second Quarter</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6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Products</w:t>
            </w:r>
          </w:p>
        </w:tc>
        <w:tc>
          <w:tcPr>
            <w:tcW w:w="200" w:type="dxa"/>
            <w:vAlign w:val="bottom"/>
          </w:tcPr>
          <w:p>
            <w:pPr>
              <w:spacing w:after="0"/>
              <w:rPr>
                <w:sz w:val="20"/>
                <w:szCs w:val="20"/>
                <w:color w:val="auto"/>
              </w:rPr>
            </w:pPr>
          </w:p>
        </w:tc>
        <w:tc>
          <w:tcPr>
            <w:tcW w:w="3180" w:type="dxa"/>
            <w:vAlign w:val="bottom"/>
            <w:gridSpan w:val="4"/>
          </w:tcPr>
          <w:p>
            <w:pPr>
              <w:jc w:val="right"/>
              <w:ind w:right="840"/>
              <w:spacing w:after="0"/>
              <w:rPr>
                <w:sz w:val="20"/>
                <w:szCs w:val="20"/>
                <w:color w:val="auto"/>
              </w:rPr>
            </w:pPr>
            <w:r>
              <w:rPr>
                <w:rFonts w:ascii="Arial" w:cs="Arial" w:eastAsia="Arial" w:hAnsi="Arial"/>
                <w:sz w:val="18"/>
                <w:szCs w:val="18"/>
                <w:b w:val="1"/>
                <w:bCs w:val="1"/>
                <w:i w:val="1"/>
                <w:iCs w:val="1"/>
                <w:color w:val="auto"/>
              </w:rPr>
              <w:t>November 1 – January 31</w:t>
            </w:r>
          </w:p>
        </w:tc>
        <w:tc>
          <w:tcPr>
            <w:tcW w:w="16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Change</w:t>
            </w:r>
          </w:p>
        </w:tc>
      </w:tr>
      <w:tr>
        <w:trPr>
          <w:trHeight w:val="210"/>
        </w:trPr>
        <w:tc>
          <w:tcPr>
            <w:tcW w:w="6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Fiscal 2014</w:t>
            </w: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Fiscal 2013</w:t>
            </w: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00" w:type="dxa"/>
            <w:vAlign w:val="bottom"/>
            <w:gridSpan w:val="2"/>
            <w:shd w:val="clear" w:color="auto" w:fill="CCFFCC"/>
          </w:tcPr>
          <w:p>
            <w:pPr>
              <w:jc w:val="center"/>
              <w:ind w:right="200"/>
              <w:spacing w:after="0"/>
              <w:rPr>
                <w:sz w:val="20"/>
                <w:szCs w:val="20"/>
                <w:color w:val="auto"/>
              </w:rPr>
            </w:pPr>
            <w:r>
              <w:rPr>
                <w:rFonts w:ascii="Arial" w:cs="Arial" w:eastAsia="Arial" w:hAnsi="Arial"/>
                <w:sz w:val="18"/>
                <w:szCs w:val="18"/>
                <w:color w:val="auto"/>
                <w:w w:val="87"/>
              </w:rPr>
              <w:t>Net Sales</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44,041,000</w:t>
            </w:r>
          </w:p>
        </w:tc>
        <w:tc>
          <w:tcPr>
            <w:tcW w:w="3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39,407,000</w:t>
            </w:r>
          </w:p>
        </w:tc>
        <w:tc>
          <w:tcPr>
            <w:tcW w:w="16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w:t>
            </w:r>
          </w:p>
        </w:tc>
      </w:tr>
      <w:tr>
        <w:trPr>
          <w:trHeight w:val="230"/>
        </w:trPr>
        <w:tc>
          <w:tcPr>
            <w:tcW w:w="64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Segment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2,982,000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1,936,000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bl>
    <w:p>
      <w:pPr>
        <w:spacing w:after="0" w:line="18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increase in net sales of Retail and Wholesale products in the second quarter can be attributed to a 15% increase in volume but was partially offset by increased trade spending. Private label cat litter sales increased approximately 24% due to additional sales from the acquisition of MFM. Net sales of industrial absorbents and for our foreign subsidiaries were down. Segment income increased due to higher sales and lower advertising and promotional expenses, and was decreased by packaging and materials costs. Income was also reduced by higher manufacturing costs and lower margins on private label products.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Retail and Wholesale</w:t>
            </w:r>
          </w:p>
        </w:tc>
        <w:tc>
          <w:tcPr>
            <w:tcW w:w="200" w:type="dxa"/>
            <w:vAlign w:val="bottom"/>
          </w:tcPr>
          <w:p>
            <w:pPr>
              <w:spacing w:after="0"/>
              <w:rPr>
                <w:sz w:val="18"/>
                <w:szCs w:val="18"/>
                <w:color w:val="auto"/>
              </w:rPr>
            </w:pPr>
          </w:p>
        </w:tc>
        <w:tc>
          <w:tcPr>
            <w:tcW w:w="3180" w:type="dxa"/>
            <w:vAlign w:val="bottom"/>
            <w:gridSpan w:val="4"/>
          </w:tcPr>
          <w:p>
            <w:pPr>
              <w:jc w:val="right"/>
              <w:ind w:right="1360"/>
              <w:spacing w:after="0"/>
              <w:rPr>
                <w:sz w:val="20"/>
                <w:szCs w:val="20"/>
                <w:color w:val="auto"/>
              </w:rPr>
            </w:pPr>
            <w:r>
              <w:rPr>
                <w:rFonts w:ascii="Arial" w:cs="Arial" w:eastAsia="Arial" w:hAnsi="Arial"/>
                <w:sz w:val="18"/>
                <w:szCs w:val="18"/>
                <w:b w:val="1"/>
                <w:bCs w:val="1"/>
                <w:color w:val="auto"/>
              </w:rPr>
              <w:t>Six Months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6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Products</w:t>
            </w:r>
          </w:p>
        </w:tc>
        <w:tc>
          <w:tcPr>
            <w:tcW w:w="200" w:type="dxa"/>
            <w:vAlign w:val="bottom"/>
          </w:tcPr>
          <w:p>
            <w:pPr>
              <w:spacing w:after="0"/>
              <w:rPr>
                <w:sz w:val="20"/>
                <w:szCs w:val="20"/>
                <w:color w:val="auto"/>
              </w:rPr>
            </w:pPr>
          </w:p>
        </w:tc>
        <w:tc>
          <w:tcPr>
            <w:tcW w:w="3180" w:type="dxa"/>
            <w:vAlign w:val="bottom"/>
            <w:gridSpan w:val="4"/>
          </w:tcPr>
          <w:p>
            <w:pPr>
              <w:jc w:val="right"/>
              <w:ind w:right="940"/>
              <w:spacing w:after="0"/>
              <w:rPr>
                <w:sz w:val="20"/>
                <w:szCs w:val="20"/>
                <w:color w:val="auto"/>
              </w:rPr>
            </w:pPr>
            <w:r>
              <w:rPr>
                <w:rFonts w:ascii="Arial" w:cs="Arial" w:eastAsia="Arial" w:hAnsi="Arial"/>
                <w:sz w:val="18"/>
                <w:szCs w:val="18"/>
                <w:b w:val="1"/>
                <w:bCs w:val="1"/>
                <w:i w:val="1"/>
                <w:iCs w:val="1"/>
                <w:color w:val="auto"/>
              </w:rPr>
              <w:t>August 1 – January 31</w:t>
            </w:r>
          </w:p>
        </w:tc>
        <w:tc>
          <w:tcPr>
            <w:tcW w:w="16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Change</w:t>
            </w:r>
          </w:p>
        </w:tc>
      </w:tr>
      <w:tr>
        <w:trPr>
          <w:trHeight w:val="210"/>
        </w:trPr>
        <w:tc>
          <w:tcPr>
            <w:tcW w:w="6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Fiscal 2014</w:t>
            </w: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Fiscal 2013</w:t>
            </w: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00" w:type="dxa"/>
            <w:vAlign w:val="bottom"/>
            <w:gridSpan w:val="2"/>
            <w:shd w:val="clear" w:color="auto" w:fill="CCFFCC"/>
          </w:tcPr>
          <w:p>
            <w:pPr>
              <w:jc w:val="center"/>
              <w:ind w:right="200"/>
              <w:spacing w:after="0"/>
              <w:rPr>
                <w:sz w:val="20"/>
                <w:szCs w:val="20"/>
                <w:color w:val="auto"/>
              </w:rPr>
            </w:pPr>
            <w:r>
              <w:rPr>
                <w:rFonts w:ascii="Arial" w:cs="Arial" w:eastAsia="Arial" w:hAnsi="Arial"/>
                <w:sz w:val="18"/>
                <w:szCs w:val="18"/>
                <w:color w:val="auto"/>
                <w:w w:val="87"/>
              </w:rPr>
              <w:t>Net Sales</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83,672,000</w:t>
            </w:r>
          </w:p>
        </w:tc>
        <w:tc>
          <w:tcPr>
            <w:tcW w:w="3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79,042,000</w:t>
            </w:r>
          </w:p>
        </w:tc>
        <w:tc>
          <w:tcPr>
            <w:tcW w:w="16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w:t>
            </w:r>
          </w:p>
        </w:tc>
      </w:tr>
      <w:tr>
        <w:trPr>
          <w:trHeight w:val="230"/>
        </w:trPr>
        <w:tc>
          <w:tcPr>
            <w:tcW w:w="64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Segment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4,257,000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6,460,000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bl>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increase in net sales for the segment in the first six months can be attributed to a 6% increase in volume from one year ago but was partially offset by an increase in trade spending. Private label cat litter sales increased approximately 5% due to additional sales from the MFM acquisition. Sales declined for industrial absorbents and for our foreign subsidiaries. Segment income was reduced by an approximate 5% increase in costs for packaging, freight and materials and by higher selling, general and administrative expenses, including sales commissions. Income was also reduced by higher manufacturing costs and lower margins on private label products.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Reagan B. Culbertson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Investor Relations, Oil-Dri Corporation of America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reagan.culbertson@oildri.com</w:t>
      </w:r>
    </w:p>
    <w:p>
      <w:pPr>
        <w:spacing w:after="0" w:line="9" w:lineRule="exact"/>
        <w:rPr>
          <w:sz w:val="20"/>
          <w:szCs w:val="20"/>
          <w:color w:val="auto"/>
        </w:rPr>
      </w:pPr>
    </w:p>
    <w:p>
      <w:pPr>
        <w:ind w:left="5600" w:hanging="441"/>
        <w:spacing w:after="0"/>
        <w:tabs>
          <w:tab w:leader="none" w:pos="5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706 3256</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1177925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3081655</wp:posOffset>
            </wp:positionH>
            <wp:positionV relativeFrom="page">
              <wp:posOffset>568960</wp:posOffset>
            </wp:positionV>
            <wp:extent cx="1406525" cy="471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06525" cy="47180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Review</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MFM acquisition, along with the payment of the annual incentive bonus, repayments of notes payable and quarterly dividends were the primary reasons for the reduction of cash, cash equivalents, restricted cash and short-term investments to $19,682,000 at January 31, 2014.</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Capital expenditures for the six-month period totaled $6,782,000, which was $1,922,000 more than depreciation and amortization of $4,860,000. Capital expenditures were made for equipment replacement at our manufacturing facilities and capacity expansion projects. Capital expenditures were $5,009,000 for the first six-months of fiscal 2013.</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Cash provided by operating activities was $2,400,000 in the first six months of fiscal 2014, which was lower than the $10,811,000 in the first six months of fiscal 2013. The primary reason for the change between years was an increase in inventory and accounts receivable associated with higher sales and a decrease in accrued expenses.</w:t>
      </w:r>
    </w:p>
    <w:p>
      <w:pPr>
        <w:spacing w:after="0" w:line="18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On December 11, 2013, Oil-Dri’s Board of Directors declared a quarterly cash dividend of $0.19 per share of outstanding Common Stock and $0.1425 per share of outstanding Class B Stock. The dividends were paid on March 7, 2014 to stockholders of record at the close of business on Friday, February 21, 2014. The Company has paid cash dividends continuously since 1974 and has increased dividends annually for each of the past ten years.</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At the end of the second quarter, the annualized dividend yield on the Company’s Common Stock was 2.2%, based on the quarter’s closing stock price of $34.35 per share and an annual cash dividend of $0.76.</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Looking Forward</w:t>
      </w:r>
    </w:p>
    <w:p>
      <w:pPr>
        <w:spacing w:after="0" w:line="229"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Jaffee continued, “We believe net income for the second half of fiscal 2014 will be negatively impacted by cost pressures. This expectation is based on the assumptions that higher natural gas and other manufacturing costs will persist throughout fiscal 2014 and our effective tax rate for the year will be closer to historic norms rather than the approximate 17% reported for the full year of fiscal 2013. We also have a robust marketing program for Cat’s Pride Fresh &amp; Light planned for the back half of the year and accordingly annual advertising and promotional spending is expected to be higher than in fiscal 2013.</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spite of the expected effect of these items on earnings in fiscal 2014, we are very optimistic going forward as the second half of the year will be a busy and exciting period. We anticipate the completion of the capacity expansion project for our fluids purification products, the grand opening of Amlan Trading (Shenzhen) Company, Ltd. and the introduction of Varium, our new animal gut health product.”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Reagan B. Culbertson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Investor Relations, Oil-Dri Corporation of America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reagan.culbertson@oildri.com</w:t>
      </w:r>
    </w:p>
    <w:p>
      <w:pPr>
        <w:spacing w:after="0" w:line="9" w:lineRule="exact"/>
        <w:rPr>
          <w:sz w:val="20"/>
          <w:szCs w:val="20"/>
          <w:color w:val="auto"/>
        </w:rPr>
      </w:pPr>
    </w:p>
    <w:p>
      <w:pPr>
        <w:ind w:left="5600" w:hanging="441"/>
        <w:spacing w:after="0"/>
        <w:tabs>
          <w:tab w:leader="none" w:pos="5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706 3256</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1177925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3081655</wp:posOffset>
            </wp:positionH>
            <wp:positionV relativeFrom="page">
              <wp:posOffset>568960</wp:posOffset>
            </wp:positionV>
            <wp:extent cx="1406525" cy="4718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06525" cy="47180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Oil-Dri Corporation of America is a leading supplier of specialty sorbent products for agricultural, horticultural, fluids purification, specialty markets, industrial and automotive, and is the world’s largest manufacturer of cat litter.</w:t>
      </w:r>
    </w:p>
    <w:p>
      <w:pPr>
        <w:spacing w:after="0" w:line="16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 xml:space="preserve">The Company will offer a live webcast of the second quarter earnings teleconference on </w:t>
      </w:r>
      <w:r>
        <w:rPr>
          <w:rFonts w:ascii="Arial" w:cs="Arial" w:eastAsia="Arial" w:hAnsi="Arial"/>
          <w:sz w:val="18"/>
          <w:szCs w:val="18"/>
          <w:b w:val="1"/>
          <w:bCs w:val="1"/>
          <w:color w:val="auto"/>
        </w:rPr>
        <w:t>Wednesday, March 12, 2014 from 10:00 am to 10:30 am, Central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Time. </w:t>
      </w:r>
      <w:r>
        <w:rPr>
          <w:rFonts w:ascii="Arial" w:cs="Arial" w:eastAsia="Arial" w:hAnsi="Arial"/>
          <w:sz w:val="18"/>
          <w:szCs w:val="18"/>
          <w:color w:val="auto"/>
        </w:rPr>
        <w:t>To listen via the web, visit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www.streetevents.com</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www.oildri.com</w:t>
      </w:r>
      <w:r>
        <w:rPr>
          <w:rFonts w:ascii="Arial" w:cs="Arial" w:eastAsia="Arial" w:hAnsi="Arial"/>
          <w:sz w:val="18"/>
          <w:szCs w:val="18"/>
          <w:color w:val="auto"/>
        </w:rPr>
        <w:t>. An archived recording of the call and written transcripts of all teleconferences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are posted on the Oil-Dri website.</w:t>
      </w:r>
    </w:p>
    <w:p>
      <w:pPr>
        <w:spacing w:after="0" w:line="18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i w:val="1"/>
          <w:iCs w:val="1"/>
          <w:color w:val="auto"/>
        </w:rPr>
        <w:t>Agsorb, Amlan, Calibrin, Cat’s Pride, Fresh &amp; Light, Pure-Flo and Select are registered trademarks of Oil-Dri Corporation of America. Varium is a trademark of Oil-Dri Corporation of America.</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Oil-Dri Corporation of America is a leading supplier of specialty sorbent products for agricultural, horticultural, fluids purification, specialty markets, industrial and automotive, and is the world’s largest manufacturer of cat litter.</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Certain statements in this press release, including the reasons for comparisons between fiscal 2014 and 2013 earnings,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Reagan B. Culbertson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Investor Relations, Oil-Dri Corporation of America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reagan.culbertson@oildri.com</w:t>
      </w:r>
    </w:p>
    <w:p>
      <w:pPr>
        <w:spacing w:after="0" w:line="9" w:lineRule="exact"/>
        <w:rPr>
          <w:sz w:val="20"/>
          <w:szCs w:val="20"/>
          <w:color w:val="auto"/>
        </w:rPr>
      </w:pPr>
    </w:p>
    <w:p>
      <w:pPr>
        <w:ind w:left="5600" w:hanging="441"/>
        <w:spacing w:after="0"/>
        <w:tabs>
          <w:tab w:leader="none" w:pos="5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706 3256</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1177925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3081655</wp:posOffset>
            </wp:positionH>
            <wp:positionV relativeFrom="page">
              <wp:posOffset>568960</wp:posOffset>
            </wp:positionV>
            <wp:extent cx="1406525" cy="4718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406525" cy="47180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for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w w:val="98"/>
              </w:rPr>
              <w:t>Second Quarter Ended January 31,</w:t>
            </w:r>
          </w:p>
        </w:tc>
        <w:tc>
          <w:tcPr>
            <w:tcW w:w="1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FFCC"/>
            </w:tcBorders>
          </w:tcPr>
          <w:p>
            <w:pPr>
              <w:spacing w:after="0"/>
              <w:rPr>
                <w:sz w:val="19"/>
                <w:szCs w:val="19"/>
                <w:color w:val="auto"/>
              </w:rPr>
            </w:pP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of Sales</w:t>
            </w:r>
          </w:p>
        </w:tc>
        <w:tc>
          <w:tcPr>
            <w:tcW w:w="28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FFCC"/>
            </w:tcBorders>
          </w:tcPr>
          <w:p>
            <w:pPr>
              <w:spacing w:after="0"/>
              <w:rPr>
                <w:sz w:val="19"/>
                <w:szCs w:val="19"/>
                <w:color w:val="auto"/>
              </w:rPr>
            </w:pP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of Sales</w:t>
            </w:r>
          </w:p>
        </w:tc>
        <w:tc>
          <w:tcPr>
            <w:tcW w:w="16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Sales</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69,305</w:t>
            </w:r>
          </w:p>
        </w:tc>
        <w:tc>
          <w:tcPr>
            <w:tcW w:w="220" w:type="dxa"/>
            <w:vAlign w:val="bottom"/>
            <w:shd w:val="clear" w:color="auto" w:fill="CCFFCC"/>
          </w:tcPr>
          <w:p>
            <w:pPr>
              <w:spacing w:after="0"/>
              <w:rPr>
                <w:sz w:val="18"/>
                <w:szCs w:val="18"/>
                <w:color w:val="auto"/>
              </w:rPr>
            </w:pPr>
          </w:p>
        </w:tc>
        <w:tc>
          <w:tcPr>
            <w:tcW w:w="1740" w:type="dxa"/>
            <w:vAlign w:val="bottom"/>
            <w:tcBorders>
              <w:right w:val="single" w:sz="8" w:color="CCFFCC"/>
            </w:tcBorders>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61,122</w:t>
            </w:r>
          </w:p>
        </w:tc>
        <w:tc>
          <w:tcPr>
            <w:tcW w:w="22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3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(52,412)</w:t>
            </w:r>
          </w:p>
        </w:tc>
        <w:tc>
          <w:tcPr>
            <w:tcW w:w="1740" w:type="dxa"/>
            <w:vAlign w:val="bottom"/>
            <w:gridSpan w:val="2"/>
          </w:tcPr>
          <w:p>
            <w:pPr>
              <w:jc w:val="right"/>
              <w:ind w:right="30"/>
              <w:spacing w:after="0"/>
              <w:rPr>
                <w:sz w:val="20"/>
                <w:szCs w:val="20"/>
                <w:color w:val="auto"/>
              </w:rPr>
            </w:pPr>
            <w:r>
              <w:rPr>
                <w:rFonts w:ascii="Arial" w:cs="Arial" w:eastAsia="Arial" w:hAnsi="Arial"/>
                <w:sz w:val="18"/>
                <w:szCs w:val="18"/>
                <w:color w:val="auto"/>
              </w:rPr>
              <w:t>75.6%</w:t>
            </w:r>
          </w:p>
        </w:tc>
        <w:tc>
          <w:tcPr>
            <w:tcW w:w="3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(44,853)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shd w:val="clear" w:color="auto" w:fill="CCFFCC"/>
          </w:tcPr>
          <w:p>
            <w:pPr>
              <w:spacing w:after="0"/>
              <w:rPr>
                <w:sz w:val="20"/>
                <w:szCs w:val="20"/>
                <w:color w:val="auto"/>
              </w:rPr>
            </w:pPr>
            <w:r>
              <w:rPr>
                <w:rFonts w:ascii="Arial" w:cs="Arial" w:eastAsia="Arial" w:hAnsi="Arial"/>
                <w:sz w:val="18"/>
                <w:szCs w:val="18"/>
                <w:b w:val="1"/>
                <w:bCs w:val="1"/>
                <w:color w:val="auto"/>
              </w:rPr>
              <w:t>Gross Profit</w:t>
            </w: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tcBorders>
              <w:right w:val="single" w:sz="8" w:color="CCFFCC"/>
            </w:tcBorders>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vMerge w:val="continue"/>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16,893</w:t>
            </w:r>
          </w:p>
        </w:tc>
        <w:tc>
          <w:tcPr>
            <w:tcW w:w="220" w:type="dxa"/>
            <w:vAlign w:val="bottom"/>
            <w:vMerge w:val="continue"/>
            <w:shd w:val="clear" w:color="auto" w:fill="CCFFCC"/>
          </w:tcPr>
          <w:p>
            <w:pPr>
              <w:spacing w:after="0"/>
              <w:rPr>
                <w:sz w:val="18"/>
                <w:szCs w:val="18"/>
                <w:color w:val="auto"/>
              </w:rPr>
            </w:pPr>
          </w:p>
        </w:tc>
        <w:tc>
          <w:tcPr>
            <w:tcW w:w="1740" w:type="dxa"/>
            <w:vAlign w:val="bottom"/>
            <w:tcBorders>
              <w:right w:val="single" w:sz="8" w:color="CCFFCC"/>
            </w:tcBorders>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24.4%</w:t>
            </w: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16,269</w:t>
            </w:r>
          </w:p>
        </w:tc>
        <w:tc>
          <w:tcPr>
            <w:tcW w:w="220" w:type="dxa"/>
            <w:vAlign w:val="bottom"/>
            <w:vMerge w:val="continue"/>
            <w:shd w:val="clear" w:color="auto" w:fill="CCFFCC"/>
          </w:tcPr>
          <w:p>
            <w:pPr>
              <w:spacing w:after="0"/>
              <w:rPr>
                <w:sz w:val="18"/>
                <w:szCs w:val="18"/>
                <w:color w:val="auto"/>
              </w:rPr>
            </w:pP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(11,159)</w:t>
            </w:r>
          </w:p>
        </w:tc>
        <w:tc>
          <w:tcPr>
            <w:tcW w:w="1740" w:type="dxa"/>
            <w:vAlign w:val="bottom"/>
            <w:gridSpan w:val="2"/>
          </w:tcPr>
          <w:p>
            <w:pPr>
              <w:jc w:val="right"/>
              <w:ind w:right="30"/>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(12,834)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Capacity Rationalization Charges</w:t>
            </w:r>
          </w:p>
        </w:tc>
        <w:tc>
          <w:tcPr>
            <w:tcW w:w="34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tcBorders>
              <w:right w:val="single" w:sz="8" w:color="CCFFCC"/>
            </w:tcBorders>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5,734</w:t>
            </w:r>
          </w:p>
        </w:tc>
        <w:tc>
          <w:tcPr>
            <w:tcW w:w="220" w:type="dxa"/>
            <w:vAlign w:val="bottom"/>
            <w:shd w:val="clear" w:color="auto" w:fill="CCFFCC"/>
          </w:tcPr>
          <w:p>
            <w:pPr>
              <w:spacing w:after="0"/>
              <w:rPr>
                <w:sz w:val="18"/>
                <w:szCs w:val="18"/>
                <w:color w:val="auto"/>
              </w:rPr>
            </w:pPr>
          </w:p>
        </w:tc>
        <w:tc>
          <w:tcPr>
            <w:tcW w:w="1740" w:type="dxa"/>
            <w:vAlign w:val="bottom"/>
            <w:tcBorders>
              <w:right w:val="single" w:sz="8" w:color="CCFFCC"/>
            </w:tcBorders>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3,385</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(385)</w:t>
            </w:r>
          </w:p>
        </w:tc>
        <w:tc>
          <w:tcPr>
            <w:tcW w:w="1740" w:type="dxa"/>
            <w:vAlign w:val="bottom"/>
            <w:gridSpan w:val="2"/>
          </w:tcPr>
          <w:p>
            <w:pPr>
              <w:jc w:val="right"/>
              <w:ind w:right="30"/>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(446)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Income</w:t>
            </w:r>
          </w:p>
        </w:tc>
        <w:tc>
          <w:tcPr>
            <w:tcW w:w="34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181</w:t>
            </w:r>
          </w:p>
        </w:tc>
        <w:tc>
          <w:tcPr>
            <w:tcW w:w="1740" w:type="dxa"/>
            <w:vAlign w:val="bottom"/>
            <w:tcBorders>
              <w:right w:val="single" w:sz="8" w:color="CCFFCC"/>
            </w:tcBorders>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92</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5,530</w:t>
            </w:r>
          </w:p>
        </w:tc>
        <w:tc>
          <w:tcPr>
            <w:tcW w:w="220" w:type="dxa"/>
            <w:vAlign w:val="bottom"/>
            <w:shd w:val="clear" w:color="auto" w:fill="CCFFCC"/>
          </w:tcPr>
          <w:p>
            <w:pPr>
              <w:spacing w:after="0"/>
              <w:rPr>
                <w:sz w:val="18"/>
                <w:szCs w:val="18"/>
                <w:color w:val="auto"/>
              </w:rPr>
            </w:pPr>
          </w:p>
        </w:tc>
        <w:tc>
          <w:tcPr>
            <w:tcW w:w="1740" w:type="dxa"/>
            <w:vAlign w:val="bottom"/>
            <w:tcBorders>
              <w:right w:val="single" w:sz="8" w:color="CCFFCC"/>
            </w:tcBorders>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3,031</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3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(1,249)</w:t>
            </w:r>
          </w:p>
        </w:tc>
        <w:tc>
          <w:tcPr>
            <w:tcW w:w="174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(885)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top w:val="single" w:sz="8" w:color="auto"/>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4,281</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w:t>
            </w:r>
          </w:p>
        </w:tc>
        <w:tc>
          <w:tcPr>
            <w:tcW w:w="280" w:type="dxa"/>
            <w:vAlign w:val="bottom"/>
            <w:tcBorders>
              <w:top w:val="single" w:sz="8" w:color="CCFFCC"/>
              <w:bottom w:val="single" w:sz="8" w:color="CCFFCC"/>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320" w:type="dxa"/>
            <w:vAlign w:val="bottom"/>
            <w:tcBorders>
              <w:top w:val="single" w:sz="8" w:color="auto"/>
              <w:bottom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2,146</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4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Per Share:</w:t>
            </w: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80" w:type="dxa"/>
            <w:vAlign w:val="bottom"/>
            <w:tcBorders>
              <w:right w:val="single" w:sz="8" w:color="CCFFCC"/>
            </w:tcBorders>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b w:val="1"/>
                <w:bCs w:val="1"/>
                <w:color w:val="auto"/>
              </w:rPr>
              <w:t>Basic Common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0.65</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0.33</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Basic Class B Common</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0.49</w:t>
            </w:r>
          </w:p>
        </w:tc>
        <w:tc>
          <w:tcPr>
            <w:tcW w:w="1460" w:type="dxa"/>
            <w:vAlign w:val="bottom"/>
            <w:shd w:val="clear" w:color="auto" w:fill="CCFFCC"/>
          </w:tcPr>
          <w:p>
            <w:pPr>
              <w:spacing w:after="0"/>
              <w:rPr>
                <w:sz w:val="18"/>
                <w:szCs w:val="18"/>
                <w:color w:val="auto"/>
              </w:rPr>
            </w:pPr>
          </w:p>
        </w:tc>
        <w:tc>
          <w:tcPr>
            <w:tcW w:w="280" w:type="dxa"/>
            <w:vAlign w:val="bottom"/>
            <w:tcBorders>
              <w:right w:val="single" w:sz="8" w:color="CCFFCC"/>
            </w:tcBorders>
            <w:shd w:val="clear" w:color="auto" w:fill="CCFFCC"/>
          </w:tcPr>
          <w:p>
            <w:pPr>
              <w:spacing w:after="0"/>
              <w:rPr>
                <w:sz w:val="18"/>
                <w:szCs w:val="18"/>
                <w:color w:val="auto"/>
              </w:rPr>
            </w:pP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0.25</w:t>
            </w:r>
          </w:p>
        </w:tc>
        <w:tc>
          <w:tcPr>
            <w:tcW w:w="1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b w:val="1"/>
                <w:bCs w:val="1"/>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0.60</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0.31</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80" w:type="dxa"/>
            <w:vAlign w:val="bottom"/>
            <w:tcBorders>
              <w:right w:val="single" w:sz="8" w:color="CCFFCC"/>
            </w:tcBorders>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Average Shares Outstanding:</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Basic Common</w:t>
            </w: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4,979</w:t>
            </w: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80" w:type="dxa"/>
            <w:vAlign w:val="bottom"/>
            <w:tcBorders>
              <w:right w:val="single" w:sz="8" w:color="CCFFCC"/>
            </w:tcBorders>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4,896</w:t>
            </w:r>
          </w:p>
        </w:tc>
        <w:tc>
          <w:tcPr>
            <w:tcW w:w="1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b w:val="1"/>
                <w:bCs w:val="1"/>
                <w:color w:val="auto"/>
              </w:rPr>
              <w:t>Basic Class B Common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1,976</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Diluted</w:t>
            </w: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7,007</w:t>
            </w: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80" w:type="dxa"/>
            <w:vAlign w:val="bottom"/>
            <w:tcBorders>
              <w:right w:val="single" w:sz="8" w:color="CCFFCC"/>
            </w:tcBorders>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6,922</w:t>
            </w:r>
          </w:p>
        </w:tc>
        <w:tc>
          <w:tcPr>
            <w:tcW w:w="1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b w:val="1"/>
                <w:bCs w:val="1"/>
                <w:color w:val="auto"/>
              </w:rPr>
              <w:t>Six Months Ended January 31,</w:t>
            </w:r>
          </w:p>
        </w:tc>
        <w:tc>
          <w:tcPr>
            <w:tcW w:w="1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FFCC"/>
            </w:tcBorders>
          </w:tcPr>
          <w:p>
            <w:pPr>
              <w:spacing w:after="0"/>
              <w:rPr>
                <w:sz w:val="19"/>
                <w:szCs w:val="19"/>
                <w:color w:val="auto"/>
              </w:rPr>
            </w:pP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of Sales</w:t>
            </w:r>
          </w:p>
        </w:tc>
        <w:tc>
          <w:tcPr>
            <w:tcW w:w="28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FFCC"/>
            </w:tcBorders>
          </w:tcPr>
          <w:p>
            <w:pPr>
              <w:spacing w:after="0"/>
              <w:rPr>
                <w:sz w:val="19"/>
                <w:szCs w:val="19"/>
                <w:color w:val="auto"/>
              </w:rPr>
            </w:pP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of Sales</w:t>
            </w:r>
          </w:p>
        </w:tc>
        <w:tc>
          <w:tcPr>
            <w:tcW w:w="16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Sales</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132,851</w:t>
            </w:r>
          </w:p>
        </w:tc>
        <w:tc>
          <w:tcPr>
            <w:tcW w:w="220" w:type="dxa"/>
            <w:vAlign w:val="bottom"/>
            <w:shd w:val="clear" w:color="auto" w:fill="CCFFCC"/>
          </w:tcPr>
          <w:p>
            <w:pPr>
              <w:spacing w:after="0"/>
              <w:rPr>
                <w:sz w:val="18"/>
                <w:szCs w:val="18"/>
                <w:color w:val="auto"/>
              </w:rPr>
            </w:pPr>
          </w:p>
        </w:tc>
        <w:tc>
          <w:tcPr>
            <w:tcW w:w="1740" w:type="dxa"/>
            <w:vAlign w:val="bottom"/>
            <w:tcBorders>
              <w:right w:val="single" w:sz="8" w:color="CCFFCC"/>
            </w:tcBorders>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122,539</w:t>
            </w:r>
          </w:p>
        </w:tc>
        <w:tc>
          <w:tcPr>
            <w:tcW w:w="22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3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(99,458)</w:t>
            </w:r>
          </w:p>
        </w:tc>
        <w:tc>
          <w:tcPr>
            <w:tcW w:w="1740" w:type="dxa"/>
            <w:vAlign w:val="bottom"/>
            <w:gridSpan w:val="2"/>
          </w:tcPr>
          <w:p>
            <w:pPr>
              <w:jc w:val="right"/>
              <w:ind w:right="30"/>
              <w:spacing w:after="0"/>
              <w:rPr>
                <w:sz w:val="20"/>
                <w:szCs w:val="20"/>
                <w:color w:val="auto"/>
              </w:rPr>
            </w:pPr>
            <w:r>
              <w:rPr>
                <w:rFonts w:ascii="Arial" w:cs="Arial" w:eastAsia="Arial" w:hAnsi="Arial"/>
                <w:sz w:val="18"/>
                <w:szCs w:val="18"/>
                <w:color w:val="auto"/>
              </w:rPr>
              <w:t>74.9%</w:t>
            </w:r>
          </w:p>
        </w:tc>
        <w:tc>
          <w:tcPr>
            <w:tcW w:w="3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(89,039)</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shd w:val="clear" w:color="auto" w:fill="CCFFCC"/>
          </w:tcPr>
          <w:p>
            <w:pPr>
              <w:spacing w:after="0"/>
              <w:rPr>
                <w:sz w:val="20"/>
                <w:szCs w:val="20"/>
                <w:color w:val="auto"/>
              </w:rPr>
            </w:pPr>
            <w:r>
              <w:rPr>
                <w:rFonts w:ascii="Arial" w:cs="Arial" w:eastAsia="Arial" w:hAnsi="Arial"/>
                <w:sz w:val="18"/>
                <w:szCs w:val="18"/>
                <w:b w:val="1"/>
                <w:bCs w:val="1"/>
                <w:color w:val="auto"/>
              </w:rPr>
              <w:t>Gross Profit</w:t>
            </w: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tcBorders>
              <w:right w:val="single" w:sz="8" w:color="CCFFCC"/>
            </w:tcBorders>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vMerge w:val="continue"/>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33,393</w:t>
            </w:r>
          </w:p>
        </w:tc>
        <w:tc>
          <w:tcPr>
            <w:tcW w:w="220" w:type="dxa"/>
            <w:vAlign w:val="bottom"/>
            <w:vMerge w:val="continue"/>
            <w:shd w:val="clear" w:color="auto" w:fill="CCFFCC"/>
          </w:tcPr>
          <w:p>
            <w:pPr>
              <w:spacing w:after="0"/>
              <w:rPr>
                <w:sz w:val="18"/>
                <w:szCs w:val="18"/>
                <w:color w:val="auto"/>
              </w:rPr>
            </w:pPr>
          </w:p>
        </w:tc>
        <w:tc>
          <w:tcPr>
            <w:tcW w:w="1740" w:type="dxa"/>
            <w:vAlign w:val="bottom"/>
            <w:tcBorders>
              <w:right w:val="single" w:sz="8" w:color="CCFFCC"/>
            </w:tcBorders>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25.1%</w:t>
            </w: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33,500</w:t>
            </w:r>
          </w:p>
        </w:tc>
        <w:tc>
          <w:tcPr>
            <w:tcW w:w="220" w:type="dxa"/>
            <w:vAlign w:val="bottom"/>
            <w:vMerge w:val="continue"/>
            <w:shd w:val="clear" w:color="auto" w:fill="CCFFCC"/>
          </w:tcPr>
          <w:p>
            <w:pPr>
              <w:spacing w:after="0"/>
              <w:rPr>
                <w:sz w:val="18"/>
                <w:szCs w:val="18"/>
                <w:color w:val="auto"/>
              </w:rPr>
            </w:pP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(23,317)</w:t>
            </w:r>
          </w:p>
        </w:tc>
        <w:tc>
          <w:tcPr>
            <w:tcW w:w="1740" w:type="dxa"/>
            <w:vAlign w:val="bottom"/>
            <w:gridSpan w:val="2"/>
          </w:tcPr>
          <w:p>
            <w:pPr>
              <w:jc w:val="right"/>
              <w:ind w:right="30"/>
              <w:spacing w:after="0"/>
              <w:rPr>
                <w:sz w:val="20"/>
                <w:szCs w:val="20"/>
                <w:color w:val="auto"/>
              </w:rPr>
            </w:pPr>
            <w:r>
              <w:rPr>
                <w:rFonts w:ascii="Arial" w:cs="Arial" w:eastAsia="Arial" w:hAnsi="Arial"/>
                <w:sz w:val="18"/>
                <w:szCs w:val="18"/>
                <w:color w:val="auto"/>
              </w:rPr>
              <w:t>17.6%</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(23,654)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Capacity Rationalization Charges</w:t>
            </w:r>
          </w:p>
        </w:tc>
        <w:tc>
          <w:tcPr>
            <w:tcW w:w="34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tcBorders>
              <w:right w:val="single" w:sz="8" w:color="CCFFCC"/>
            </w:tcBorders>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(62)</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10,076</w:t>
            </w:r>
          </w:p>
        </w:tc>
        <w:tc>
          <w:tcPr>
            <w:tcW w:w="1740" w:type="dxa"/>
            <w:vAlign w:val="bottom"/>
            <w:tcBorders>
              <w:right w:val="single" w:sz="8" w:color="CCFFCC"/>
            </w:tcBorders>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9,784</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(809)</w:t>
            </w:r>
          </w:p>
        </w:tc>
        <w:tc>
          <w:tcPr>
            <w:tcW w:w="1740" w:type="dxa"/>
            <w:vAlign w:val="bottom"/>
            <w:gridSpan w:val="2"/>
          </w:tcPr>
          <w:p>
            <w:pPr>
              <w:jc w:val="right"/>
              <w:ind w:right="30"/>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(927)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Income</w:t>
            </w:r>
          </w:p>
        </w:tc>
        <w:tc>
          <w:tcPr>
            <w:tcW w:w="34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156</w:t>
            </w:r>
          </w:p>
        </w:tc>
        <w:tc>
          <w:tcPr>
            <w:tcW w:w="1740" w:type="dxa"/>
            <w:vAlign w:val="bottom"/>
            <w:tcBorders>
              <w:right w:val="single" w:sz="8" w:color="CCFFCC"/>
            </w:tcBorders>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231</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9,423</w:t>
            </w:r>
          </w:p>
        </w:tc>
        <w:tc>
          <w:tcPr>
            <w:tcW w:w="220" w:type="dxa"/>
            <w:vAlign w:val="bottom"/>
            <w:shd w:val="clear" w:color="auto" w:fill="CCFFCC"/>
          </w:tcPr>
          <w:p>
            <w:pPr>
              <w:spacing w:after="0"/>
              <w:rPr>
                <w:sz w:val="18"/>
                <w:szCs w:val="18"/>
                <w:color w:val="auto"/>
              </w:rPr>
            </w:pPr>
          </w:p>
        </w:tc>
        <w:tc>
          <w:tcPr>
            <w:tcW w:w="1740" w:type="dxa"/>
            <w:vAlign w:val="bottom"/>
            <w:tcBorders>
              <w:right w:val="single" w:sz="8" w:color="CCFFCC"/>
            </w:tcBorders>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9,088</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3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(2,255)</w:t>
            </w:r>
          </w:p>
        </w:tc>
        <w:tc>
          <w:tcPr>
            <w:tcW w:w="1740" w:type="dxa"/>
            <w:vAlign w:val="bottom"/>
            <w:gridSpan w:val="2"/>
          </w:tcPr>
          <w:p>
            <w:pPr>
              <w:jc w:val="right"/>
              <w:ind w:right="3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(2,490)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top w:val="single" w:sz="8" w:color="auto"/>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7,168</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w:t>
            </w:r>
          </w:p>
        </w:tc>
        <w:tc>
          <w:tcPr>
            <w:tcW w:w="280" w:type="dxa"/>
            <w:vAlign w:val="bottom"/>
            <w:tcBorders>
              <w:top w:val="single" w:sz="8" w:color="CCFFCC"/>
              <w:bottom w:val="single" w:sz="8" w:color="CCFFCC"/>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320" w:type="dxa"/>
            <w:vAlign w:val="bottom"/>
            <w:tcBorders>
              <w:top w:val="single" w:sz="8" w:color="auto"/>
              <w:bottom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6,598</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4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Per Share:</w:t>
            </w: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80" w:type="dxa"/>
            <w:vAlign w:val="bottom"/>
            <w:tcBorders>
              <w:right w:val="single" w:sz="8" w:color="CCFFCC"/>
            </w:tcBorders>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b w:val="1"/>
                <w:bCs w:val="1"/>
                <w:color w:val="auto"/>
              </w:rPr>
              <w:t>Basic Common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Basic Class B Common</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0.82</w:t>
            </w:r>
          </w:p>
        </w:tc>
        <w:tc>
          <w:tcPr>
            <w:tcW w:w="1460" w:type="dxa"/>
            <w:vAlign w:val="bottom"/>
            <w:shd w:val="clear" w:color="auto" w:fill="CCFFCC"/>
          </w:tcPr>
          <w:p>
            <w:pPr>
              <w:spacing w:after="0"/>
              <w:rPr>
                <w:sz w:val="18"/>
                <w:szCs w:val="18"/>
                <w:color w:val="auto"/>
              </w:rPr>
            </w:pPr>
          </w:p>
        </w:tc>
        <w:tc>
          <w:tcPr>
            <w:tcW w:w="280" w:type="dxa"/>
            <w:vAlign w:val="bottom"/>
            <w:tcBorders>
              <w:right w:val="single" w:sz="8" w:color="CCFFCC"/>
            </w:tcBorders>
            <w:shd w:val="clear" w:color="auto" w:fill="CCFFCC"/>
          </w:tcPr>
          <w:p>
            <w:pPr>
              <w:spacing w:after="0"/>
              <w:rPr>
                <w:sz w:val="18"/>
                <w:szCs w:val="18"/>
                <w:color w:val="auto"/>
              </w:rPr>
            </w:pP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0.77</w:t>
            </w:r>
          </w:p>
        </w:tc>
        <w:tc>
          <w:tcPr>
            <w:tcW w:w="1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b w:val="1"/>
                <w:bCs w:val="1"/>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0.94</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80" w:type="dxa"/>
            <w:vAlign w:val="bottom"/>
            <w:tcBorders>
              <w:right w:val="single" w:sz="8" w:color="CCFFCC"/>
            </w:tcBorders>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Average Shares Outstanding:</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Basic Common</w:t>
            </w: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4,967</w:t>
            </w: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80" w:type="dxa"/>
            <w:vAlign w:val="bottom"/>
            <w:tcBorders>
              <w:right w:val="single" w:sz="8" w:color="CCFFCC"/>
            </w:tcBorders>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4,887</w:t>
            </w:r>
          </w:p>
        </w:tc>
        <w:tc>
          <w:tcPr>
            <w:tcW w:w="1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b w:val="1"/>
                <w:bCs w:val="1"/>
                <w:color w:val="auto"/>
              </w:rPr>
              <w:t>Basic Class B Common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1,999</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1,960</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Diluted</w:t>
            </w: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6,991</w:t>
            </w: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80" w:type="dxa"/>
            <w:vAlign w:val="bottom"/>
            <w:tcBorders>
              <w:right w:val="single" w:sz="8" w:color="CCFFCC"/>
            </w:tcBorders>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6,904</w:t>
            </w:r>
          </w:p>
        </w:tc>
        <w:tc>
          <w:tcPr>
            <w:tcW w:w="1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Investor Relations Contact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Reagan Culbertson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reagan.culbertson@oildri.com</w:t>
      </w:r>
    </w:p>
    <w:p>
      <w:pPr>
        <w:spacing w:after="0" w:line="9" w:lineRule="exact"/>
        <w:rPr>
          <w:sz w:val="20"/>
          <w:szCs w:val="20"/>
          <w:color w:val="auto"/>
        </w:rPr>
      </w:pPr>
    </w:p>
    <w:p>
      <w:pPr>
        <w:ind w:left="5600" w:hanging="441"/>
        <w:spacing w:after="0"/>
        <w:tabs>
          <w:tab w:leader="none" w:pos="5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706 3256</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54"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1177925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3081655</wp:posOffset>
            </wp:positionH>
            <wp:positionV relativeFrom="page">
              <wp:posOffset>568960</wp:posOffset>
            </wp:positionV>
            <wp:extent cx="1406525" cy="471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406525" cy="47180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for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 January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CCFFCC"/>
            </w:tcBorders>
          </w:tcPr>
          <w:p>
            <w:pPr>
              <w:spacing w:after="0"/>
              <w:rPr>
                <w:sz w:val="19"/>
                <w:szCs w:val="19"/>
                <w:color w:val="auto"/>
              </w:rPr>
            </w:pPr>
          </w:p>
        </w:tc>
        <w:tc>
          <w:tcPr>
            <w:tcW w:w="3080" w:type="dxa"/>
            <w:vAlign w:val="bottom"/>
            <w:tcBorders>
              <w:bottom w:val="single" w:sz="8" w:color="CCFFCC"/>
            </w:tcBorders>
          </w:tcPr>
          <w:p>
            <w:pPr>
              <w:spacing w:after="0"/>
              <w:rPr>
                <w:sz w:val="19"/>
                <w:szCs w:val="19"/>
                <w:color w:val="auto"/>
              </w:rPr>
            </w:pPr>
          </w:p>
        </w:tc>
        <w:tc>
          <w:tcPr>
            <w:tcW w:w="144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4"/>
              </w:rPr>
              <w:t>2013</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308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20"/>
              <w:spacing w:after="0"/>
              <w:rPr>
                <w:sz w:val="20"/>
                <w:szCs w:val="20"/>
                <w:color w:val="auto"/>
              </w:rPr>
            </w:pPr>
            <w:r>
              <w:rPr>
                <w:rFonts w:ascii="Arial" w:cs="Arial" w:eastAsia="Arial" w:hAnsi="Arial"/>
                <w:sz w:val="18"/>
                <w:szCs w:val="18"/>
                <w:b w:val="1"/>
                <w:bCs w:val="1"/>
                <w:color w:val="auto"/>
              </w:rPr>
              <w:t>Cash and Cash Equivalents</w:t>
            </w:r>
          </w:p>
        </w:tc>
        <w:tc>
          <w:tcPr>
            <w:tcW w:w="3080" w:type="dxa"/>
            <w:vAlign w:val="bottom"/>
          </w:tcPr>
          <w:p>
            <w:pPr>
              <w:spacing w:after="0"/>
              <w:rPr>
                <w:sz w:val="18"/>
                <w:szCs w:val="18"/>
                <w:color w:val="auto"/>
              </w:rPr>
            </w:pPr>
          </w:p>
        </w:tc>
        <w:tc>
          <w:tcPr>
            <w:tcW w:w="17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12,082</w:t>
            </w:r>
          </w:p>
        </w:tc>
        <w:tc>
          <w:tcPr>
            <w:tcW w:w="66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Restricted Cash</w:t>
            </w:r>
          </w:p>
        </w:tc>
        <w:tc>
          <w:tcPr>
            <w:tcW w:w="308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20"/>
              <w:spacing w:after="0"/>
              <w:rPr>
                <w:sz w:val="20"/>
                <w:szCs w:val="20"/>
                <w:color w:val="auto"/>
              </w:rPr>
            </w:pPr>
            <w:r>
              <w:rPr>
                <w:rFonts w:ascii="Arial" w:cs="Arial" w:eastAsia="Arial" w:hAnsi="Arial"/>
                <w:sz w:val="18"/>
                <w:szCs w:val="18"/>
                <w:b w:val="1"/>
                <w:bCs w:val="1"/>
                <w:color w:val="auto"/>
              </w:rPr>
              <w:t>Short-term Investments</w:t>
            </w:r>
          </w:p>
        </w:tc>
        <w:tc>
          <w:tcPr>
            <w:tcW w:w="3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7,100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Accounts Receivable, net</w:t>
            </w:r>
          </w:p>
        </w:tc>
        <w:tc>
          <w:tcPr>
            <w:tcW w:w="308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37,022</w:t>
            </w:r>
          </w:p>
        </w:tc>
        <w:tc>
          <w:tcPr>
            <w:tcW w:w="1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20"/>
              <w:spacing w:after="0"/>
              <w:rPr>
                <w:sz w:val="20"/>
                <w:szCs w:val="20"/>
                <w:color w:val="auto"/>
              </w:rPr>
            </w:pPr>
            <w:r>
              <w:rPr>
                <w:rFonts w:ascii="Arial" w:cs="Arial" w:eastAsia="Arial" w:hAnsi="Arial"/>
                <w:sz w:val="18"/>
                <w:szCs w:val="18"/>
                <w:b w:val="1"/>
                <w:bCs w:val="1"/>
                <w:color w:val="auto"/>
              </w:rPr>
              <w:t>Inventories</w:t>
            </w:r>
          </w:p>
        </w:tc>
        <w:tc>
          <w:tcPr>
            <w:tcW w:w="3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22,734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22,186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Prepaid Expenses</w:t>
            </w:r>
          </w:p>
        </w:tc>
        <w:tc>
          <w:tcPr>
            <w:tcW w:w="3080" w:type="dxa"/>
            <w:vAlign w:val="bottom"/>
            <w:shd w:val="clear" w:color="auto" w:fill="CCFFCC"/>
          </w:tcPr>
          <w:p>
            <w:pPr>
              <w:spacing w:after="0"/>
              <w:rPr>
                <w:sz w:val="19"/>
                <w:szCs w:val="19"/>
                <w:color w:val="auto"/>
              </w:rPr>
            </w:pPr>
          </w:p>
        </w:tc>
        <w:tc>
          <w:tcPr>
            <w:tcW w:w="144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9,915</w:t>
            </w:r>
          </w:p>
        </w:tc>
        <w:tc>
          <w:tcPr>
            <w:tcW w:w="100" w:type="dxa"/>
            <w:vAlign w:val="bottom"/>
            <w:shd w:val="clear" w:color="auto" w:fill="CCFFCC"/>
          </w:tcPr>
          <w:p>
            <w:pPr>
              <w:spacing w:after="0"/>
              <w:rPr>
                <w:sz w:val="19"/>
                <w:szCs w:val="19"/>
                <w:color w:val="auto"/>
              </w:rPr>
            </w:pPr>
          </w:p>
        </w:tc>
        <w:tc>
          <w:tcPr>
            <w:tcW w:w="56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CFFCC"/>
            </w:tcBorders>
          </w:tcPr>
          <w:p>
            <w:pPr>
              <w:ind w:left="640"/>
              <w:spacing w:after="0"/>
              <w:rPr>
                <w:sz w:val="20"/>
                <w:szCs w:val="20"/>
                <w:color w:val="auto"/>
              </w:rPr>
            </w:pPr>
            <w:r>
              <w:rPr>
                <w:rFonts w:ascii="Arial" w:cs="Arial" w:eastAsia="Arial" w:hAnsi="Arial"/>
                <w:sz w:val="18"/>
                <w:szCs w:val="18"/>
                <w:b w:val="1"/>
                <w:bCs w:val="1"/>
                <w:color w:val="auto"/>
              </w:rPr>
              <w:t>Total Current Assets</w:t>
            </w:r>
          </w:p>
        </w:tc>
        <w:tc>
          <w:tcPr>
            <w:tcW w:w="3080" w:type="dxa"/>
            <w:vAlign w:val="bottom"/>
            <w:tcBorders>
              <w:bottom w:val="single" w:sz="8" w:color="CCFFCC"/>
            </w:tcBorders>
          </w:tcPr>
          <w:p>
            <w:pPr>
              <w:spacing w:after="0"/>
              <w:rPr>
                <w:sz w:val="18"/>
                <w:szCs w:val="18"/>
                <w:color w:val="auto"/>
              </w:rPr>
            </w:pPr>
          </w:p>
        </w:tc>
        <w:tc>
          <w:tcPr>
            <w:tcW w:w="1440" w:type="dxa"/>
            <w:vAlign w:val="bottom"/>
            <w:tcBorders>
              <w:bottom w:val="single" w:sz="8" w:color="CCFFC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89,353</w:t>
            </w:r>
          </w:p>
        </w:tc>
        <w:tc>
          <w:tcPr>
            <w:tcW w:w="1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97,177</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08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68,959</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65,117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30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25,548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Assets</w:t>
            </w:r>
          </w:p>
        </w:tc>
        <w:tc>
          <w:tcPr>
            <w:tcW w:w="3080" w:type="dxa"/>
            <w:vAlign w:val="bottom"/>
            <w:tcBorders>
              <w:top w:val="single" w:sz="8" w:color="CCFFCC"/>
              <w:bottom w:val="single" w:sz="8" w:color="CCFFCC"/>
            </w:tcBorders>
            <w:shd w:val="clear" w:color="auto" w:fill="CCFFCC"/>
          </w:tcPr>
          <w:p>
            <w:pPr>
              <w:spacing w:after="0"/>
              <w:rPr>
                <w:sz w:val="19"/>
                <w:szCs w:val="19"/>
                <w:color w:val="auto"/>
              </w:rPr>
            </w:pPr>
          </w:p>
        </w:tc>
        <w:tc>
          <w:tcPr>
            <w:tcW w:w="1440" w:type="dxa"/>
            <w:vAlign w:val="bottom"/>
            <w:tcBorders>
              <w:top w:val="single" w:sz="8" w:color="CCFFCC"/>
              <w:bottom w:val="single" w:sz="8" w:color="CCFFCC"/>
            </w:tcBorders>
            <w:shd w:val="clear" w:color="auto" w:fill="CCFFCC"/>
          </w:tcPr>
          <w:p>
            <w:pPr>
              <w:spacing w:after="0"/>
              <w:rPr>
                <w:sz w:val="19"/>
                <w:szCs w:val="19"/>
                <w:color w:val="auto"/>
              </w:rPr>
            </w:pPr>
          </w:p>
        </w:tc>
        <w:tc>
          <w:tcPr>
            <w:tcW w:w="340" w:type="dxa"/>
            <w:vAlign w:val="bottom"/>
            <w:tcBorders>
              <w:top w:val="single" w:sz="8" w:color="auto"/>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183,860</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560" w:type="dxa"/>
            <w:vAlign w:val="bottom"/>
            <w:tcBorders>
              <w:top w:val="single" w:sz="8" w:color="auto"/>
              <w:bottom w:val="single" w:sz="8" w:color="auto"/>
            </w:tcBorders>
            <w:shd w:val="clear" w:color="auto" w:fill="CCFFCC"/>
          </w:tcPr>
          <w:p>
            <w:pPr>
              <w:jc w:val="right"/>
              <w:ind w:right="4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176,418</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Liabilities</w:t>
            </w:r>
          </w:p>
        </w:tc>
        <w:tc>
          <w:tcPr>
            <w:tcW w:w="308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20"/>
              <w:spacing w:after="0"/>
              <w:rPr>
                <w:sz w:val="20"/>
                <w:szCs w:val="20"/>
                <w:color w:val="auto"/>
              </w:rPr>
            </w:pPr>
            <w:r>
              <w:rPr>
                <w:rFonts w:ascii="Arial" w:cs="Arial" w:eastAsia="Arial" w:hAnsi="Arial"/>
                <w:sz w:val="18"/>
                <w:szCs w:val="18"/>
                <w:b w:val="1"/>
                <w:bCs w:val="1"/>
                <w:color w:val="auto"/>
              </w:rPr>
              <w:t>Current Maturities of Notes Payable</w:t>
            </w:r>
          </w:p>
        </w:tc>
        <w:tc>
          <w:tcPr>
            <w:tcW w:w="3080" w:type="dxa"/>
            <w:vAlign w:val="bottom"/>
          </w:tcPr>
          <w:p>
            <w:pPr>
              <w:spacing w:after="0"/>
              <w:rPr>
                <w:sz w:val="18"/>
                <w:szCs w:val="18"/>
                <w:color w:val="auto"/>
              </w:rPr>
            </w:pPr>
          </w:p>
        </w:tc>
        <w:tc>
          <w:tcPr>
            <w:tcW w:w="17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3,500</w:t>
            </w:r>
          </w:p>
        </w:tc>
        <w:tc>
          <w:tcPr>
            <w:tcW w:w="66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Accounts Payable</w:t>
            </w:r>
          </w:p>
        </w:tc>
        <w:tc>
          <w:tcPr>
            <w:tcW w:w="308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7,699</w:t>
            </w:r>
          </w:p>
        </w:tc>
        <w:tc>
          <w:tcPr>
            <w:tcW w:w="1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20"/>
              <w:spacing w:after="0"/>
              <w:rPr>
                <w:sz w:val="20"/>
                <w:szCs w:val="20"/>
                <w:color w:val="auto"/>
              </w:rPr>
            </w:pPr>
            <w:r>
              <w:rPr>
                <w:rFonts w:ascii="Arial" w:cs="Arial" w:eastAsia="Arial" w:hAnsi="Arial"/>
                <w:sz w:val="18"/>
                <w:szCs w:val="18"/>
                <w:b w:val="1"/>
                <w:bCs w:val="1"/>
                <w:color w:val="auto"/>
              </w:rPr>
              <w:t>Dividends Payable</w:t>
            </w:r>
          </w:p>
        </w:tc>
        <w:tc>
          <w:tcPr>
            <w:tcW w:w="3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Accrued Expenses</w:t>
            </w:r>
          </w:p>
        </w:tc>
        <w:tc>
          <w:tcPr>
            <w:tcW w:w="3080" w:type="dxa"/>
            <w:vAlign w:val="bottom"/>
            <w:shd w:val="clear" w:color="auto" w:fill="CCFFCC"/>
          </w:tcPr>
          <w:p>
            <w:pPr>
              <w:spacing w:after="0"/>
              <w:rPr>
                <w:sz w:val="19"/>
                <w:szCs w:val="19"/>
                <w:color w:val="auto"/>
              </w:rPr>
            </w:pPr>
          </w:p>
        </w:tc>
        <w:tc>
          <w:tcPr>
            <w:tcW w:w="144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16,686</w:t>
            </w:r>
          </w:p>
        </w:tc>
        <w:tc>
          <w:tcPr>
            <w:tcW w:w="100" w:type="dxa"/>
            <w:vAlign w:val="bottom"/>
            <w:shd w:val="clear" w:color="auto" w:fill="CCFFCC"/>
          </w:tcPr>
          <w:p>
            <w:pPr>
              <w:spacing w:after="0"/>
              <w:rPr>
                <w:sz w:val="19"/>
                <w:szCs w:val="19"/>
                <w:color w:val="auto"/>
              </w:rPr>
            </w:pPr>
          </w:p>
        </w:tc>
        <w:tc>
          <w:tcPr>
            <w:tcW w:w="56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CFFCC"/>
            </w:tcBorders>
          </w:tcPr>
          <w:p>
            <w:pPr>
              <w:ind w:left="640"/>
              <w:spacing w:after="0"/>
              <w:rPr>
                <w:sz w:val="20"/>
                <w:szCs w:val="20"/>
                <w:color w:val="auto"/>
              </w:rPr>
            </w:pPr>
            <w:r>
              <w:rPr>
                <w:rFonts w:ascii="Arial" w:cs="Arial" w:eastAsia="Arial" w:hAnsi="Arial"/>
                <w:sz w:val="18"/>
                <w:szCs w:val="18"/>
                <w:b w:val="1"/>
                <w:bCs w:val="1"/>
                <w:color w:val="auto"/>
              </w:rPr>
              <w:t>Total Current Liabilities</w:t>
            </w:r>
          </w:p>
        </w:tc>
        <w:tc>
          <w:tcPr>
            <w:tcW w:w="3080" w:type="dxa"/>
            <w:vAlign w:val="bottom"/>
            <w:tcBorders>
              <w:bottom w:val="single" w:sz="8" w:color="CCFFCC"/>
            </w:tcBorders>
          </w:tcPr>
          <w:p>
            <w:pPr>
              <w:spacing w:after="0"/>
              <w:rPr>
                <w:sz w:val="18"/>
                <w:szCs w:val="18"/>
                <w:color w:val="auto"/>
              </w:rPr>
            </w:pPr>
          </w:p>
        </w:tc>
        <w:tc>
          <w:tcPr>
            <w:tcW w:w="1440" w:type="dxa"/>
            <w:vAlign w:val="bottom"/>
            <w:tcBorders>
              <w:bottom w:val="single" w:sz="8" w:color="CCFFC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29,127</w:t>
            </w:r>
          </w:p>
        </w:tc>
        <w:tc>
          <w:tcPr>
            <w:tcW w:w="1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29,395</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Noncurrent Liabilities</w:t>
            </w:r>
          </w:p>
        </w:tc>
        <w:tc>
          <w:tcPr>
            <w:tcW w:w="308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20"/>
              <w:spacing w:after="0"/>
              <w:rPr>
                <w:sz w:val="20"/>
                <w:szCs w:val="20"/>
                <w:color w:val="auto"/>
              </w:rPr>
            </w:pPr>
            <w:r>
              <w:rPr>
                <w:rFonts w:ascii="Arial" w:cs="Arial" w:eastAsia="Arial" w:hAnsi="Arial"/>
                <w:sz w:val="18"/>
                <w:szCs w:val="18"/>
                <w:b w:val="1"/>
                <w:bCs w:val="1"/>
                <w:color w:val="auto"/>
              </w:rPr>
              <w:t>Notes Payable</w:t>
            </w:r>
          </w:p>
        </w:tc>
        <w:tc>
          <w:tcPr>
            <w:tcW w:w="3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18,900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Other Noncurrent Liabilities</w:t>
            </w:r>
          </w:p>
        </w:tc>
        <w:tc>
          <w:tcPr>
            <w:tcW w:w="3080" w:type="dxa"/>
            <w:vAlign w:val="bottom"/>
            <w:shd w:val="clear" w:color="auto" w:fill="CCFFCC"/>
          </w:tcPr>
          <w:p>
            <w:pPr>
              <w:spacing w:after="0"/>
              <w:rPr>
                <w:sz w:val="19"/>
                <w:szCs w:val="19"/>
                <w:color w:val="auto"/>
              </w:rPr>
            </w:pPr>
          </w:p>
        </w:tc>
        <w:tc>
          <w:tcPr>
            <w:tcW w:w="144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27,775</w:t>
            </w:r>
          </w:p>
        </w:tc>
        <w:tc>
          <w:tcPr>
            <w:tcW w:w="100" w:type="dxa"/>
            <w:vAlign w:val="bottom"/>
            <w:shd w:val="clear" w:color="auto" w:fill="CCFFCC"/>
          </w:tcPr>
          <w:p>
            <w:pPr>
              <w:spacing w:after="0"/>
              <w:rPr>
                <w:sz w:val="19"/>
                <w:szCs w:val="19"/>
                <w:color w:val="auto"/>
              </w:rPr>
            </w:pPr>
          </w:p>
        </w:tc>
        <w:tc>
          <w:tcPr>
            <w:tcW w:w="56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34,782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CFFCC"/>
            </w:tcBorders>
          </w:tcPr>
          <w:p>
            <w:pPr>
              <w:ind w:left="640"/>
              <w:spacing w:after="0"/>
              <w:rPr>
                <w:sz w:val="20"/>
                <w:szCs w:val="20"/>
                <w:color w:val="auto"/>
              </w:rPr>
            </w:pPr>
            <w:r>
              <w:rPr>
                <w:rFonts w:ascii="Arial" w:cs="Arial" w:eastAsia="Arial" w:hAnsi="Arial"/>
                <w:sz w:val="18"/>
                <w:szCs w:val="18"/>
                <w:b w:val="1"/>
                <w:bCs w:val="1"/>
                <w:color w:val="auto"/>
              </w:rPr>
              <w:t>Total Noncurrent Liabilities</w:t>
            </w:r>
          </w:p>
        </w:tc>
        <w:tc>
          <w:tcPr>
            <w:tcW w:w="3080" w:type="dxa"/>
            <w:vAlign w:val="bottom"/>
            <w:tcBorders>
              <w:bottom w:val="single" w:sz="8" w:color="CCFFCC"/>
            </w:tcBorders>
          </w:tcPr>
          <w:p>
            <w:pPr>
              <w:spacing w:after="0"/>
              <w:rPr>
                <w:sz w:val="18"/>
                <w:szCs w:val="18"/>
                <w:color w:val="auto"/>
              </w:rPr>
            </w:pPr>
          </w:p>
        </w:tc>
        <w:tc>
          <w:tcPr>
            <w:tcW w:w="1440" w:type="dxa"/>
            <w:vAlign w:val="bottom"/>
            <w:tcBorders>
              <w:bottom w:val="single" w:sz="8" w:color="CCFFC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46,675</w:t>
            </w:r>
          </w:p>
        </w:tc>
        <w:tc>
          <w:tcPr>
            <w:tcW w:w="1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57,182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Stockholders' Equity</w:t>
            </w:r>
          </w:p>
        </w:tc>
        <w:tc>
          <w:tcPr>
            <w:tcW w:w="308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108,058</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tcBorders>
              <w:bottom w:val="single" w:sz="8" w:color="auto"/>
            </w:tcBorders>
            <w:shd w:val="clear" w:color="auto" w:fill="CCFFCC"/>
          </w:tcPr>
          <w:p>
            <w:pPr>
              <w:spacing w:after="0"/>
              <w:rPr>
                <w:sz w:val="18"/>
                <w:szCs w:val="18"/>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89,841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80" w:type="dxa"/>
            <w:vAlign w:val="bottom"/>
            <w:tcBorders>
              <w:bottom w:val="single" w:sz="8" w:color="CCFFCC"/>
            </w:tcBorders>
          </w:tcPr>
          <w:p>
            <w:pPr>
              <w:spacing w:after="0"/>
              <w:rPr>
                <w:sz w:val="22"/>
                <w:szCs w:val="22"/>
                <w:color w:val="auto"/>
              </w:rPr>
            </w:pPr>
          </w:p>
        </w:tc>
        <w:tc>
          <w:tcPr>
            <w:tcW w:w="144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183,860</w:t>
            </w:r>
          </w:p>
        </w:tc>
        <w:tc>
          <w:tcPr>
            <w:tcW w:w="120" w:type="dxa"/>
            <w:vAlign w:val="bottom"/>
            <w:tcBorders>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176,418</w:t>
            </w:r>
          </w:p>
        </w:tc>
        <w:tc>
          <w:tcPr>
            <w:tcW w:w="10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80" w:type="dxa"/>
            <w:vAlign w:val="bottom"/>
            <w:shd w:val="clear" w:color="auto" w:fill="CCFFCC"/>
          </w:tcPr>
          <w:p>
            <w:pPr>
              <w:spacing w:after="0"/>
              <w:rPr>
                <w:sz w:val="17"/>
                <w:szCs w:val="17"/>
                <w:color w:val="auto"/>
              </w:rPr>
            </w:pPr>
          </w:p>
        </w:tc>
        <w:tc>
          <w:tcPr>
            <w:tcW w:w="3080" w:type="dxa"/>
            <w:vAlign w:val="bottom"/>
            <w:shd w:val="clear" w:color="auto" w:fill="CCFFCC"/>
          </w:tcPr>
          <w:p>
            <w:pPr>
              <w:spacing w:after="0"/>
              <w:rPr>
                <w:sz w:val="17"/>
                <w:szCs w:val="17"/>
                <w:color w:val="auto"/>
              </w:rPr>
            </w:pPr>
          </w:p>
        </w:tc>
        <w:tc>
          <w:tcPr>
            <w:tcW w:w="144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56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Book Value Per Share Outstanding</w:t>
            </w:r>
          </w:p>
        </w:tc>
        <w:tc>
          <w:tcPr>
            <w:tcW w:w="3080" w:type="dxa"/>
            <w:vAlign w:val="bottom"/>
          </w:tcPr>
          <w:p>
            <w:pPr>
              <w:spacing w:after="0"/>
              <w:rPr>
                <w:sz w:val="18"/>
                <w:szCs w:val="18"/>
                <w:color w:val="auto"/>
              </w:rPr>
            </w:pPr>
          </w:p>
        </w:tc>
        <w:tc>
          <w:tcPr>
            <w:tcW w:w="17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15.51</w:t>
            </w:r>
          </w:p>
        </w:tc>
        <w:tc>
          <w:tcPr>
            <w:tcW w:w="66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CCFFCC"/>
          </w:tcPr>
          <w:p>
            <w:pPr>
              <w:spacing w:after="0"/>
              <w:rPr>
                <w:sz w:val="18"/>
                <w:szCs w:val="18"/>
                <w:color w:val="auto"/>
              </w:rPr>
            </w:pPr>
          </w:p>
        </w:tc>
        <w:tc>
          <w:tcPr>
            <w:tcW w:w="308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Acquisitions of</w:t>
            </w:r>
          </w:p>
        </w:tc>
        <w:tc>
          <w:tcPr>
            <w:tcW w:w="3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Property, Plant and Equipment</w:t>
            </w:r>
          </w:p>
        </w:tc>
        <w:tc>
          <w:tcPr>
            <w:tcW w:w="3080" w:type="dxa"/>
            <w:vAlign w:val="bottom"/>
            <w:shd w:val="clear" w:color="auto" w:fill="CCFFCC"/>
          </w:tcPr>
          <w:p>
            <w:pPr>
              <w:ind w:left="400"/>
              <w:spacing w:after="0"/>
              <w:rPr>
                <w:sz w:val="20"/>
                <w:szCs w:val="20"/>
                <w:color w:val="auto"/>
              </w:rPr>
            </w:pPr>
            <w:r>
              <w:rPr>
                <w:rFonts w:ascii="Arial" w:cs="Arial" w:eastAsia="Arial" w:hAnsi="Arial"/>
                <w:sz w:val="18"/>
                <w:szCs w:val="18"/>
                <w:b w:val="1"/>
                <w:bCs w:val="1"/>
                <w:color w:val="auto"/>
              </w:rPr>
              <w:t>Second Quarter</w:t>
            </w:r>
          </w:p>
        </w:tc>
        <w:tc>
          <w:tcPr>
            <w:tcW w:w="178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3,400</w:t>
            </w:r>
          </w:p>
        </w:tc>
        <w:tc>
          <w:tcPr>
            <w:tcW w:w="660" w:type="dxa"/>
            <w:vAlign w:val="bottom"/>
            <w:gridSpan w:val="2"/>
            <w:shd w:val="clear" w:color="auto" w:fill="CCFFCC"/>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080" w:type="dxa"/>
            <w:vAlign w:val="bottom"/>
          </w:tcPr>
          <w:p>
            <w:pPr>
              <w:ind w:left="400"/>
              <w:spacing w:after="0"/>
              <w:rPr>
                <w:sz w:val="20"/>
                <w:szCs w:val="20"/>
                <w:color w:val="auto"/>
              </w:rPr>
            </w:pPr>
            <w:r>
              <w:rPr>
                <w:rFonts w:ascii="Arial" w:cs="Arial" w:eastAsia="Arial" w:hAnsi="Arial"/>
                <w:sz w:val="18"/>
                <w:szCs w:val="18"/>
                <w:b w:val="1"/>
                <w:bCs w:val="1"/>
                <w:color w:val="auto"/>
              </w:rPr>
              <w:t>Year to Date</w:t>
            </w:r>
          </w:p>
        </w:tc>
        <w:tc>
          <w:tcPr>
            <w:tcW w:w="17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6,782</w:t>
            </w:r>
          </w:p>
        </w:tc>
        <w:tc>
          <w:tcPr>
            <w:tcW w:w="66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Depreciation and Amortization Charges</w:t>
            </w:r>
          </w:p>
        </w:tc>
        <w:tc>
          <w:tcPr>
            <w:tcW w:w="3080" w:type="dxa"/>
            <w:vAlign w:val="bottom"/>
            <w:shd w:val="clear" w:color="auto" w:fill="CCFFCC"/>
          </w:tcPr>
          <w:p>
            <w:pPr>
              <w:ind w:left="400"/>
              <w:spacing w:after="0"/>
              <w:rPr>
                <w:sz w:val="20"/>
                <w:szCs w:val="20"/>
                <w:color w:val="auto"/>
              </w:rPr>
            </w:pPr>
            <w:r>
              <w:rPr>
                <w:rFonts w:ascii="Arial" w:cs="Arial" w:eastAsia="Arial" w:hAnsi="Arial"/>
                <w:sz w:val="18"/>
                <w:szCs w:val="18"/>
                <w:b w:val="1"/>
                <w:bCs w:val="1"/>
                <w:color w:val="auto"/>
              </w:rPr>
              <w:t>Second Quarter</w:t>
            </w:r>
          </w:p>
        </w:tc>
        <w:tc>
          <w:tcPr>
            <w:tcW w:w="178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2,629</w:t>
            </w:r>
          </w:p>
        </w:tc>
        <w:tc>
          <w:tcPr>
            <w:tcW w:w="660" w:type="dxa"/>
            <w:vAlign w:val="bottom"/>
            <w:gridSpan w:val="2"/>
            <w:shd w:val="clear" w:color="auto" w:fill="CCFFCC"/>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080" w:type="dxa"/>
            <w:vAlign w:val="bottom"/>
          </w:tcPr>
          <w:p>
            <w:pPr>
              <w:ind w:left="400"/>
              <w:spacing w:after="0"/>
              <w:rPr>
                <w:sz w:val="20"/>
                <w:szCs w:val="20"/>
                <w:color w:val="auto"/>
              </w:rPr>
            </w:pPr>
            <w:r>
              <w:rPr>
                <w:rFonts w:ascii="Arial" w:cs="Arial" w:eastAsia="Arial" w:hAnsi="Arial"/>
                <w:sz w:val="18"/>
                <w:szCs w:val="18"/>
                <w:b w:val="1"/>
                <w:bCs w:val="1"/>
                <w:color w:val="auto"/>
              </w:rPr>
              <w:t>Year to Date</w:t>
            </w:r>
          </w:p>
        </w:tc>
        <w:tc>
          <w:tcPr>
            <w:tcW w:w="17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4,860</w:t>
            </w:r>
          </w:p>
        </w:tc>
        <w:tc>
          <w:tcPr>
            <w:tcW w:w="66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Investor Relations Contact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Reagan Culbertson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reagan.culbertson@oildri.com</w:t>
      </w:r>
    </w:p>
    <w:p>
      <w:pPr>
        <w:spacing w:after="0" w:line="9" w:lineRule="exact"/>
        <w:rPr>
          <w:sz w:val="20"/>
          <w:szCs w:val="20"/>
          <w:color w:val="auto"/>
        </w:rPr>
      </w:pPr>
    </w:p>
    <w:p>
      <w:pPr>
        <w:ind w:left="5600" w:hanging="441"/>
        <w:spacing w:after="0"/>
        <w:tabs>
          <w:tab w:leader="none" w:pos="5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706 3256</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1177925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3081655</wp:posOffset>
            </wp:positionH>
            <wp:positionV relativeFrom="page">
              <wp:posOffset>568960</wp:posOffset>
            </wp:positionV>
            <wp:extent cx="1406525" cy="4718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406525" cy="47180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January 31,</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60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7,168</w:t>
            </w:r>
          </w:p>
        </w:tc>
        <w:tc>
          <w:tcPr>
            <w:tcW w:w="440" w:type="dxa"/>
            <w:vAlign w:val="bottom"/>
            <w:gridSpan w:val="2"/>
            <w:shd w:val="clear" w:color="auto" w:fill="CCFFCC"/>
          </w:tcPr>
          <w:p>
            <w:pPr>
              <w:jc w:val="right"/>
              <w:ind w:right="31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6,598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1"/>
              </w:rPr>
              <w:t>Adjustments to reconcile net income to net cash provided by operating activities, net of acquisition:</w:t>
            </w:r>
          </w:p>
        </w:tc>
        <w:tc>
          <w:tcPr>
            <w:tcW w:w="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b w:val="1"/>
                <w:bCs w:val="1"/>
                <w:color w:val="auto"/>
              </w:rPr>
              <w:t>Depreciation and Amortization</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4,860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4,475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Capacity Rationalization Plan Charges</w:t>
            </w:r>
          </w:p>
        </w:tc>
        <w:tc>
          <w:tcPr>
            <w:tcW w:w="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b w:val="1"/>
                <w:bCs w:val="1"/>
                <w:color w:val="auto"/>
              </w:rPr>
              <w:t>Increase in Accounts Receivable</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(5,919)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Increase in Inventories</w:t>
            </w:r>
          </w:p>
        </w:tc>
        <w:tc>
          <w:tcPr>
            <w:tcW w:w="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(1,347)</w:t>
            </w:r>
          </w:p>
        </w:tc>
        <w:tc>
          <w:tcPr>
            <w:tcW w:w="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b w:val="1"/>
                <w:bCs w:val="1"/>
                <w:color w:val="auto"/>
              </w:rPr>
              <w:t>Increase (Decrease) in Accounts Payable</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(Decrease) Increase in Accrued Expenses</w:t>
            </w:r>
          </w:p>
        </w:tc>
        <w:tc>
          <w:tcPr>
            <w:tcW w:w="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(3,558)</w:t>
            </w:r>
          </w:p>
        </w:tc>
        <w:tc>
          <w:tcPr>
            <w:tcW w:w="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690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b w:val="1"/>
                <w:bCs w:val="1"/>
                <w:color w:val="auto"/>
              </w:rPr>
              <w:t>Increase in Pension and Postretirement Benefits</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528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Other</w:t>
            </w:r>
          </w:p>
        </w:tc>
        <w:tc>
          <w:tcPr>
            <w:tcW w:w="26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287</w:t>
            </w:r>
          </w:p>
        </w:tc>
        <w:tc>
          <w:tcPr>
            <w:tcW w:w="2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1,597</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bottom w:val="single" w:sz="8" w:color="CCFFCC"/>
            </w:tcBorders>
          </w:tcPr>
          <w:p>
            <w:pPr>
              <w:ind w:left="320"/>
              <w:spacing w:after="0"/>
              <w:rPr>
                <w:sz w:val="20"/>
                <w:szCs w:val="20"/>
                <w:color w:val="auto"/>
              </w:rPr>
            </w:pPr>
            <w:r>
              <w:rPr>
                <w:rFonts w:ascii="Arial" w:cs="Arial" w:eastAsia="Arial" w:hAnsi="Arial"/>
                <w:sz w:val="18"/>
                <w:szCs w:val="18"/>
                <w:b w:val="1"/>
                <w:bCs w:val="1"/>
                <w:color w:val="auto"/>
              </w:rPr>
              <w:t>Total Adjustments</w:t>
            </w:r>
          </w:p>
        </w:tc>
        <w:tc>
          <w:tcPr>
            <w:tcW w:w="260" w:type="dxa"/>
            <w:vAlign w:val="bottom"/>
            <w:tcBorders>
              <w:bottom w:val="single" w:sz="8" w:color="CCFFC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(4,768</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4,213</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2,400</w:t>
            </w: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42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10,811</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b w:val="1"/>
                <w:bCs w:val="1"/>
                <w:color w:val="auto"/>
              </w:rPr>
              <w:t>Capital Expenditures</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(6,782)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Acquisition of Business</w:t>
            </w:r>
          </w:p>
        </w:tc>
        <w:tc>
          <w:tcPr>
            <w:tcW w:w="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(12,505)</w:t>
            </w:r>
          </w:p>
        </w:tc>
        <w:tc>
          <w:tcPr>
            <w:tcW w:w="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b w:val="1"/>
                <w:bCs w:val="1"/>
                <w:color w:val="auto"/>
              </w:rPr>
              <w:t>Restricted Cash</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Net Dispositions (Purchases) of Investment Securities</w:t>
            </w:r>
          </w:p>
        </w:tc>
        <w:tc>
          <w:tcPr>
            <w:tcW w:w="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11,361</w:t>
            </w:r>
          </w:p>
        </w:tc>
        <w:tc>
          <w:tcPr>
            <w:tcW w:w="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160"/>
              <w:spacing w:after="0"/>
              <w:rPr>
                <w:sz w:val="20"/>
                <w:szCs w:val="20"/>
                <w:color w:val="auto"/>
              </w:rPr>
            </w:pPr>
            <w:r>
              <w:rPr>
                <w:rFonts w:ascii="Arial" w:cs="Arial" w:eastAsia="Arial" w:hAnsi="Arial"/>
                <w:sz w:val="18"/>
                <w:szCs w:val="18"/>
                <w:b w:val="1"/>
                <w:bCs w:val="1"/>
                <w:color w:val="auto"/>
              </w:rPr>
              <w:t>Other</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FFCC"/>
            </w:tcBorders>
            <w:shd w:val="clear" w:color="auto" w:fill="CCFFCC"/>
          </w:tcPr>
          <w:p>
            <w:pPr>
              <w:ind w:left="16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(8,410</w:t>
            </w:r>
          </w:p>
        </w:tc>
        <w:tc>
          <w:tcPr>
            <w:tcW w:w="220" w:type="dxa"/>
            <w:vAlign w:val="bottom"/>
            <w:tcBorders>
              <w:top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(6,197</w:t>
            </w:r>
          </w:p>
        </w:tc>
        <w:tc>
          <w:tcPr>
            <w:tcW w:w="100" w:type="dxa"/>
            <w:vAlign w:val="bottom"/>
            <w:tcBorders>
              <w:top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b w:val="1"/>
                <w:bCs w:val="1"/>
                <w:color w:val="auto"/>
              </w:rPr>
              <w:t>Principal Payments on Long-Term Debt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(3,500)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Dividends Paid</w:t>
            </w:r>
          </w:p>
        </w:tc>
        <w:tc>
          <w:tcPr>
            <w:tcW w:w="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(2,478)</w:t>
            </w:r>
          </w:p>
        </w:tc>
        <w:tc>
          <w:tcPr>
            <w:tcW w:w="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(4,630)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b w:val="1"/>
                <w:bCs w:val="1"/>
                <w:color w:val="auto"/>
              </w:rPr>
              <w:t>Purchase of Treasury Stock</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Other</w:t>
            </w:r>
          </w:p>
        </w:tc>
        <w:tc>
          <w:tcPr>
            <w:tcW w:w="26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852</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bottom w:val="single" w:sz="8" w:color="CCFFCC"/>
            </w:tcBorders>
          </w:tcPr>
          <w:p>
            <w:pPr>
              <w:ind w:left="160"/>
              <w:spacing w:after="0"/>
              <w:rPr>
                <w:sz w:val="20"/>
                <w:szCs w:val="20"/>
                <w:color w:val="auto"/>
              </w:rPr>
            </w:pPr>
            <w:r>
              <w:rPr>
                <w:rFonts w:ascii="Arial" w:cs="Arial" w:eastAsia="Arial" w:hAnsi="Arial"/>
                <w:sz w:val="18"/>
                <w:szCs w:val="18"/>
                <w:b w:val="1"/>
                <w:bCs w:val="1"/>
                <w:color w:val="auto"/>
              </w:rPr>
              <w:t>Net Cash Used in Financing Activities</w:t>
            </w:r>
          </w:p>
        </w:tc>
        <w:tc>
          <w:tcPr>
            <w:tcW w:w="260" w:type="dxa"/>
            <w:vAlign w:val="bottom"/>
            <w:tcBorders>
              <w:bottom w:val="single" w:sz="8" w:color="CCFFC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(5,919</w:t>
            </w:r>
          </w:p>
        </w:tc>
        <w:tc>
          <w:tcPr>
            <w:tcW w:w="220" w:type="dxa"/>
            <w:vAlign w:val="bottom"/>
            <w:tcBorders>
              <w:bottom w:val="single" w:sz="8" w:color="CCFFCC"/>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(6,253</w:t>
            </w:r>
          </w:p>
        </w:tc>
        <w:tc>
          <w:tcPr>
            <w:tcW w:w="100" w:type="dxa"/>
            <w:vAlign w:val="bottom"/>
            <w:tcBorders>
              <w:bottom w:val="single" w:sz="8" w:color="CCFFCC"/>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(11,953)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6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24,035</w:t>
            </w:r>
          </w:p>
        </w:tc>
        <w:tc>
          <w:tcPr>
            <w:tcW w:w="2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27,093</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Investor Relations Contact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Reagan Culbertson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reagan.culbertson@oildri.com</w:t>
      </w:r>
    </w:p>
    <w:p>
      <w:pPr>
        <w:spacing w:after="0" w:line="9" w:lineRule="exact"/>
        <w:rPr>
          <w:sz w:val="20"/>
          <w:szCs w:val="20"/>
          <w:color w:val="auto"/>
        </w:rPr>
      </w:pPr>
    </w:p>
    <w:p>
      <w:pPr>
        <w:ind w:left="5600" w:hanging="441"/>
        <w:spacing w:after="0"/>
        <w:tabs>
          <w:tab w:leader="none" w:pos="5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706 3256</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1)"/>
      <w:numFmt w:val="decimal"/>
      <w:start w:val="312"/>
    </w:lvl>
  </w:abstractNum>
  <w:abstractNum w:abstractNumId="3">
    <w:nsid w:val="41B71EFB"/>
    <w:multiLevelType w:val="hybridMultilevel"/>
    <w:lvl w:ilvl="0">
      <w:lvlJc w:val="left"/>
      <w:lvlText w:val="(%1)"/>
      <w:numFmt w:val="decimal"/>
      <w:start w:val="312"/>
    </w:lvl>
  </w:abstractNum>
  <w:abstractNum w:abstractNumId="4">
    <w:nsid w:val="79E2A9E3"/>
    <w:multiLevelType w:val="hybridMultilevel"/>
    <w:lvl w:ilvl="0">
      <w:lvlJc w:val="left"/>
      <w:lvlText w:val="(%1)"/>
      <w:numFmt w:val="decimal"/>
      <w:start w:val="312"/>
    </w:lvl>
  </w:abstractNum>
  <w:abstractNum w:abstractNumId="5">
    <w:nsid w:val="7545E146"/>
    <w:multiLevelType w:val="hybridMultilevel"/>
    <w:lvl w:ilvl="0">
      <w:lvlJc w:val="left"/>
      <w:lvlText w:val="(%1)"/>
      <w:numFmt w:val="decimal"/>
      <w:start w:val="312"/>
    </w:lvl>
  </w:abstractNum>
  <w:abstractNum w:abstractNumId="6">
    <w:nsid w:val="515F007C"/>
    <w:multiLevelType w:val="hybridMultilevel"/>
    <w:lvl w:ilvl="0">
      <w:lvlJc w:val="left"/>
      <w:lvlText w:val="(%1)"/>
      <w:numFmt w:val="decimal"/>
      <w:start w:val="312"/>
    </w:lvl>
  </w:abstractNum>
  <w:abstractNum w:abstractNumId="7">
    <w:nsid w:val="5BD062C2"/>
    <w:multiLevelType w:val="hybridMultilevel"/>
    <w:lvl w:ilvl="0">
      <w:lvlJc w:val="left"/>
      <w:lvlText w:val="(%1)"/>
      <w:numFmt w:val="decimal"/>
      <w:start w:val="312"/>
    </w:lvl>
  </w:abstractNum>
  <w:abstractNum w:abstractNumId="8">
    <w:nsid w:val="12200854"/>
    <w:multiLevelType w:val="hybridMultilevel"/>
    <w:lvl w:ilvl="0">
      <w:lvlJc w:val="left"/>
      <w:lvlText w:val="(%1)"/>
      <w:numFmt w:val="decimal"/>
      <w:start w:val="312"/>
    </w:lvl>
  </w:abstractNum>
  <w:abstractNum w:abstractNumId="9">
    <w:nsid w:val="4DB127F8"/>
    <w:multiLevelType w:val="hybridMultilevel"/>
    <w:lvl w:ilvl="0">
      <w:lvlJc w:val="left"/>
      <w:lvlText w:val="(%1)"/>
      <w:numFmt w:val="decimal"/>
      <w:start w:val="3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2020-01-26T11:55:39Z</dcterms:created>
  <dcterms:modified xsi:type="dcterms:W3CDTF">2020-01-26T11:55:39Z</dcterms:modified>
</cp:coreProperties>
</file>