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88357_8k.htm"/>
      <w:bookmarkStart w:id="1" w:name="ksv188357_8k"/>
      <w:bookmarkStart w:id="2" w:name="v188357_8k.htm"/>
      <w:bookmarkStart w:id="3" w:name="ksv188357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June 15, 2010</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401"/>
        <w:gridCol w:w="3402"/>
        <w:gridCol w:w="3402"/>
      </w:tblGrid>
      <w:tr>
        <w:trPr/>
        <w:tc>
          <w:tcPr>
            <w:tcW w:w="340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34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40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4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10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60611-4213</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4" w:name="hangingindent"/>
      <w:bookmarkStart w:id="5" w:name="hangingindent"/>
      <w:bookmarkEnd w:id="5"/>
    </w:p>
    <w:tbl>
      <w:tblPr>
        <w:tblW w:w="5000" w:type="pct"/>
        <w:jc w:val="left"/>
        <w:tblInd w:w="0" w:type="dxa"/>
        <w:tblCellMar>
          <w:top w:w="0" w:type="dxa"/>
          <w:left w:w="0" w:type="dxa"/>
          <w:bottom w:w="0" w:type="dxa"/>
          <w:right w:w="0" w:type="dxa"/>
        </w:tblCellMar>
      </w:tblPr>
      <w:tblGrid>
        <w:gridCol w:w="192"/>
        <w:gridCol w:w="10013"/>
      </w:tblGrid>
      <w:tr>
        <w:trPr/>
        <w:tc>
          <w:tcPr>
            <w:tcW w:w="192"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191"/>
        <w:gridCol w:w="10014"/>
      </w:tblGrid>
      <w:tr>
        <w:trPr/>
        <w:tc>
          <w:tcPr>
            <w:tcW w:w="191"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8" w:name="hangingindent2"/>
      <w:bookmarkStart w:id="9" w:name="hangingindent2"/>
      <w:bookmarkEnd w:id="9"/>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10" w:name="hangingindent3"/>
      <w:bookmarkStart w:id="11" w:name="hangingindent3"/>
      <w:bookmarkEnd w:id="11"/>
    </w:p>
    <w:tbl>
      <w:tblPr>
        <w:tblW w:w="5000" w:type="pct"/>
        <w:jc w:val="left"/>
        <w:tblInd w:w="0" w:type="dxa"/>
        <w:tblCellMar>
          <w:top w:w="0" w:type="dxa"/>
          <w:left w:w="0" w:type="dxa"/>
          <w:bottom w:w="0" w:type="dxa"/>
          <w:right w:w="0" w:type="dxa"/>
        </w:tblCellMar>
      </w:tblPr>
      <w:tblGrid>
        <w:gridCol w:w="156"/>
        <w:gridCol w:w="10049"/>
      </w:tblGrid>
      <w:tr>
        <w:trPr/>
        <w:tc>
          <w:tcPr>
            <w:tcW w:w="156"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8.01</w:t>
      </w:r>
      <w:r>
        <w:rPr>
          <w:rFonts w:ascii="Times New Roman" w:hAnsi="Times New Roman"/>
          <w:b/>
          <w:sz w:val="20"/>
        </w:rPr>
        <w:t>       Other Events.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15, 2010, the Board of Directors of Oil-Dri Corporation of America (the “Registrant”) declared increased quarterly cash dividends of $0.16 per share (increased from $0.15 per share) of the Registrant’s Common Stock and $0.12 per share (increased from $0.1125 per share) of the Registrant’s Class B Stock.  The dividends will be payable on September 3, 2010, to stockholders of record at the close of business on August 20, 2010.  A copy of the Registrant’s press release announcing these matters is attached as Exhibit 99.1, and the information contained therein is incorporated herein by reference.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17"/>
        <w:gridCol w:w="510"/>
        <w:gridCol w:w="8778"/>
      </w:tblGrid>
      <w:tr>
        <w:trPr/>
        <w:tc>
          <w:tcPr>
            <w:tcW w:w="91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510" w:type="dxa"/>
            <w:tcBorders/>
            <w:shd w:fill="auto" w:val="clear"/>
          </w:tcPr>
          <w:p>
            <w:pPr>
              <w:pStyle w:val="TableContents"/>
              <w:spacing w:before="0" w:after="283"/>
              <w:jc w:val="left"/>
              <w:rPr/>
            </w:pPr>
            <w:r>
              <w:rPr/>
              <w:t> </w:t>
            </w:r>
          </w:p>
        </w:tc>
        <w:tc>
          <w:tcPr>
            <w:tcW w:w="8778" w:type="dxa"/>
            <w:tcBorders/>
            <w:shd w:fill="auto" w:val="clear"/>
          </w:tcPr>
          <w:p>
            <w:pPr>
              <w:pStyle w:val="TableContents"/>
              <w:spacing w:before="0" w:after="283"/>
              <w:rPr/>
            </w:pPr>
            <w:r>
              <w:rPr/>
              <w:t xml:space="preserve">  </w:t>
            </w:r>
          </w:p>
        </w:tc>
      </w:tr>
      <w:tr>
        <w:trPr/>
        <w:tc>
          <w:tcPr>
            <w:tcW w:w="91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510" w:type="dxa"/>
            <w:tcBorders/>
            <w:shd w:fill="auto" w:val="clear"/>
          </w:tcPr>
          <w:p>
            <w:pPr>
              <w:pStyle w:val="TableContents"/>
              <w:spacing w:before="0" w:after="283"/>
              <w:jc w:val="left"/>
              <w:rPr/>
            </w:pPr>
            <w:r>
              <w:rPr/>
              <w:t> </w:t>
            </w:r>
          </w:p>
        </w:tc>
        <w:tc>
          <w:tcPr>
            <w:tcW w:w="877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Description of Exhibits</w:t>
            </w:r>
          </w:p>
        </w:tc>
      </w:tr>
      <w:tr>
        <w:trPr/>
        <w:tc>
          <w:tcPr>
            <w:tcW w:w="91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283"/>
              <w:rPr/>
            </w:pPr>
            <w:r>
              <w:rPr/>
              <w:t> </w:t>
            </w:r>
          </w:p>
        </w:tc>
        <w:tc>
          <w:tcPr>
            <w:tcW w:w="877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510" w:type="dxa"/>
            <w:tcBorders/>
            <w:shd w:fill="auto" w:val="clear"/>
          </w:tcPr>
          <w:p>
            <w:pPr>
              <w:pStyle w:val="TableContents"/>
              <w:spacing w:before="0" w:after="283"/>
              <w:jc w:val="left"/>
              <w:rPr/>
            </w:pPr>
            <w:r>
              <w:rPr/>
              <w:t> </w:t>
            </w:r>
          </w:p>
        </w:tc>
        <w:tc>
          <w:tcPr>
            <w:tcW w:w="87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June 15, 2010</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 w:name="PGBRK"/>
      <w:bookmarkStart w:id="13" w:name="PGBRK"/>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FTR"/>
      <w:bookmarkStart w:id="15" w:name="FT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 w:name="GLFTR"/>
      <w:bookmarkEnd w:id="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 w:name="PN"/>
      <w:bookmarkEnd w:id="17"/>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 w:name="GLHDR"/>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sz w:val="20"/>
              </w:rPr>
            </w:pPr>
            <w:r>
              <w:rPr>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   </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June 15,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 w:name="PGBRK1"/>
      <w:bookmarkStart w:id="22" w:name="PGBRK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 w:name="FTR1"/>
      <w:bookmarkStart w:id="24" w:name="FT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 w:name="GLFTR1"/>
      <w:bookmarkEnd w:id="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 w:name="PN1"/>
      <w:bookmarkEnd w:id="26"/>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HDR1"/>
      <w:bookmarkStart w:id="28" w:name="HDR1"/>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 w:name="GLHDR1"/>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17"/>
        <w:gridCol w:w="510"/>
        <w:gridCol w:w="8778"/>
      </w:tblGrid>
      <w:tr>
        <w:trPr/>
        <w:tc>
          <w:tcPr>
            <w:tcW w:w="91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510" w:type="dxa"/>
            <w:tcBorders/>
            <w:shd w:fill="auto" w:val="clear"/>
          </w:tcPr>
          <w:p>
            <w:pPr>
              <w:pStyle w:val="TableContents"/>
              <w:spacing w:before="0" w:after="283"/>
              <w:jc w:val="left"/>
              <w:rPr/>
            </w:pPr>
            <w:r>
              <w:rPr/>
              <w:t> </w:t>
            </w:r>
          </w:p>
        </w:tc>
        <w:tc>
          <w:tcPr>
            <w:tcW w:w="8778" w:type="dxa"/>
            <w:tcBorders/>
            <w:shd w:fill="auto" w:val="clear"/>
          </w:tcPr>
          <w:p>
            <w:pPr>
              <w:pStyle w:val="TableContents"/>
              <w:spacing w:before="0" w:after="283"/>
              <w:rPr/>
            </w:pPr>
            <w:r>
              <w:rPr/>
              <w:t xml:space="preserve">  </w:t>
            </w:r>
          </w:p>
        </w:tc>
      </w:tr>
      <w:tr>
        <w:trPr/>
        <w:tc>
          <w:tcPr>
            <w:tcW w:w="917"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510" w:type="dxa"/>
            <w:tcBorders/>
            <w:shd w:fill="auto" w:val="clear"/>
          </w:tcPr>
          <w:p>
            <w:pPr>
              <w:pStyle w:val="TableContents"/>
              <w:spacing w:before="0" w:after="283"/>
              <w:jc w:val="left"/>
              <w:rPr/>
            </w:pPr>
            <w:r>
              <w:rPr/>
              <w:t> </w:t>
            </w:r>
          </w:p>
        </w:tc>
        <w:tc>
          <w:tcPr>
            <w:tcW w:w="877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Description of Exhibits</w:t>
            </w:r>
          </w:p>
        </w:tc>
      </w:tr>
      <w:tr>
        <w:trPr/>
        <w:tc>
          <w:tcPr>
            <w:tcW w:w="917" w:type="dxa"/>
            <w:tcBorders/>
            <w:shd w:fill="auto" w:val="clear"/>
          </w:tcPr>
          <w:p>
            <w:pPr>
              <w:pStyle w:val="TableContents"/>
              <w:spacing w:before="0" w:after="283"/>
              <w:rPr/>
            </w:pPr>
            <w:r>
              <w:rPr/>
              <w:t xml:space="preserve">  </w:t>
            </w:r>
          </w:p>
        </w:tc>
        <w:tc>
          <w:tcPr>
            <w:tcW w:w="510" w:type="dxa"/>
            <w:tcBorders/>
            <w:shd w:fill="auto" w:val="clear"/>
          </w:tcPr>
          <w:p>
            <w:pPr>
              <w:pStyle w:val="TableContents"/>
              <w:spacing w:before="0" w:after="283"/>
              <w:rPr/>
            </w:pPr>
            <w:r>
              <w:rPr/>
              <w:t> </w:t>
            </w:r>
          </w:p>
        </w:tc>
        <w:tc>
          <w:tcPr>
            <w:tcW w:w="877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510" w:type="dxa"/>
            <w:tcBorders/>
            <w:shd w:fill="auto" w:val="clear"/>
          </w:tcPr>
          <w:p>
            <w:pPr>
              <w:pStyle w:val="TableContents"/>
              <w:spacing w:before="0" w:after="283"/>
              <w:jc w:val="left"/>
              <w:rPr/>
            </w:pPr>
            <w:r>
              <w:rPr/>
              <w:t> </w:t>
            </w:r>
          </w:p>
        </w:tc>
        <w:tc>
          <w:tcPr>
            <w:tcW w:w="87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June 15, 2010</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2"/>
      <w:bookmarkStart w:id="31" w:name="PGBRK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 w:name="FTR2"/>
      <w:bookmarkStart w:id="33" w:name="FT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 w:name="GLFTR2"/>
      <w:bookmarkEnd w:id="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 w:name="PN2"/>
      <w:bookmarkEnd w:id="3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HDR2"/>
      <w:bookmarkStart w:id="37" w:name="HDR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 w:name="GLHDR2"/>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ind w:left="0" w:right="0" w:hanging="0"/>
        <w:rPr/>
      </w:pPr>
      <w:r>
        <w:rPr/>
        <w:t> </w:t>
      </w:r>
      <w:r>
        <w:br w:type="page"/>
      </w:r>
    </w:p>
    <w:p>
      <w:pPr>
        <w:pStyle w:val="TextBody"/>
        <w:spacing w:before="0" w:after="0"/>
        <w:ind w:left="0" w:right="0" w:hanging="0"/>
        <w:jc w:val="right"/>
        <w:rPr/>
      </w:pPr>
      <w:bookmarkStart w:id="39" w:name="v188357_ex99-1.htm"/>
      <w:bookmarkStart w:id="40" w:name="ksv188357_ex991"/>
      <w:bookmarkEnd w:id="39"/>
      <w:bookmarkEnd w:id="40"/>
      <w:r>
        <w:rPr/>
        <w:t> </w:t>
      </w:r>
    </w:p>
    <w:tbl>
      <w:tblPr>
        <w:tblW w:w="4900" w:type="pct"/>
        <w:jc w:val="left"/>
        <w:tblInd w:w="0" w:type="dxa"/>
        <w:tblCellMar>
          <w:top w:w="0" w:type="dxa"/>
          <w:left w:w="0" w:type="dxa"/>
          <w:bottom w:w="0" w:type="dxa"/>
          <w:right w:w="0" w:type="dxa"/>
        </w:tblCellMar>
      </w:tblPr>
      <w:tblGrid>
        <w:gridCol w:w="1892"/>
        <w:gridCol w:w="5161"/>
        <w:gridCol w:w="1269"/>
        <w:gridCol w:w="1678"/>
      </w:tblGrid>
      <w:tr>
        <w:trPr/>
        <w:tc>
          <w:tcPr>
            <w:tcW w:w="1892" w:type="dxa"/>
            <w:vMerge w:val="restart"/>
            <w:tcBorders/>
            <w:shd w:fill="auto" w:val="clear"/>
          </w:tcPr>
          <w:p>
            <w:pPr>
              <w:pStyle w:val="TableContents"/>
              <w:spacing w:before="0" w:after="0"/>
              <w:ind w:left="0" w:right="0" w:hanging="0"/>
              <w:jc w:val="left"/>
              <w:rPr/>
            </w:pPr>
            <w:r>
              <w:rPr/>
              <w:t> </w:t>
            </w:r>
            <w:r>
              <w:rPr/>
              <w:drawing>
                <wp:inline distT="0" distB="0" distL="0" distR="0">
                  <wp:extent cx="114300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9144000"/>
                          </a:xfrm>
                          <a:prstGeom prst="rect">
                            <a:avLst/>
                          </a:prstGeom>
                        </pic:spPr>
                      </pic:pic>
                    </a:graphicData>
                  </a:graphic>
                </wp:inline>
              </w:drawing>
            </w:r>
          </w:p>
        </w:tc>
        <w:tc>
          <w:tcPr>
            <w:tcW w:w="5161" w:type="dxa"/>
            <w:tcBorders>
              <w:bottom w:val="single" w:sz="12" w:space="0" w:color="000000"/>
            </w:tcBorders>
            <w:shd w:fill="auto" w:val="clear"/>
            <w:tcMar>
              <w:bottom w:w="28" w:type="dxa"/>
            </w:tcMar>
          </w:tcPr>
          <w:p>
            <w:pPr>
              <w:pStyle w:val="TableContents"/>
              <w:spacing w:before="0" w:after="283"/>
              <w:jc w:val="left"/>
              <w:rPr/>
            </w:pPr>
            <w:r>
              <w:rPr/>
              <w:t> </w:t>
            </w:r>
          </w:p>
        </w:tc>
        <w:tc>
          <w:tcPr>
            <w:tcW w:w="29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20"/>
              </w:rPr>
            </w:pPr>
            <w:r>
              <w:rPr>
                <w:rFonts w:ascii="times new roman" w:hAnsi="times new roman"/>
                <w:color w:val="000000"/>
                <w:sz w:val="20"/>
              </w:rPr>
              <w:t>Exhibit 99.1</w:t>
            </w:r>
          </w:p>
          <w:p>
            <w:pPr>
              <w:pStyle w:val="TableContents"/>
              <w:spacing w:before="0" w:after="0"/>
              <w:ind w:left="0" w:right="0" w:hanging="0"/>
              <w:jc w:val="right"/>
              <w:rPr/>
            </w:pPr>
            <w:r>
              <w:rPr/>
              <w:t> </w:t>
            </w:r>
          </w:p>
          <w:p>
            <w:pPr>
              <w:pStyle w:val="TableContents"/>
              <w:spacing w:before="0" w:after="0"/>
              <w:ind w:left="0" w:right="0" w:hanging="0"/>
              <w:jc w:val="left"/>
              <w:rPr>
                <w:rFonts w:ascii="times new roman" w:hAnsi="times new roman"/>
                <w:b/>
                <w:color w:val="0000FF"/>
                <w:sz w:val="48"/>
              </w:rPr>
            </w:pPr>
            <w:r>
              <w:rPr>
                <w:rFonts w:ascii="times new roman" w:hAnsi="times new roman"/>
                <w:b/>
                <w:color w:val="0000FF"/>
                <w:sz w:val="48"/>
              </w:rPr>
              <w:t>News Release</w:t>
            </w:r>
          </w:p>
        </w:tc>
      </w:tr>
      <w:tr>
        <w:trPr/>
        <w:tc>
          <w:tcPr>
            <w:tcW w:w="1892" w:type="dxa"/>
            <w:vMerge w:val="continue"/>
            <w:tcBorders/>
            <w:shd w:fill="auto" w:val="clear"/>
          </w:tcPr>
          <w:p>
            <w:pPr>
              <w:pStyle w:val="Normal"/>
              <w:rPr/>
            </w:pPr>
            <w:r>
              <w:rPr/>
            </w:r>
          </w:p>
        </w:tc>
        <w:tc>
          <w:tcPr>
            <w:tcW w:w="51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Release:</w:t>
            </w:r>
            <w:r>
              <w:rPr>
                <w:rFonts w:ascii="times new roman" w:hAnsi="times new roman"/>
                <w:sz w:val="20"/>
              </w:rPr>
              <w:t>  Immediate</w:t>
            </w:r>
          </w:p>
        </w:tc>
        <w:tc>
          <w:tcPr>
            <w:tcW w:w="126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w:t>
            </w:r>
          </w:p>
        </w:tc>
        <w:tc>
          <w:tcPr>
            <w:tcW w:w="16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r>
        <w:trPr/>
        <w:tc>
          <w:tcPr>
            <w:tcW w:w="1892" w:type="dxa"/>
            <w:vMerge w:val="continue"/>
            <w:tcBorders/>
            <w:shd w:fill="auto" w:val="clear"/>
          </w:tcPr>
          <w:p>
            <w:pPr>
              <w:pStyle w:val="Normal"/>
              <w:rPr/>
            </w:pPr>
            <w:r>
              <w:rPr/>
            </w:r>
          </w:p>
        </w:tc>
        <w:tc>
          <w:tcPr>
            <w:tcW w:w="8108" w:type="dxa"/>
            <w:gridSpan w:val="3"/>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Oil-Dri Board of Directors Declares Increased Dividends</w:t>
            </w:r>
          </w:p>
          <w:p>
            <w:pPr>
              <w:pStyle w:val="TableContents"/>
              <w:spacing w:before="0" w:after="0"/>
              <w:ind w:left="0" w:right="0" w:hanging="0"/>
              <w:jc w:val="center"/>
              <w:rPr/>
            </w:pPr>
            <w:r>
              <w:rPr/>
            </w:r>
          </w:p>
          <w:p>
            <w:pPr>
              <w:pStyle w:val="TableContents"/>
              <w:spacing w:before="0" w:after="0"/>
              <w:ind w:left="0" w:right="0" w:hanging="0"/>
              <w:jc w:val="left"/>
              <w:rPr>
                <w:rFonts w:ascii="times new roman" w:hAnsi="times new roman"/>
                <w:sz w:val="20"/>
              </w:rPr>
            </w:pPr>
            <w:r>
              <w:rPr>
                <w:rFonts w:ascii="times new roman" w:hAnsi="times new roman"/>
                <w:sz w:val="20"/>
              </w:rPr>
              <w:t>CHICAGO – June 15, 2010 – The Board of Directors of Oil-Dri Corporation of America (NYSE: ODC) today declared quarterly cash dividends of $0.16 per share of the Company’s Common Stock and $0.12 per share of the Company’s Class B Stock, a 7% increase for both classes of stock.</w:t>
            </w:r>
          </w:p>
          <w:p>
            <w:pPr>
              <w:pStyle w:val="TableContents"/>
              <w:spacing w:before="0" w:after="0"/>
              <w:ind w:left="0" w:right="0" w:hanging="0"/>
              <w:jc w:val="center"/>
              <w:rPr/>
            </w:pPr>
            <w:r>
              <w:rPr/>
            </w:r>
          </w:p>
          <w:p>
            <w:pPr>
              <w:pStyle w:val="TableContents"/>
              <w:spacing w:before="0" w:after="0"/>
              <w:ind w:left="0" w:right="0" w:hanging="0"/>
              <w:jc w:val="left"/>
              <w:rPr>
                <w:rFonts w:ascii="times new roman" w:hAnsi="times new roman"/>
                <w:sz w:val="20"/>
              </w:rPr>
            </w:pPr>
            <w:r>
              <w:rPr>
                <w:rFonts w:ascii="times new roman" w:hAnsi="times new roman"/>
                <w:sz w:val="20"/>
              </w:rPr>
              <w:t>The dividends will be payable on September 3, 2010, to stockholders of record at the close of business on August 20, 2010.  The Company has paid cash dividends continuously since 1974.</w:t>
            </w:r>
          </w:p>
          <w:p>
            <w:pPr>
              <w:pStyle w:val="TableContents"/>
              <w:spacing w:before="0" w:after="0"/>
              <w:ind w:left="0" w:right="0" w:hanging="0"/>
              <w:jc w:val="center"/>
              <w:rPr/>
            </w:pPr>
            <w:r>
              <w:rPr/>
            </w:r>
          </w:p>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center"/>
              <w:rPr/>
            </w:pPr>
            <w:r>
              <w:rPr/>
              <w:t> </w:t>
            </w:r>
          </w:p>
          <w:p>
            <w:pPr>
              <w:pStyle w:val="HorizontalLine"/>
              <w:pBdr>
                <w:bottom w:val="single" w:sz="18" w:space="0" w:color="808080"/>
              </w:pBdr>
              <w:jc w:val="center"/>
              <w:rPr/>
            </w:pPr>
            <w:r>
              <w:rPr/>
            </w:r>
          </w:p>
          <w:p>
            <w:pPr>
              <w:pStyle w:val="TableContents"/>
              <w:spacing w:before="0" w:after="0"/>
              <w:ind w:left="0" w:right="0" w:hanging="0"/>
              <w:jc w:val="center"/>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industrial, automotive, agricultural, horticultural and specialty markets and the world’s largest manufacturer of cat litter.</w:t>
            </w:r>
          </w:p>
        </w:tc>
      </w:tr>
    </w:tbl>
    <w:p>
      <w:pPr>
        <w:pStyle w:val="TextBody"/>
        <w:spacing w:before="0" w:after="0"/>
        <w:ind w:left="0" w:right="18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180" w:hanging="0"/>
        <w:jc w:val="left"/>
        <w:rPr/>
      </w:pPr>
      <w:r>
        <w:rPr/>
      </w:r>
      <w:bookmarkStart w:id="41" w:name="PGBRK3"/>
      <w:bookmarkStart w:id="42" w:name="PGBRK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3" w:name="FTR3"/>
      <w:bookmarkStart w:id="44" w:name="FT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5" w:name="GLFTR3"/>
      <w:bookmarkStart w:id="46" w:name="GLFT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ind w:left="0" w:right="180" w:hanging="0"/>
        <w:jc w:val="center"/>
        <w:rPr/>
      </w:pPr>
      <w:r>
        <w:rPr/>
      </w:r>
      <w:bookmarkStart w:id="47" w:name="PN3"/>
      <w:bookmarkStart w:id="48" w:name="PN3"/>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 w:name="HDR3"/>
      <w:bookmarkStart w:id="50" w:name="HDR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 w:name="GLHDR3"/>
      <w:bookmarkStart w:id="52" w:name="GL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499</Words>
  <CharactersWithSpaces>3338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