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JAFFEE DANIEL S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OIL DRI CORPORATION OF AMERICA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3960" w:type="dxa"/>
            <w:vAlign w:val="bottom"/>
          </w:tcPr>
          <w:p>
            <w:pPr>
              <w:ind w:left="10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900" w:orient="portrait"/>
          <w:cols w:equalWidth="0" w:num="2">
            <w:col w:w="7980" w:space="77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900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3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16.06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1"/>
              </w:rPr>
              <w:t>130,882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1"/>
              </w:rPr>
              <w:t>130,582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37,500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10/12/2003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10/12/2011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15,625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15,625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09/23/2005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09/23/2013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09/18/2000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54,400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4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5,314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09/18/2000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80,711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80,711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278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29,717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29,717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29,717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-6145530</wp:posOffset>
            </wp:positionV>
            <wp:extent cx="33655" cy="61461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6146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0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right="20"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number of securities beneficially owned has been adjusted to reflect a stock dividend effective September 8, 2006 of 0.25 share for each share of the issuer's Common or Class B stock beneficially owned by the reporting person on August 4, 2006.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18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80"/>
      </w:cols>
      <w:pgMar w:left="280" w:top="163" w:right="6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2020-02-03T07:02:00Z</dcterms:created>
  <dcterms:modified xsi:type="dcterms:W3CDTF">2020-02-03T07:02:00Z</dcterms:modified>
</cp:coreProperties>
</file>