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November 22, 2005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740" w:type="dxa"/>
            <w:vAlign w:val="bottom"/>
            <w:gridSpan w:val="5"/>
          </w:tcPr>
          <w:p>
            <w:pPr>
              <w:jc w:val="center"/>
              <w:ind w:right="363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59"/>
        </w:trPr>
        <w:tc>
          <w:tcPr>
            <w:tcW w:w="3060" w:type="dxa"/>
            <w:vAlign w:val="bottom"/>
          </w:tcPr>
          <w:p>
            <w:pPr>
              <w:jc w:val="center"/>
              <w:ind w:left="532"/>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gridSpan w:val="3"/>
          </w:tcPr>
          <w:p>
            <w:pPr>
              <w:jc w:val="center"/>
              <w:ind w:left="1232"/>
              <w:spacing w:after="0"/>
              <w:rPr>
                <w:sz w:val="20"/>
                <w:szCs w:val="20"/>
                <w:color w:val="auto"/>
              </w:rPr>
            </w:pPr>
            <w:r>
              <w:rPr>
                <w:rFonts w:ascii="Arial" w:cs="Arial" w:eastAsia="Arial" w:hAnsi="Arial"/>
                <w:sz w:val="18"/>
                <w:szCs w:val="18"/>
                <w:b w:val="1"/>
                <w:bCs w:val="1"/>
                <w:color w:val="auto"/>
                <w:w w:val="89"/>
              </w:rPr>
              <w:t>0-8675</w:t>
            </w:r>
          </w:p>
        </w:tc>
        <w:tc>
          <w:tcPr>
            <w:tcW w:w="4360" w:type="dxa"/>
            <w:vAlign w:val="bottom"/>
            <w:gridSpan w:val="3"/>
          </w:tcPr>
          <w:p>
            <w:pPr>
              <w:jc w:val="center"/>
              <w:ind w:left="59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30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09"/>
        </w:trPr>
        <w:tc>
          <w:tcPr>
            <w:tcW w:w="3060" w:type="dxa"/>
            <w:vAlign w:val="bottom"/>
          </w:tcPr>
          <w:p>
            <w:pPr>
              <w:jc w:val="center"/>
              <w:ind w:left="472"/>
              <w:spacing w:after="0"/>
              <w:rPr>
                <w:sz w:val="20"/>
                <w:szCs w:val="20"/>
                <w:color w:val="auto"/>
              </w:rPr>
            </w:pPr>
            <w:r>
              <w:rPr>
                <w:rFonts w:ascii="Arial" w:cs="Arial" w:eastAsia="Arial" w:hAnsi="Arial"/>
                <w:sz w:val="18"/>
                <w:szCs w:val="18"/>
                <w:i w:val="1"/>
                <w:iCs w:val="1"/>
                <w:color w:val="auto"/>
                <w:w w:val="88"/>
              </w:rPr>
              <w:t>(State or other</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jc w:val="center"/>
              <w:ind w:left="332"/>
              <w:spacing w:after="0"/>
              <w:rPr>
                <w:sz w:val="20"/>
                <w:szCs w:val="20"/>
                <w:color w:val="auto"/>
              </w:rPr>
            </w:pPr>
            <w:r>
              <w:rPr>
                <w:rFonts w:ascii="Arial" w:cs="Arial" w:eastAsia="Arial" w:hAnsi="Arial"/>
                <w:sz w:val="18"/>
                <w:szCs w:val="18"/>
                <w:i w:val="1"/>
                <w:iCs w:val="1"/>
                <w:color w:val="auto"/>
                <w:w w:val="87"/>
              </w:rPr>
              <w:t>(Commission</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060" w:type="dxa"/>
            <w:vAlign w:val="bottom"/>
          </w:tcPr>
          <w:p>
            <w:pPr>
              <w:ind w:left="920"/>
              <w:spacing w:after="0"/>
              <w:rPr>
                <w:sz w:val="20"/>
                <w:szCs w:val="20"/>
                <w:color w:val="auto"/>
              </w:rPr>
            </w:pPr>
            <w:r>
              <w:rPr>
                <w:rFonts w:ascii="Arial" w:cs="Arial" w:eastAsia="Arial" w:hAnsi="Arial"/>
                <w:sz w:val="18"/>
                <w:szCs w:val="18"/>
                <w:i w:val="1"/>
                <w:iCs w:val="1"/>
                <w:color w:val="auto"/>
                <w:w w:val="96"/>
              </w:rPr>
              <w:t>jurisdiction of incorporation)</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tcPr>
          <w:p>
            <w:pPr>
              <w:jc w:val="center"/>
              <w:ind w:left="392"/>
              <w:spacing w:after="0"/>
              <w:rPr>
                <w:sz w:val="20"/>
                <w:szCs w:val="20"/>
                <w:color w:val="auto"/>
              </w:rPr>
            </w:pPr>
            <w:r>
              <w:rPr>
                <w:rFonts w:ascii="Arial" w:cs="Arial" w:eastAsia="Arial" w:hAnsi="Arial"/>
                <w:sz w:val="18"/>
                <w:szCs w:val="18"/>
                <w:i w:val="1"/>
                <w:iCs w:val="1"/>
                <w:color w:val="auto"/>
                <w:w w:val="90"/>
              </w:rPr>
              <w:t>File Number)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447"/>
        </w:trPr>
        <w:tc>
          <w:tcPr>
            <w:tcW w:w="7080" w:type="dxa"/>
            <w:vAlign w:val="bottom"/>
            <w:gridSpan w:val="4"/>
          </w:tcPr>
          <w:p>
            <w:pPr>
              <w:jc w:val="center"/>
              <w:ind w:left="392"/>
              <w:spacing w:after="0"/>
              <w:rPr>
                <w:sz w:val="20"/>
                <w:szCs w:val="20"/>
                <w:color w:val="auto"/>
              </w:rPr>
            </w:pPr>
            <w:r>
              <w:rPr>
                <w:rFonts w:ascii="Arial" w:cs="Arial" w:eastAsia="Arial" w:hAnsi="Arial"/>
                <w:sz w:val="18"/>
                <w:szCs w:val="18"/>
                <w:b w:val="1"/>
                <w:bCs w:val="1"/>
                <w:color w:val="auto"/>
                <w:w w:val="89"/>
              </w:rPr>
              <w:t>410 North Michigan Avenue</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020" w:type="dxa"/>
            <w:vAlign w:val="bottom"/>
            <w:gridSpan w:val="3"/>
          </w:tcPr>
          <w:p>
            <w:pPr>
              <w:jc w:val="center"/>
              <w:ind w:right="2492"/>
              <w:spacing w:after="0"/>
              <w:rPr>
                <w:sz w:val="20"/>
                <w:szCs w:val="20"/>
                <w:color w:val="auto"/>
              </w:rPr>
            </w:pPr>
            <w:r>
              <w:rPr>
                <w:rFonts w:ascii="Arial" w:cs="Arial" w:eastAsia="Arial" w:hAnsi="Arial"/>
                <w:sz w:val="18"/>
                <w:szCs w:val="18"/>
                <w:b w:val="1"/>
                <w:bCs w:val="1"/>
                <w:color w:val="auto"/>
                <w:w w:val="85"/>
              </w:rPr>
              <w:t>Suite 400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8"/>
        </w:trPr>
        <w:tc>
          <w:tcPr>
            <w:tcW w:w="3060" w:type="dxa"/>
            <w:vAlign w:val="bottom"/>
          </w:tcPr>
          <w:p>
            <w:pPr>
              <w:spacing w:after="0"/>
              <w:rPr>
                <w:sz w:val="19"/>
                <w:szCs w:val="19"/>
                <w:color w:val="auto"/>
              </w:rPr>
            </w:pPr>
          </w:p>
        </w:tc>
        <w:tc>
          <w:tcPr>
            <w:tcW w:w="4020" w:type="dxa"/>
            <w:vAlign w:val="bottom"/>
            <w:gridSpan w:val="3"/>
          </w:tcPr>
          <w:p>
            <w:pPr>
              <w:jc w:val="center"/>
              <w:ind w:right="2512"/>
              <w:spacing w:after="0"/>
              <w:rPr>
                <w:sz w:val="20"/>
                <w:szCs w:val="20"/>
                <w:color w:val="auto"/>
              </w:rPr>
            </w:pPr>
            <w:r>
              <w:rPr>
                <w:rFonts w:ascii="Arial" w:cs="Arial" w:eastAsia="Arial" w:hAnsi="Arial"/>
                <w:sz w:val="18"/>
                <w:szCs w:val="18"/>
                <w:b w:val="1"/>
                <w:bCs w:val="1"/>
                <w:color w:val="auto"/>
                <w:w w:val="88"/>
              </w:rPr>
              <w:t>Chicago, Illinois</w:t>
            </w:r>
          </w:p>
        </w:tc>
        <w:tc>
          <w:tcPr>
            <w:tcW w:w="4360" w:type="dxa"/>
            <w:vAlign w:val="bottom"/>
            <w:gridSpan w:val="3"/>
          </w:tcPr>
          <w:p>
            <w:pPr>
              <w:jc w:val="center"/>
              <w:ind w:left="59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080" w:type="dxa"/>
            <w:vAlign w:val="bottom"/>
            <w:tcBorders>
              <w:bottom w:val="single" w:sz="8" w:color="auto"/>
            </w:tcBorders>
            <w:gridSpan w:val="4"/>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16"/>
        </w:trPr>
        <w:tc>
          <w:tcPr>
            <w:tcW w:w="7080" w:type="dxa"/>
            <w:vAlign w:val="bottom"/>
            <w:gridSpan w:val="4"/>
          </w:tcPr>
          <w:p>
            <w:pPr>
              <w:jc w:val="center"/>
              <w:ind w:left="37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306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b w:val="1"/>
                <w:bCs w:val="1"/>
                <w:color w:val="auto"/>
                <w:w w:val="87"/>
              </w:rPr>
              <w:t>Registrant’s telephone number, including area code</w:t>
            </w:r>
          </w:p>
        </w:tc>
        <w:tc>
          <w:tcPr>
            <w:tcW w:w="4360" w:type="dxa"/>
            <w:vAlign w:val="bottom"/>
            <w:gridSpan w:val="3"/>
          </w:tcPr>
          <w:p>
            <w:pPr>
              <w:jc w:val="right"/>
              <w:ind w:right="3072"/>
              <w:spacing w:after="0"/>
              <w:rPr>
                <w:sz w:val="20"/>
                <w:szCs w:val="20"/>
                <w:color w:val="auto"/>
              </w:rPr>
            </w:pPr>
            <w:r>
              <w:rPr>
                <w:rFonts w:ascii="Arial" w:cs="Arial" w:eastAsia="Arial" w:hAnsi="Arial"/>
                <w:sz w:val="18"/>
                <w:szCs w:val="18"/>
                <w:b w:val="1"/>
                <w:bCs w:val="1"/>
                <w:color w:val="auto"/>
                <w:w w:val="95"/>
              </w:rPr>
              <w:t>(312) 321-1515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22, 2005, Oil-Dri Corporation of America (the “Registrant”) issued a press release announcing its results of operations for the first quarter of its fiscal year 2006.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 incorporated by reference into any filing under the Securities Act of 1933, except as shall be expressly set forth by specific reference in such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9720" w:type="dxa"/>
            <w:vAlign w:val="bottom"/>
          </w:tcPr>
          <w:p>
            <w:pPr>
              <w:spacing w:after="0"/>
              <w:rPr>
                <w:sz w:val="14"/>
                <w:szCs w:val="1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720" w:type="dxa"/>
            <w:vAlign w:val="bottom"/>
          </w:tcPr>
          <w:p>
            <w:pPr>
              <w:ind w:left="418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Press Release of the Registrant dated November 22, 2005.</w:t>
            </w:r>
          </w:p>
        </w:tc>
      </w:tr>
      <w:tr>
        <w:trPr>
          <w:trHeight w:val="353"/>
        </w:trPr>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Vice President and General Counsel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Exhibit Index</w:t>
            </w:r>
          </w:p>
        </w:tc>
      </w:tr>
      <w:tr>
        <w:trPr>
          <w:trHeight w:val="52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20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260" w:type="dxa"/>
            <w:vAlign w:val="bottom"/>
            <w:gridSpan w:val="4"/>
          </w:tcPr>
          <w:p>
            <w:pPr>
              <w:ind w:left="540"/>
              <w:spacing w:after="0"/>
              <w:rPr>
                <w:sz w:val="20"/>
                <w:szCs w:val="20"/>
                <w:color w:val="auto"/>
              </w:rPr>
            </w:pPr>
            <w:r>
              <w:rPr>
                <w:rFonts w:ascii="Arial" w:cs="Arial" w:eastAsia="Arial" w:hAnsi="Arial"/>
                <w:sz w:val="18"/>
                <w:szCs w:val="18"/>
                <w:color w:val="auto"/>
              </w:rPr>
              <w:t>Press Release of the Registrant dated November 22, 2005.</w:t>
            </w:r>
          </w:p>
        </w:tc>
      </w:tr>
      <w:tr>
        <w:trPr>
          <w:trHeight w:val="353"/>
        </w:trPr>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6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152400</wp:posOffset>
            </wp:positionV>
            <wp:extent cx="1646555"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Reports Record First Quarter Sales and Reduced Income Resulting From Soaring Energy Costs</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CHICAGO, Nov. 22 /PRNewswire-FirstCall/ -- Oil-Dri Corporation of America (NYSE: ODC) today announced record first quarter sales of $47,789,000 for the three month period ended October 31, 2005. Sales were 8% greater than sales of $44,121,000 in the first quarter one year ago. Net income for the quarter was $1,028,000 or $0.18 per diluted share, compared to $1,280,000 or $0.22 per diluted share in the same quarter one year ago.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Review</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President and Chief Executive Officer, Daniel S. Jaffee commented, “This was a good quarter for the company. While earnings were behind last year, positive results were achieved in one of the most difficult operating periods we have ever experienced. Energy costs had already begun to increase earlier in the year and skyrocketed after hurricanes Katrina and Rita. These tragic events had a dramatic effect on our cost structure during this three-month period.</w:t>
      </w:r>
    </w:p>
    <w:p>
      <w:pPr>
        <w:spacing w:after="0" w:line="16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cost of energy used to manufacture our products was up almost 100% over the previous year’s first quarter. The company absorbed widespread cost increases for transportation, packaging and other manufacturing inputs. In spite of these challenges, we enjoyed record first quarter sales.</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recorded non-recurring income of $0.05 per diluted share in the first quarter from the sale of water rights owned in northern Nevada. These non-strategic assets were sold to an unaffiliated party in August 2005.</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this quarter we reorganized our business units to better reflect how we manage our business and the customers who buy our products. Going forward, we will report on two operating segments, Retail and Wholesale and Business- to-Business. This change increases our focus on the diverse markets we sell into and serve. The new operating groups are comprised of the product lines shown below:</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80" w:right="200"/>
        <w:spacing w:after="0" w:line="256" w:lineRule="auto"/>
        <w:rPr>
          <w:sz w:val="20"/>
          <w:szCs w:val="20"/>
          <w:color w:val="auto"/>
        </w:rPr>
      </w:pPr>
      <w:r>
        <w:rPr>
          <w:rFonts w:ascii="Arial" w:cs="Arial" w:eastAsia="Arial" w:hAnsi="Arial"/>
          <w:sz w:val="18"/>
          <w:szCs w:val="18"/>
          <w:color w:val="auto"/>
        </w:rPr>
        <w:t>Retail &amp; Wholesale Group Cat litter and related products Floor absorbents and lite synthetics Canada and UK operations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Business-to-Business Group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 purification adsorbents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Agricultural clay carriers</w:t>
      </w:r>
    </w:p>
    <w:p>
      <w:pPr>
        <w:spacing w:after="0" w:line="9" w:lineRule="exact"/>
        <w:rPr>
          <w:sz w:val="20"/>
          <w:szCs w:val="20"/>
          <w:color w:val="auto"/>
        </w:rPr>
      </w:pPr>
    </w:p>
    <w:p>
      <w:pPr>
        <w:ind w:right="2480"/>
        <w:spacing w:after="0" w:line="261" w:lineRule="auto"/>
        <w:rPr>
          <w:sz w:val="20"/>
          <w:szCs w:val="20"/>
          <w:color w:val="auto"/>
        </w:rPr>
      </w:pPr>
      <w:r>
        <w:rPr>
          <w:rFonts w:ascii="Arial" w:cs="Arial" w:eastAsia="Arial" w:hAnsi="Arial"/>
          <w:sz w:val="18"/>
          <w:szCs w:val="18"/>
          <w:color w:val="auto"/>
        </w:rPr>
        <w:t>Sports turf granules Animal health &amp; nutrition binders &amp; amendments Co-packaged cat litter</w:t>
      </w:r>
    </w:p>
    <w:p>
      <w:pPr>
        <w:spacing w:after="0" w:line="192" w:lineRule="exact"/>
        <w:rPr>
          <w:sz w:val="20"/>
          <w:szCs w:val="20"/>
          <w:color w:val="auto"/>
        </w:rPr>
      </w:pPr>
    </w:p>
    <w:p>
      <w:pPr>
        <w:sectPr>
          <w:pgSz w:w="11900" w:h="16838" w:orient="portrait"/>
          <w:cols w:equalWidth="0" w:num="2">
            <w:col w:w="3280" w:space="720"/>
            <w:col w:w="7420"/>
          </w:cols>
          <w:pgMar w:left="240" w:top="125" w:right="239" w:bottom="1440" w:gutter="0" w:footer="0" w:header="0"/>
          <w:type w:val="continuous"/>
        </w:sectPr>
      </w:pPr>
    </w:p>
    <w:p>
      <w:pPr>
        <w:ind w:right="160"/>
        <w:spacing w:after="0" w:line="268" w:lineRule="auto"/>
        <w:rPr>
          <w:sz w:val="20"/>
          <w:szCs w:val="20"/>
          <w:color w:val="auto"/>
        </w:rPr>
      </w:pPr>
      <w:r>
        <w:rPr>
          <w:rFonts w:ascii="Arial" w:cs="Arial" w:eastAsia="Arial" w:hAnsi="Arial"/>
          <w:sz w:val="18"/>
          <w:szCs w:val="18"/>
          <w:color w:val="auto"/>
        </w:rPr>
        <w:t>“Wade Bradley, formerly head of our Consumer Products Group, has been promoted to President of the Retail and Wholesale Group. The Business-to- Business Group will continue to report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ind w:right="340"/>
        <w:spacing w:after="0" w:line="332" w:lineRule="auto"/>
        <w:rPr>
          <w:sz w:val="20"/>
          <w:szCs w:val="20"/>
          <w:color w:val="auto"/>
        </w:rPr>
      </w:pPr>
      <w:r>
        <w:rPr>
          <w:rFonts w:ascii="Arial" w:cs="Arial" w:eastAsia="Arial" w:hAnsi="Arial"/>
          <w:sz w:val="16"/>
          <w:szCs w:val="16"/>
          <w:color w:val="auto"/>
        </w:rPr>
        <w:t>“For the third consecutive year the Board of Directors has increased the dividend. The new quarterly rate is $0.12 per common share. We are pleased with the board’s decision as it indicates their belief in the company’s growth and sustainability through these challenging times.”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Business Review</w:t>
      </w:r>
    </w:p>
    <w:p>
      <w:pPr>
        <w:spacing w:after="0" w:line="158" w:lineRule="exact"/>
        <w:rPr>
          <w:sz w:val="20"/>
          <w:szCs w:val="20"/>
          <w:color w:val="auto"/>
        </w:rPr>
      </w:pPr>
    </w:p>
    <w:p>
      <w:pPr>
        <w:ind w:left="1160" w:right="280" w:hanging="571"/>
        <w:spacing w:after="0" w:line="256"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for the company’s Retail and Wholesale Group were $30,978,000 up 3% for the quarter. Group income was $1,653,000 down 34%. Scoopable litters and private label litters showed sales increases while coarse litters experienced slower sales growth. Oil-Dri UK and Oil-Dri Canada also positively contributed to the group’s sales growth in the quarter. Group income was negatively impacted by increases in energy, transportation and packaging costs.</w:t>
      </w:r>
    </w:p>
    <w:p>
      <w:pPr>
        <w:spacing w:after="0" w:line="129" w:lineRule="exact"/>
        <w:rPr>
          <w:rFonts w:ascii="Arial" w:cs="Arial" w:eastAsia="Arial" w:hAnsi="Arial"/>
          <w:sz w:val="18"/>
          <w:szCs w:val="18"/>
          <w:color w:val="auto"/>
        </w:rPr>
      </w:pPr>
    </w:p>
    <w:p>
      <w:pPr>
        <w:ind w:left="1160" w:hanging="571"/>
        <w:spacing w:after="0" w:line="256"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for the company’s Business-to-Business Group were $16,811,000 up 21% for the first quarter. Group income was $3,031,000 up 2%. Sales were driven by co-packaged products and Agsorb clay carriers, which enjoyed the greatest sales growth. Pro’s Choice sports field products, ConditionAde binders and Pure-Flo bleaching clays also showed increased sales growth in the quarter. Group income was negatively impacted by increases in energy, transportation and packaging costs.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Review</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October 10, 2005, Oil-Dri’s Board of Directors voted to increase the quarterly cash dividend to $0.12 per share for the Common Stock, an increase of 9%. The dividend will be payable on December 9, 2005, to stockholders of record at the close of business on November 11, 2005. At the October 31, 2005 closing price of $17.74 per share and assuming cash dividends continue at the same rate, the annual yield on Common Stock is 2.7%. This is the third year in a row the dividend has been increased. The company has paid a dividend consistently for 30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the company repurchased 34,100 shares of Common Stock, at an average price of $17.92 per share.</w:t>
      </w:r>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Cash, cash equivalents and short-term investments at October 31, 2005, totaled $18,366,000. Operating cash flow for the quarter was $1,821,000. Capital expenditures for the quarter totaled $3,035,000, which is $1,238,000 more than the depreciation and amortization of $1,797,000.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Forward Outlook</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Jaffee stated, “While energy costs negatively impacted our margins this quarter, I am confident that the company’s initiatives and its long-term strategy will address these challenges going forward. Energy surcharges have been implemented where appropriate, and price increases are scheduled in the coming quarter on several product lines.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also made organizational changes, including the reorganization of our business units and the promotion of Robert Goss to Vice President, Research and Product Development, to better position us to address the challenges that lie ahead. We are further encouraged by strategic procurement activities underway and are hopeful current initiatives will positively contribute to the bottom line in the near future.”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will offer a live web cast of the first quarter earnings teleconference on Wednesday, November 23, 2005, at 10 a.m. CT. To listen to the call via the web, please visit http://www.streetevents.com or http://www.oildri.com . An archived recording of the call and written transcripts of all teleconferences are posted on the Oil-Dri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Pro’s Choice, Agsorb, ConditionAde, and Pure-Flo are all registered trademarks of Oil-Dri Corporation of America.</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Oil-Dri Corporation of America is the world’s largest manufacturer of cat litter and a leading supplier of specialty sorbent products for industrial, automotive, agricultural, horticultural and specialty markets.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spacing w:after="0" w:line="174"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8"/>
          <w:szCs w:val="18"/>
          <w:color w:val="auto"/>
        </w:rPr>
        <w:t>O I L - D R I  C O R P O R A T I O N</w:t>
        <w:tab/>
        <w:t>O F</w:t>
      </w:r>
      <w:r>
        <w:rPr>
          <w:sz w:val="20"/>
          <w:szCs w:val="20"/>
          <w:color w:val="auto"/>
        </w:rPr>
        <w:tab/>
      </w:r>
      <w:r>
        <w:rPr>
          <w:rFonts w:ascii="Arial" w:cs="Arial" w:eastAsia="Arial" w:hAnsi="Arial"/>
          <w:sz w:val="16"/>
          <w:szCs w:val="16"/>
          <w:color w:val="auto"/>
        </w:rPr>
        <w:t>A M E R I C 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200"/>
              <w:spacing w:after="0"/>
              <w:rPr>
                <w:sz w:val="20"/>
                <w:szCs w:val="20"/>
                <w:color w:val="auto"/>
              </w:rPr>
            </w:pPr>
            <w:r>
              <w:rPr>
                <w:rFonts w:ascii="Arial" w:cs="Arial" w:eastAsia="Arial" w:hAnsi="Arial"/>
                <w:sz w:val="14"/>
                <w:szCs w:val="14"/>
                <w:b w:val="1"/>
                <w:bCs w:val="1"/>
                <w:color w:val="auto"/>
              </w:rPr>
              <w:t>First Quarter Ended October 31,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 of Sales</w:t>
            </w:r>
          </w:p>
        </w:tc>
        <w:tc>
          <w:tcPr>
            <w:tcW w:w="220" w:type="dxa"/>
            <w:vAlign w:val="bottom"/>
          </w:tcPr>
          <w:p>
            <w:pPr>
              <w:spacing w:after="0"/>
              <w:rPr>
                <w:sz w:val="22"/>
                <w:szCs w:val="22"/>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 Sales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47,789</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44,121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39,362</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82.4%</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34,453</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8,427</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Gain on Sale of Long-Lived Assets</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415</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(7,259)</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(7,643)</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1,583</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2,025</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(442)</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Net Income Per Share:</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Common</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Basic Class B Common</w:t>
            </w: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0.15</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Average Shares Outstanding:</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Common</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4,053</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Basic Class B Common</w:t>
            </w:r>
          </w:p>
        </w:tc>
        <w:tc>
          <w:tcPr>
            <w:tcW w:w="6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1,458</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5,949</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90" w:right="219" w:bottom="1440" w:gutter="0" w:footer="0" w:header="0"/>
        </w:sectPr>
      </w:pPr>
    </w:p>
    <w:bookmarkStart w:id="7" w:name="page8"/>
    <w:bookmarkEnd w:id="7"/>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O I L - D R I  C O R P O R A T I O N</w:t>
        <w:tab/>
        <w:t>O F</w:t>
      </w:r>
      <w:r>
        <w:rPr>
          <w:sz w:val="20"/>
          <w:szCs w:val="20"/>
          <w:color w:val="auto"/>
        </w:rPr>
        <w:tab/>
      </w:r>
      <w:r>
        <w:rPr>
          <w:rFonts w:ascii="Arial" w:cs="Arial" w:eastAsia="Arial" w:hAnsi="Arial"/>
          <w:sz w:val="16"/>
          <w:szCs w:val="16"/>
          <w:color w:val="auto"/>
        </w:rPr>
        <w:t>A M E R I C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As of October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w w:val="92"/>
              </w:rPr>
              <w:t>Cash, Cash Equivalents and Investments</w:t>
            </w:r>
          </w:p>
        </w:tc>
        <w:tc>
          <w:tcPr>
            <w:tcW w:w="56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18,366</w:t>
            </w:r>
          </w:p>
        </w:tc>
        <w:tc>
          <w:tcPr>
            <w:tcW w:w="2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14,227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65,322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64,486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48,702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12,564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6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126,588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Maturities of Notes Payable</w:t>
            </w:r>
          </w:p>
        </w:tc>
        <w:tc>
          <w:tcPr>
            <w:tcW w:w="56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6,476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Payable</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14,594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Long-Term Liabilities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Payable</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7,530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Long-Term Liabilities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27,690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74,140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56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126,588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Book Value Per Share Outstanding</w:t>
            </w:r>
          </w:p>
        </w:tc>
        <w:tc>
          <w:tcPr>
            <w:tcW w:w="56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2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Additions to and Acquisitions of Property, Plant and Equipment First Quarter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80" w:type="dxa"/>
            <w:vAlign w:val="bottom"/>
            <w:gridSpan w:val="2"/>
          </w:tcPr>
          <w:p>
            <w:pPr>
              <w:spacing w:after="0"/>
              <w:rPr>
                <w:sz w:val="20"/>
                <w:szCs w:val="20"/>
                <w:color w:val="auto"/>
              </w:rPr>
            </w:pPr>
            <w:r>
              <w:rPr>
                <w:rFonts w:ascii="Arial" w:cs="Arial" w:eastAsia="Arial" w:hAnsi="Arial"/>
                <w:sz w:val="14"/>
                <w:szCs w:val="14"/>
                <w:color w:val="auto"/>
              </w:rPr>
              <w:t>Depreciation and Amortization Charges First Quarter</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1,797</w:t>
            </w:r>
          </w:p>
        </w:tc>
        <w:tc>
          <w:tcPr>
            <w:tcW w:w="20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O I L - D R I  C O R P O R A T I O N  O F  A M E R I C A</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60" w:type="dxa"/>
            <w:vAlign w:val="bottom"/>
          </w:tcPr>
          <w:p>
            <w:pPr>
              <w:jc w:val="center"/>
              <w:ind w:left="12"/>
              <w:spacing w:after="0"/>
              <w:rPr>
                <w:sz w:val="20"/>
                <w:szCs w:val="20"/>
                <w:color w:val="auto"/>
              </w:rPr>
            </w:pPr>
            <w:r>
              <w:rPr>
                <w:rFonts w:ascii="Arial" w:cs="Arial" w:eastAsia="Arial" w:hAnsi="Arial"/>
                <w:sz w:val="18"/>
                <w:szCs w:val="18"/>
                <w:color w:val="auto"/>
                <w:w w:val="87"/>
              </w:rPr>
              <w:t>Consolidated Statements of Cash Flows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60" w:type="dxa"/>
            <w:vAlign w:val="bottom"/>
          </w:tcPr>
          <w:p>
            <w:pPr>
              <w:jc w:val="center"/>
              <w:ind w:left="12"/>
              <w:spacing w:after="0"/>
              <w:rPr>
                <w:sz w:val="20"/>
                <w:szCs w:val="20"/>
                <w:color w:val="auto"/>
              </w:rPr>
            </w:pPr>
            <w:r>
              <w:rPr>
                <w:rFonts w:ascii="Arial" w:cs="Arial" w:eastAsia="Arial" w:hAnsi="Arial"/>
                <w:sz w:val="18"/>
                <w:szCs w:val="18"/>
                <w:color w:val="auto"/>
                <w:w w:val="87"/>
              </w:rPr>
              <w:t>(in thousands)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7"/>
              </w:rPr>
              <w:t>October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CASH FLOWS FROM OPERATING ACTIVITIES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6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c>
          <w:tcPr>
            <w:tcW w:w="2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1,797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6"/>
              </w:rPr>
              <w:t>(Increase) Decrease in Accounts Receivable</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(Increase) in Inventories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(1,542)</w:t>
            </w: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Increase (Decrease) in Accounts Payable</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w w:val="90"/>
              </w:rPr>
              <w:t>Increase (Decrease) in Accrued Expenses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(1,157)</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860"/>
              <w:spacing w:after="0" w:line="149" w:lineRule="exact"/>
              <w:rPr>
                <w:sz w:val="20"/>
                <w:szCs w:val="20"/>
                <w:color w:val="auto"/>
              </w:rPr>
            </w:pPr>
            <w:r>
              <w:rPr>
                <w:rFonts w:ascii="Arial" w:cs="Arial" w:eastAsia="Arial" w:hAnsi="Arial"/>
                <w:sz w:val="14"/>
                <w:szCs w:val="14"/>
                <w:color w:val="auto"/>
              </w:rPr>
              <w:t>Total Adjustments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Net Cash Provided by Operating Activities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w w:val="94"/>
              </w:rPr>
              <w:t>CASH FLOWS FROM INVESTING ACTIVITIES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Expenditures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(3,035)</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2,090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Investing Activities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(945)</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w w:val="93"/>
              </w:rPr>
              <w:t>CASH FLOWS FROM FINANCING ACTIVITIES</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Principal payments on Long-Term Debt</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Dividends Paid</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w:t>
            </w: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Treasury Stock</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(630)</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5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Financing Activities</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gridSpan w:val="2"/>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w:t>
            </w: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Cash and Cash Equivalents, Beginning of Year</w:t>
            </w:r>
          </w:p>
        </w:tc>
        <w:tc>
          <w:tcPr>
            <w:tcW w:w="5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Cash and Cash Equivalents, October 31</w:t>
            </w:r>
          </w:p>
        </w:tc>
        <w:tc>
          <w:tcPr>
            <w:tcW w:w="56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5,853</w:t>
            </w:r>
          </w:p>
        </w:tc>
        <w:tc>
          <w:tcPr>
            <w:tcW w:w="20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8500" w:type="dxa"/>
            <w:vAlign w:val="bottom"/>
            <w:gridSpan w:val="3"/>
          </w:tcPr>
          <w:p>
            <w:pPr>
              <w:spacing w:after="0"/>
              <w:rPr>
                <w:sz w:val="20"/>
                <w:szCs w:val="20"/>
                <w:color w:val="auto"/>
              </w:rPr>
            </w:pPr>
            <w:r>
              <w:rPr>
                <w:rFonts w:ascii="Arial" w:cs="Arial" w:eastAsia="Arial" w:hAnsi="Arial"/>
                <w:sz w:val="18"/>
                <w:szCs w:val="18"/>
                <w:color w:val="auto"/>
              </w:rPr>
              <w:t>SOURCE Oil-Dri Corporation of America</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ind w:left="440"/>
              <w:spacing w:after="0"/>
              <w:rPr>
                <w:sz w:val="20"/>
                <w:szCs w:val="20"/>
                <w:color w:val="auto"/>
              </w:rPr>
            </w:pPr>
            <w:r>
              <w:rPr>
                <w:rFonts w:ascii="Arial" w:cs="Arial" w:eastAsia="Arial" w:hAnsi="Arial"/>
                <w:sz w:val="18"/>
                <w:szCs w:val="18"/>
                <w:color w:val="auto"/>
              </w:rPr>
              <w:t>-0-</w:t>
            </w:r>
          </w:p>
        </w:tc>
        <w:tc>
          <w:tcPr>
            <w:tcW w:w="5660" w:type="dxa"/>
            <w:vAlign w:val="bottom"/>
          </w:tcPr>
          <w:p>
            <w:pPr>
              <w:jc w:val="right"/>
              <w:ind w:right="4772"/>
              <w:spacing w:after="0"/>
              <w:rPr>
                <w:sz w:val="20"/>
                <w:szCs w:val="20"/>
                <w:color w:val="auto"/>
              </w:rPr>
            </w:pPr>
            <w:r>
              <w:rPr>
                <w:rFonts w:ascii="Arial" w:cs="Arial" w:eastAsia="Arial" w:hAnsi="Arial"/>
                <w:sz w:val="18"/>
                <w:szCs w:val="18"/>
                <w:color w:val="auto"/>
                <w:w w:val="86"/>
              </w:rPr>
              <w:t>11/22/2005</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Arial" w:cs="Arial" w:eastAsia="Arial" w:hAnsi="Arial"/>
          <w:sz w:val="18"/>
          <w:szCs w:val="18"/>
          <w:color w:val="auto"/>
        </w:rPr>
        <w:t>/CONTACT: Ronda J. Williams of Oil-Dri Corporation of America, +1-312-706-3232/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/Photo: http://www.newscom.com/cgi-bin/prnh/20020417/ODCLOGO</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AP Archive: http://photoarchive.ap.org</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PRN Photo Desk, photodesk@prnewswire.com/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/Web site: http://www.oildri.com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2020-02-11T19:39:16Z</dcterms:created>
  <dcterms:modified xsi:type="dcterms:W3CDTF">2020-02-11T19:39:16Z</dcterms:modified>
</cp:coreProperties>
</file>