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125"/>
        <w:spacing w:after="0"/>
        <w:rPr>
          <w:sz w:val="20"/>
          <w:szCs w:val="20"/>
          <w:color w:val="auto"/>
        </w:rPr>
      </w:pPr>
      <w:r>
        <w:rPr>
          <w:rFonts w:ascii="Arial" w:cs="Arial" w:eastAsia="Arial" w:hAnsi="Arial"/>
          <w:sz w:val="18"/>
          <w:szCs w:val="18"/>
          <w:color w:val="auto"/>
        </w:rPr>
        <w:t>SCHEDULE 14A</w:t>
      </w:r>
    </w:p>
    <w:p>
      <w:pPr>
        <w:spacing w:after="0" w:line="171" w:lineRule="exact"/>
        <w:rPr>
          <w:sz w:val="24"/>
          <w:szCs w:val="24"/>
          <w:color w:val="auto"/>
        </w:rPr>
      </w:pPr>
    </w:p>
    <w:p>
      <w:pPr>
        <w:jc w:val="center"/>
        <w:ind w:right="-1125"/>
        <w:spacing w:after="0"/>
        <w:rPr>
          <w:sz w:val="20"/>
          <w:szCs w:val="20"/>
          <w:color w:val="auto"/>
        </w:rPr>
      </w:pPr>
      <w:r>
        <w:rPr>
          <w:rFonts w:ascii="Arial" w:cs="Arial" w:eastAsia="Arial" w:hAnsi="Arial"/>
          <w:sz w:val="18"/>
          <w:szCs w:val="18"/>
          <w:color w:val="auto"/>
        </w:rPr>
        <w:t>(Rule 14a-101)</w:t>
      </w:r>
    </w:p>
    <w:p>
      <w:pPr>
        <w:spacing w:after="0" w:line="171" w:lineRule="exact"/>
        <w:rPr>
          <w:sz w:val="24"/>
          <w:szCs w:val="24"/>
          <w:color w:val="auto"/>
        </w:rPr>
      </w:pPr>
    </w:p>
    <w:p>
      <w:pPr>
        <w:jc w:val="center"/>
        <w:ind w:right="-1125"/>
        <w:spacing w:after="0"/>
        <w:rPr>
          <w:sz w:val="20"/>
          <w:szCs w:val="20"/>
          <w:color w:val="auto"/>
        </w:rPr>
      </w:pPr>
      <w:r>
        <w:rPr>
          <w:rFonts w:ascii="Arial" w:cs="Arial" w:eastAsia="Arial" w:hAnsi="Arial"/>
          <w:sz w:val="18"/>
          <w:szCs w:val="18"/>
          <w:color w:val="auto"/>
        </w:rPr>
        <w:t>INFORMATION REQUIRED IN PROXY STATEMENT</w:t>
      </w:r>
    </w:p>
    <w:p>
      <w:pPr>
        <w:spacing w:after="0" w:line="171" w:lineRule="exact"/>
        <w:rPr>
          <w:sz w:val="24"/>
          <w:szCs w:val="24"/>
          <w:color w:val="auto"/>
        </w:rPr>
      </w:pPr>
    </w:p>
    <w:p>
      <w:pPr>
        <w:jc w:val="center"/>
        <w:ind w:right="-1125"/>
        <w:spacing w:after="0"/>
        <w:rPr>
          <w:sz w:val="20"/>
          <w:szCs w:val="20"/>
          <w:color w:val="auto"/>
        </w:rPr>
      </w:pPr>
      <w:r>
        <w:rPr>
          <w:rFonts w:ascii="Arial" w:cs="Arial" w:eastAsia="Arial" w:hAnsi="Arial"/>
          <w:sz w:val="18"/>
          <w:szCs w:val="18"/>
          <w:color w:val="auto"/>
        </w:rPr>
        <w:t>SCHEDULE 14A INFORMATION</w:t>
      </w:r>
    </w:p>
    <w:p>
      <w:pPr>
        <w:spacing w:after="0" w:line="171" w:lineRule="exact"/>
        <w:rPr>
          <w:sz w:val="24"/>
          <w:szCs w:val="24"/>
          <w:color w:val="auto"/>
        </w:rPr>
      </w:pPr>
    </w:p>
    <w:p>
      <w:pPr>
        <w:jc w:val="center"/>
        <w:ind w:right="-1125"/>
        <w:spacing w:after="0"/>
        <w:rPr>
          <w:sz w:val="20"/>
          <w:szCs w:val="20"/>
          <w:color w:val="auto"/>
        </w:rPr>
      </w:pPr>
      <w:r>
        <w:rPr>
          <w:rFonts w:ascii="Arial" w:cs="Arial" w:eastAsia="Arial" w:hAnsi="Arial"/>
          <w:sz w:val="16"/>
          <w:szCs w:val="16"/>
          <w:color w:val="auto"/>
        </w:rPr>
        <w:t>Proxy Statement Pursuant to Section 14(a) of the Securities Exchange Act of 1934 (Amendment No. )</w:t>
      </w:r>
    </w:p>
    <w:p>
      <w:pPr>
        <w:spacing w:after="0" w:line="34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38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184"/>
          </w:cols>
          <w:pgMar w:left="275" w:top="888" w:right="1440" w:bottom="1440" w:gutter="0" w:footer="0" w:header="0"/>
        </w:sectPr>
      </w:pPr>
    </w:p>
    <w:p>
      <w:pPr>
        <w:spacing w:after="0" w:line="63" w:lineRule="exact"/>
        <w:rPr>
          <w:sz w:val="24"/>
          <w:szCs w:val="24"/>
          <w:color w:val="auto"/>
        </w:rPr>
      </w:pPr>
    </w:p>
    <w:p>
      <w:pPr>
        <w:ind w:left="5"/>
        <w:spacing w:after="0"/>
        <w:tabs>
          <w:tab w:leader="none" w:pos="1125"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211" w:lineRule="exact"/>
        <w:rPr>
          <w:sz w:val="24"/>
          <w:szCs w:val="24"/>
          <w:color w:val="auto"/>
        </w:rPr>
      </w:pPr>
    </w:p>
    <w:p>
      <w:pPr>
        <w:sectPr>
          <w:pgSz w:w="11900" w:h="16838" w:orient="portrait"/>
          <w:cols w:equalWidth="0" w:num="3">
            <w:col w:w="5005" w:space="720"/>
            <w:col w:w="100" w:space="340"/>
            <w:col w:w="4019"/>
          </w:cols>
          <w:pgMar w:left="275" w:top="888" w:right="1440" w:bottom="1440" w:gutter="0" w:footer="0" w:header="0"/>
          <w:type w:val="continuous"/>
        </w:sectPr>
      </w:pPr>
    </w:p>
    <w:p>
      <w:pPr>
        <w:spacing w:after="0" w:line="91" w:lineRule="exact"/>
        <w:rPr>
          <w:sz w:val="24"/>
          <w:szCs w:val="24"/>
          <w:color w:val="auto"/>
        </w:rPr>
      </w:pPr>
    </w:p>
    <w:p>
      <w:pPr>
        <w:ind w:left="1145" w:right="4659" w:hanging="1145"/>
        <w:spacing w:after="0" w:line="277" w:lineRule="auto"/>
        <w:tabs>
          <w:tab w:leader="none" w:pos="114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8" w:lineRule="exact"/>
        <w:rPr>
          <w:sz w:val="24"/>
          <w:szCs w:val="24"/>
          <w:color w:val="auto"/>
        </w:rPr>
      </w:pPr>
    </w:p>
    <w:p>
      <w:pPr>
        <w:ind w:left="1145" w:hanging="1145"/>
        <w:spacing w:after="0"/>
        <w:tabs>
          <w:tab w:leader="none" w:pos="114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79" w:lineRule="exact"/>
        <w:rPr>
          <w:sz w:val="24"/>
          <w:szCs w:val="24"/>
          <w:color w:val="auto"/>
        </w:rPr>
      </w:pPr>
    </w:p>
    <w:p>
      <w:pPr>
        <w:ind w:left="1145" w:hanging="1145"/>
        <w:spacing w:after="0"/>
        <w:tabs>
          <w:tab w:leader="none" w:pos="11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31750</wp:posOffset>
            </wp:positionV>
            <wp:extent cx="6654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70"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409575</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025"/>
        <w:spacing w:after="0"/>
        <w:rPr>
          <w:sz w:val="20"/>
          <w:szCs w:val="20"/>
          <w:color w:val="auto"/>
        </w:rPr>
      </w:pPr>
      <w:r>
        <w:rPr>
          <w:rFonts w:ascii="Arial" w:cs="Arial" w:eastAsia="Arial" w:hAnsi="Arial"/>
          <w:sz w:val="16"/>
          <w:szCs w:val="16"/>
          <w:color w:val="auto"/>
        </w:rPr>
        <w:t>(Name of Person(s) Filing Proxy Statement, if Other Than the Registrant)</w:t>
      </w:r>
    </w:p>
    <w:p>
      <w:pPr>
        <w:sectPr>
          <w:pgSz w:w="11900" w:h="16838" w:orient="portrait"/>
          <w:cols w:equalWidth="0" w:num="1">
            <w:col w:w="10184"/>
          </w:cols>
          <w:pgMar w:left="275" w:top="888" w:right="1440" w:bottom="1440" w:gutter="0" w:footer="0" w:header="0"/>
          <w:type w:val="continuous"/>
        </w:sectPr>
      </w:pPr>
    </w:p>
    <w:bookmarkStart w:id="1" w:name="page2"/>
    <w:bookmarkEnd w:id="1"/>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0"/>
          <w:szCs w:val="20"/>
          <w:color w:val="auto"/>
        </w:rPr>
      </w:pPr>
    </w:p>
    <w:p>
      <w:pPr>
        <w:ind w:left="345" w:hanging="345"/>
        <w:spacing w:after="0"/>
        <w:tabs>
          <w:tab w:leader="none" w:pos="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79" w:lineRule="exact"/>
        <w:rPr>
          <w:sz w:val="20"/>
          <w:szCs w:val="20"/>
          <w:color w:val="auto"/>
        </w:rPr>
      </w:pPr>
    </w:p>
    <w:p>
      <w:pPr>
        <w:ind w:left="345" w:hanging="345"/>
        <w:spacing w:after="0"/>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0"/>
          <w:szCs w:val="20"/>
          <w:color w:val="auto"/>
        </w:rPr>
      </w:pPr>
    </w:p>
    <w:p>
      <w:pPr>
        <w:ind w:left="805" w:hanging="341"/>
        <w:spacing w:after="0"/>
        <w:tabs>
          <w:tab w:leader="none" w:pos="8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0"/>
          <w:szCs w:val="20"/>
          <w:color w:val="auto"/>
        </w:rPr>
      </w:pPr>
    </w:p>
    <w:p>
      <w:pPr>
        <w:ind w:left="805"/>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w:t>
      </w:r>
    </w:p>
    <w:p>
      <w:pPr>
        <w:spacing w:after="0" w:line="46" w:lineRule="exact"/>
        <w:rPr>
          <w:sz w:val="20"/>
          <w:szCs w:val="20"/>
          <w:color w:val="auto"/>
        </w:rPr>
      </w:pPr>
    </w:p>
    <w:p>
      <w:pPr>
        <w:ind w:left="805" w:hanging="341"/>
        <w:spacing w:after="0"/>
        <w:tabs>
          <w:tab w:leader="none" w:pos="80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calculated and state how it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22860</wp:posOffset>
            </wp:positionV>
            <wp:extent cx="6715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2" w:lineRule="exact"/>
        <w:rPr>
          <w:sz w:val="20"/>
          <w:szCs w:val="20"/>
          <w:color w:val="auto"/>
        </w:rPr>
      </w:pPr>
    </w:p>
    <w:p>
      <w:pPr>
        <w:ind w:left="805" w:hanging="341"/>
        <w:spacing w:after="0"/>
        <w:tabs>
          <w:tab w:leader="none" w:pos="80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3" w:lineRule="exact"/>
        <w:rPr>
          <w:sz w:val="20"/>
          <w:szCs w:val="20"/>
          <w:color w:val="auto"/>
        </w:rPr>
      </w:pPr>
    </w:p>
    <w:p>
      <w:pPr>
        <w:ind w:left="345" w:hanging="345"/>
        <w:spacing w:after="0"/>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345" w:right="460" w:hanging="345"/>
        <w:spacing w:after="0" w:line="308" w:lineRule="auto"/>
        <w:tabs>
          <w:tab w:leader="none" w:pos="345" w:val="left"/>
        </w:tabs>
        <w:numPr>
          <w:ilvl w:val="0"/>
          <w:numId w:val="9"/>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sz w:val="20"/>
          <w:szCs w:val="20"/>
          <w:color w:val="auto"/>
        </w:rPr>
      </w:pPr>
    </w:p>
    <w:p>
      <w:pPr>
        <w:ind w:left="805" w:hanging="341"/>
        <w:spacing w:after="0"/>
        <w:tabs>
          <w:tab w:leader="none" w:pos="8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0"/>
          <w:szCs w:val="20"/>
          <w:color w:val="auto"/>
        </w:rPr>
      </w:pPr>
    </w:p>
    <w:p>
      <w:pPr>
        <w:ind w:left="805" w:hanging="341"/>
        <w:spacing w:after="0"/>
        <w:tabs>
          <w:tab w:leader="none" w:pos="8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-327660</wp:posOffset>
            </wp:positionV>
            <wp:extent cx="6715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1325"/>
          </w:cols>
          <w:pgMar w:left="275" w:top="1192" w:right="2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2893060</wp:posOffset>
            </wp:positionH>
            <wp:positionV relativeFrom="page">
              <wp:posOffset>500380</wp:posOffset>
            </wp:positionV>
            <wp:extent cx="1749425" cy="591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49425" cy="59182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1, 2016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Board of Directors and all of us on the management team cordially invite you to attend the 2016 Annual Meeting of Stockholders on Tuesday, December 13, 2016, at 9:30 a.m., local time, at The Standard Club, 320 South Plymouth Court, Chicago, Illinois 60604-3802.</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matters expected to be acted on in the meeting are described in the attached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2017.</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encourage you to read our Annual Report on Form 10-K for the fiscal year ending July 31, 2016 that is available at www.proxyvote.com. It includes information on our operations, markets, products and services, as well as our audited consolidated financial statements.</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Immediately following adjournment of the Annual Meeting, we will review the results of the past year and look at some of the potential opportunities that lie ahead.</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look forward to seeing you at the Annual Meeting. Whether or not you plan to attend, you can be sure your shares are represented at the meeting by voting over the Internet or by telephone, as instructed in the Notice Regarding Availability of Proxy Materials or proxy card. If you received a Notice Regarding the Availability of Proxy Materials in the mail, you may also request a paper proxy card to submit your vote by mail if you prefer.</w:t>
      </w:r>
    </w:p>
    <w:p>
      <w:pPr>
        <w:spacing w:after="0" w:line="337"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187325</wp:posOffset>
            </wp:positionV>
            <wp:extent cx="1235075"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50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DANIEL S. JAFFEE</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22"/>
          <w:szCs w:val="22"/>
          <w:i w:val="1"/>
          <w:iCs w:val="1"/>
          <w:color w:val="auto"/>
        </w:rPr>
        <w:t>President and Chief Executive Officer</w:t>
      </w:r>
    </w:p>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9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20"/>
                <w:szCs w:val="20"/>
                <w:color w:val="auto"/>
              </w:rPr>
              <w:t>NOTICE OF ANNUAL MEETING OF STOCKHOLDERS</w:t>
            </w:r>
          </w:p>
        </w:tc>
        <w:tc>
          <w:tcPr>
            <w:tcW w:w="2180" w:type="dxa"/>
            <w:vAlign w:val="bottom"/>
            <w:tcBorders>
              <w:bottom w:val="single" w:sz="8" w:color="BFE4FF"/>
            </w:tcBorders>
            <w:shd w:val="clear" w:color="auto" w:fill="BFE4FF"/>
          </w:tcPr>
          <w:p>
            <w:pPr>
              <w:spacing w:after="0"/>
              <w:rPr>
                <w:sz w:val="24"/>
                <w:szCs w:val="24"/>
                <w:color w:val="auto"/>
              </w:rPr>
            </w:pPr>
          </w:p>
        </w:tc>
        <w:tc>
          <w:tcPr>
            <w:tcW w:w="8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0000EE"/>
            </w:tcBorders>
            <w:gridSpan w:val="2"/>
            <w:shd w:val="clear" w:color="auto" w:fill="BFE4FF"/>
          </w:tcPr>
          <w:p>
            <w:pPr>
              <w:jc w:val="right"/>
              <w:spacing w:after="0"/>
              <w:rPr>
                <w:rFonts w:ascii="Arial" w:cs="Arial" w:eastAsia="Arial" w:hAnsi="Arial"/>
                <w:sz w:val="20"/>
                <w:szCs w:val="20"/>
                <w:color w:val="0000EE"/>
              </w:rPr>
            </w:pPr>
            <w:hyperlink w:anchor="page5">
              <w:r>
                <w:rPr>
                  <w:rFonts w:ascii="Arial" w:cs="Arial" w:eastAsia="Arial" w:hAnsi="Arial"/>
                  <w:sz w:val="20"/>
                  <w:szCs w:val="20"/>
                  <w:color w:val="0000EE"/>
                </w:rPr>
                <w:t>ii</w:t>
              </w:r>
            </w:hyperlink>
          </w:p>
        </w:tc>
        <w:tc>
          <w:tcPr>
            <w:tcW w:w="20" w:type="dxa"/>
            <w:vAlign w:val="bottom"/>
            <w:tcBorders>
              <w:bottom w:val="single" w:sz="8" w:color="BFE4FF"/>
            </w:tcBorders>
            <w:shd w:val="clear" w:color="auto" w:fill="BFE4FF"/>
          </w:tcPr>
          <w:p>
            <w:pPr>
              <w:spacing w:after="0"/>
              <w:rPr>
                <w:sz w:val="24"/>
                <w:szCs w:val="24"/>
                <w:color w:val="auto"/>
              </w:rPr>
            </w:pPr>
          </w:p>
        </w:tc>
      </w:tr>
      <w:tr>
        <w:trPr>
          <w:trHeight w:val="216"/>
        </w:trPr>
        <w:tc>
          <w:tcPr>
            <w:tcW w:w="9020" w:type="dxa"/>
            <w:vAlign w:val="bottom"/>
          </w:tcPr>
          <w:p>
            <w:pPr>
              <w:ind w:left="40"/>
              <w:spacing w:after="0" w:line="216" w:lineRule="exact"/>
              <w:rPr>
                <w:sz w:val="20"/>
                <w:szCs w:val="20"/>
                <w:color w:val="auto"/>
              </w:rPr>
            </w:pPr>
            <w:r>
              <w:rPr>
                <w:rFonts w:ascii="Arial" w:cs="Arial" w:eastAsia="Arial" w:hAnsi="Arial"/>
                <w:sz w:val="20"/>
                <w:szCs w:val="20"/>
                <w:color w:val="auto"/>
              </w:rPr>
              <w:t>GENERAL INFORMATION</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6">
              <w:r>
                <w:rPr>
                  <w:rFonts w:ascii="Arial" w:cs="Arial" w:eastAsia="Arial" w:hAnsi="Arial"/>
                  <w:sz w:val="20"/>
                  <w:szCs w:val="20"/>
                  <w:color w:val="0000EE"/>
                </w:rPr>
                <w:t>1</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Commonly Asked Questions and Answers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6">
              <w:r>
                <w:rPr>
                  <w:rFonts w:ascii="Arial" w:cs="Arial" w:eastAsia="Arial" w:hAnsi="Arial"/>
                  <w:sz w:val="20"/>
                  <w:szCs w:val="20"/>
                  <w:color w:val="0000EE"/>
                </w:rPr>
                <w:t>1</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40"/>
              <w:spacing w:after="0" w:line="216" w:lineRule="exact"/>
              <w:rPr>
                <w:sz w:val="20"/>
                <w:szCs w:val="20"/>
                <w:color w:val="auto"/>
              </w:rPr>
            </w:pPr>
            <w:r>
              <w:rPr>
                <w:rFonts w:ascii="Arial" w:cs="Arial" w:eastAsia="Arial" w:hAnsi="Arial"/>
                <w:sz w:val="20"/>
                <w:szCs w:val="20"/>
                <w:color w:val="auto"/>
              </w:rPr>
              <w:t>PROPOSALS</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12">
              <w:r>
                <w:rPr>
                  <w:rFonts w:ascii="Arial" w:cs="Arial" w:eastAsia="Arial" w:hAnsi="Arial"/>
                  <w:sz w:val="20"/>
                  <w:szCs w:val="20"/>
                  <w:color w:val="0000EE"/>
                </w:rPr>
                <w:t>7</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1. Election of Directors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12">
              <w:r>
                <w:rPr>
                  <w:rFonts w:ascii="Arial" w:cs="Arial" w:eastAsia="Arial" w:hAnsi="Arial"/>
                  <w:sz w:val="20"/>
                  <w:szCs w:val="20"/>
                  <w:color w:val="0000EE"/>
                </w:rPr>
                <w:t>7</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2. Ratification of Appointment of Independent Auditor</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17">
              <w:r>
                <w:rPr>
                  <w:rFonts w:ascii="Arial" w:cs="Arial" w:eastAsia="Arial" w:hAnsi="Arial"/>
                  <w:sz w:val="20"/>
                  <w:szCs w:val="20"/>
                  <w:color w:val="0000EE"/>
                </w:rPr>
                <w:t>12</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3. Other Matters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18">
              <w:r>
                <w:rPr>
                  <w:rFonts w:ascii="Arial" w:cs="Arial" w:eastAsia="Arial" w:hAnsi="Arial"/>
                  <w:sz w:val="20"/>
                  <w:szCs w:val="20"/>
                  <w:color w:val="0000EE"/>
                </w:rPr>
                <w:t>13</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40"/>
              <w:spacing w:after="0" w:line="216" w:lineRule="exact"/>
              <w:rPr>
                <w:sz w:val="20"/>
                <w:szCs w:val="20"/>
                <w:color w:val="auto"/>
              </w:rPr>
            </w:pPr>
            <w:r>
              <w:rPr>
                <w:rFonts w:ascii="Arial" w:cs="Arial" w:eastAsia="Arial" w:hAnsi="Arial"/>
                <w:sz w:val="20"/>
                <w:szCs w:val="20"/>
                <w:color w:val="auto"/>
              </w:rPr>
              <w:t>CORPORATE GOVERNANCE MATTERS</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19">
              <w:r>
                <w:rPr>
                  <w:rFonts w:ascii="Arial" w:cs="Arial" w:eastAsia="Arial" w:hAnsi="Arial"/>
                  <w:sz w:val="20"/>
                  <w:szCs w:val="20"/>
                  <w:color w:val="0000EE"/>
                </w:rPr>
                <w:t>14</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Controlled Company Status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19">
              <w:r>
                <w:rPr>
                  <w:rFonts w:ascii="Arial" w:cs="Arial" w:eastAsia="Arial" w:hAnsi="Arial"/>
                  <w:sz w:val="20"/>
                  <w:szCs w:val="20"/>
                  <w:color w:val="0000EE"/>
                </w:rPr>
                <w:t>14</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Director Independence</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19">
              <w:r>
                <w:rPr>
                  <w:rFonts w:ascii="Arial" w:cs="Arial" w:eastAsia="Arial" w:hAnsi="Arial"/>
                  <w:sz w:val="20"/>
                  <w:szCs w:val="20"/>
                  <w:color w:val="0000EE"/>
                </w:rPr>
                <w:t>14</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Executive Sessions of Non-Management Directors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0">
              <w:r>
                <w:rPr>
                  <w:rFonts w:ascii="Arial" w:cs="Arial" w:eastAsia="Arial" w:hAnsi="Arial"/>
                  <w:sz w:val="20"/>
                  <w:szCs w:val="20"/>
                  <w:color w:val="0000EE"/>
                </w:rPr>
                <w:t>15</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Board of Directors Committee Membership and Meetings</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20">
              <w:r>
                <w:rPr>
                  <w:rFonts w:ascii="Arial" w:cs="Arial" w:eastAsia="Arial" w:hAnsi="Arial"/>
                  <w:sz w:val="20"/>
                  <w:szCs w:val="20"/>
                  <w:color w:val="0000EE"/>
                </w:rPr>
                <w:t>15</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Compensation Committee Interlocks and Insider Participation</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2">
              <w:r>
                <w:rPr>
                  <w:rFonts w:ascii="Arial" w:cs="Arial" w:eastAsia="Arial" w:hAnsi="Arial"/>
                  <w:sz w:val="20"/>
                  <w:szCs w:val="20"/>
                  <w:color w:val="0000EE"/>
                </w:rPr>
                <w:t>17</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Director Nominations</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22">
              <w:r>
                <w:rPr>
                  <w:rFonts w:ascii="Arial" w:cs="Arial" w:eastAsia="Arial" w:hAnsi="Arial"/>
                  <w:sz w:val="20"/>
                  <w:szCs w:val="20"/>
                  <w:color w:val="0000EE"/>
                </w:rPr>
                <w:t>17</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Board Leadership Structure and Role in Risk Oversight</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4">
              <w:r>
                <w:rPr>
                  <w:rFonts w:ascii="Arial" w:cs="Arial" w:eastAsia="Arial" w:hAnsi="Arial"/>
                  <w:sz w:val="20"/>
                  <w:szCs w:val="20"/>
                  <w:color w:val="0000EE"/>
                </w:rPr>
                <w:t>19</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Communication with the Board of Directors</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24">
              <w:r>
                <w:rPr>
                  <w:rFonts w:ascii="Arial" w:cs="Arial" w:eastAsia="Arial" w:hAnsi="Arial"/>
                  <w:sz w:val="20"/>
                  <w:szCs w:val="20"/>
                  <w:color w:val="0000EE"/>
                </w:rPr>
                <w:t>19</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 Compensation</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4">
              <w:r>
                <w:rPr>
                  <w:rFonts w:ascii="Arial" w:cs="Arial" w:eastAsia="Arial" w:hAnsi="Arial"/>
                  <w:sz w:val="20"/>
                  <w:szCs w:val="20"/>
                  <w:color w:val="0000EE"/>
                </w:rPr>
                <w:t>19</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Director Compensation Table</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25">
              <w:r>
                <w:rPr>
                  <w:rFonts w:ascii="Arial" w:cs="Arial" w:eastAsia="Arial" w:hAnsi="Arial"/>
                  <w:sz w:val="20"/>
                  <w:szCs w:val="20"/>
                  <w:color w:val="0000EE"/>
                </w:rPr>
                <w:t>20</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Directors’ Option Awards Outstanding Table</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6">
              <w:r>
                <w:rPr>
                  <w:rFonts w:ascii="Arial" w:cs="Arial" w:eastAsia="Arial" w:hAnsi="Arial"/>
                  <w:sz w:val="20"/>
                  <w:szCs w:val="20"/>
                  <w:color w:val="0000EE"/>
                </w:rPr>
                <w:t>21</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Corporate Governance Guidelines and Code of Ethics</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26">
              <w:r>
                <w:rPr>
                  <w:rFonts w:ascii="Arial" w:cs="Arial" w:eastAsia="Arial" w:hAnsi="Arial"/>
                  <w:sz w:val="20"/>
                  <w:szCs w:val="20"/>
                  <w:color w:val="0000EE"/>
                </w:rPr>
                <w:t>21</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Certain Relationships and Related Party Transactions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6">
              <w:r>
                <w:rPr>
                  <w:rFonts w:ascii="Arial" w:cs="Arial" w:eastAsia="Arial" w:hAnsi="Arial"/>
                  <w:sz w:val="20"/>
                  <w:szCs w:val="20"/>
                  <w:color w:val="0000EE"/>
                </w:rPr>
                <w:t>21</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Report of the Audit Committee of the Board of Directors</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28">
              <w:r>
                <w:rPr>
                  <w:rFonts w:ascii="Arial" w:cs="Arial" w:eastAsia="Arial" w:hAnsi="Arial"/>
                  <w:sz w:val="20"/>
                  <w:szCs w:val="20"/>
                  <w:color w:val="0000EE"/>
                </w:rPr>
                <w:t>23</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40"/>
              <w:spacing w:after="0" w:line="216" w:lineRule="exact"/>
              <w:rPr>
                <w:sz w:val="20"/>
                <w:szCs w:val="20"/>
                <w:color w:val="auto"/>
              </w:rPr>
            </w:pPr>
            <w:r>
              <w:rPr>
                <w:rFonts w:ascii="Arial" w:cs="Arial" w:eastAsia="Arial" w:hAnsi="Arial"/>
                <w:sz w:val="20"/>
                <w:szCs w:val="20"/>
                <w:color w:val="auto"/>
              </w:rPr>
              <w:t>EXECUTIVE OFFICERS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29">
              <w:r>
                <w:rPr>
                  <w:rFonts w:ascii="Arial" w:cs="Arial" w:eastAsia="Arial" w:hAnsi="Arial"/>
                  <w:sz w:val="20"/>
                  <w:szCs w:val="20"/>
                  <w:color w:val="0000EE"/>
                </w:rPr>
                <w:t>24</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40"/>
              <w:spacing w:after="0" w:line="216" w:lineRule="exact"/>
              <w:rPr>
                <w:sz w:val="20"/>
                <w:szCs w:val="20"/>
                <w:color w:val="auto"/>
              </w:rPr>
            </w:pPr>
            <w:r>
              <w:rPr>
                <w:rFonts w:ascii="Arial" w:cs="Arial" w:eastAsia="Arial" w:hAnsi="Arial"/>
                <w:sz w:val="20"/>
                <w:szCs w:val="20"/>
                <w:color w:val="auto"/>
              </w:rPr>
              <w:t>EXECUTIVE COMPENSATION</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30">
              <w:r>
                <w:rPr>
                  <w:rFonts w:ascii="Arial" w:cs="Arial" w:eastAsia="Arial" w:hAnsi="Arial"/>
                  <w:sz w:val="20"/>
                  <w:szCs w:val="20"/>
                  <w:color w:val="0000EE"/>
                </w:rPr>
                <w:t>25</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Compensation Discussion and Analysis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30">
              <w:r>
                <w:rPr>
                  <w:rFonts w:ascii="Arial" w:cs="Arial" w:eastAsia="Arial" w:hAnsi="Arial"/>
                  <w:sz w:val="20"/>
                  <w:szCs w:val="20"/>
                  <w:color w:val="0000EE"/>
                </w:rPr>
                <w:t>25</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20"/>
              <w:spacing w:after="0" w:line="216" w:lineRule="exact"/>
              <w:rPr>
                <w:sz w:val="20"/>
                <w:szCs w:val="20"/>
                <w:color w:val="auto"/>
              </w:rPr>
            </w:pPr>
            <w:r>
              <w:rPr>
                <w:rFonts w:ascii="Arial" w:cs="Arial" w:eastAsia="Arial" w:hAnsi="Arial"/>
                <w:sz w:val="20"/>
                <w:szCs w:val="20"/>
                <w:color w:val="auto"/>
              </w:rPr>
              <w:t>Tax and Accounting Implications</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40">
              <w:r>
                <w:rPr>
                  <w:rFonts w:ascii="Arial" w:cs="Arial" w:eastAsia="Arial" w:hAnsi="Arial"/>
                  <w:sz w:val="20"/>
                  <w:szCs w:val="20"/>
                  <w:color w:val="0000EE"/>
                </w:rPr>
                <w:t>35</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Report of the Compensation Committee of the Board of Directors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41">
              <w:r>
                <w:rPr>
                  <w:rFonts w:ascii="Arial" w:cs="Arial" w:eastAsia="Arial" w:hAnsi="Arial"/>
                  <w:sz w:val="20"/>
                  <w:szCs w:val="20"/>
                  <w:color w:val="0000EE"/>
                </w:rPr>
                <w:t>36</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Summary Compensation Table</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42">
              <w:r>
                <w:rPr>
                  <w:rFonts w:ascii="Arial" w:cs="Arial" w:eastAsia="Arial" w:hAnsi="Arial"/>
                  <w:sz w:val="20"/>
                  <w:szCs w:val="20"/>
                  <w:color w:val="0000EE"/>
                </w:rPr>
                <w:t>37</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Change in Pension Value and Nonqualified Deferred Compensation Earnings Table</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43">
              <w:r>
                <w:rPr>
                  <w:rFonts w:ascii="Arial" w:cs="Arial" w:eastAsia="Arial" w:hAnsi="Arial"/>
                  <w:sz w:val="20"/>
                  <w:szCs w:val="20"/>
                  <w:color w:val="0000EE"/>
                </w:rPr>
                <w:t>38</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20"/>
              <w:spacing w:after="0" w:line="216" w:lineRule="exact"/>
              <w:rPr>
                <w:sz w:val="20"/>
                <w:szCs w:val="20"/>
                <w:color w:val="auto"/>
              </w:rPr>
            </w:pPr>
            <w:r>
              <w:rPr>
                <w:rFonts w:ascii="Arial" w:cs="Arial" w:eastAsia="Arial" w:hAnsi="Arial"/>
                <w:sz w:val="20"/>
                <w:szCs w:val="20"/>
                <w:color w:val="auto"/>
              </w:rPr>
              <w:t>All Other Compensation Table</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43">
              <w:r>
                <w:rPr>
                  <w:rFonts w:ascii="Arial" w:cs="Arial" w:eastAsia="Arial" w:hAnsi="Arial"/>
                  <w:sz w:val="20"/>
                  <w:szCs w:val="20"/>
                  <w:color w:val="0000EE"/>
                </w:rPr>
                <w:t>38</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Grants of Plan-Based Awards during Fiscal 2016</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44">
              <w:r>
                <w:rPr>
                  <w:rFonts w:ascii="Arial" w:cs="Arial" w:eastAsia="Arial" w:hAnsi="Arial"/>
                  <w:sz w:val="20"/>
                  <w:szCs w:val="20"/>
                  <w:color w:val="0000EE"/>
                </w:rPr>
                <w:t>39</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Outstanding Equity Awards at Fiscal 2016 Year End</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45">
              <w:r>
                <w:rPr>
                  <w:rFonts w:ascii="Arial" w:cs="Arial" w:eastAsia="Arial" w:hAnsi="Arial"/>
                  <w:sz w:val="20"/>
                  <w:szCs w:val="20"/>
                  <w:color w:val="0000EE"/>
                </w:rPr>
                <w:t>40</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Option Exercises and Stock Vested for Fiscal 2016</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45">
              <w:r>
                <w:rPr>
                  <w:rFonts w:ascii="Arial" w:cs="Arial" w:eastAsia="Arial" w:hAnsi="Arial"/>
                  <w:sz w:val="20"/>
                  <w:szCs w:val="20"/>
                  <w:color w:val="0000EE"/>
                </w:rPr>
                <w:t>40</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Pension Benefits for Fiscal 2016</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46">
              <w:r>
                <w:rPr>
                  <w:rFonts w:ascii="Arial" w:cs="Arial" w:eastAsia="Arial" w:hAnsi="Arial"/>
                  <w:sz w:val="20"/>
                  <w:szCs w:val="20"/>
                  <w:color w:val="0000EE"/>
                </w:rPr>
                <w:t>41</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Nonqualified Deferred Compensation for Fiscal 2016</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47">
              <w:r>
                <w:rPr>
                  <w:rFonts w:ascii="Arial" w:cs="Arial" w:eastAsia="Arial" w:hAnsi="Arial"/>
                  <w:sz w:val="20"/>
                  <w:szCs w:val="20"/>
                  <w:color w:val="0000EE"/>
                </w:rPr>
                <w:t>42</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Equity Compensation Plans</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48">
              <w:r>
                <w:rPr>
                  <w:rFonts w:ascii="Arial" w:cs="Arial" w:eastAsia="Arial" w:hAnsi="Arial"/>
                  <w:sz w:val="20"/>
                  <w:szCs w:val="20"/>
                  <w:color w:val="0000EE"/>
                </w:rPr>
                <w:t>43</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Benefits upon Termination or Change in Control</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49">
              <w:r>
                <w:rPr>
                  <w:rFonts w:ascii="Arial" w:cs="Arial" w:eastAsia="Arial" w:hAnsi="Arial"/>
                  <w:sz w:val="20"/>
                  <w:szCs w:val="20"/>
                  <w:color w:val="0000EE"/>
                </w:rPr>
                <w:t>44</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40"/>
              <w:spacing w:after="0" w:line="216" w:lineRule="exact"/>
              <w:rPr>
                <w:sz w:val="20"/>
                <w:szCs w:val="20"/>
                <w:color w:val="auto"/>
              </w:rPr>
            </w:pPr>
            <w:r>
              <w:rPr>
                <w:rFonts w:ascii="Arial" w:cs="Arial" w:eastAsia="Arial" w:hAnsi="Arial"/>
                <w:sz w:val="20"/>
                <w:szCs w:val="20"/>
                <w:color w:val="auto"/>
              </w:rPr>
              <w:t>STOCK OWNERSHIP</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51">
              <w:r>
                <w:rPr>
                  <w:rFonts w:ascii="Arial" w:cs="Arial" w:eastAsia="Arial" w:hAnsi="Arial"/>
                  <w:sz w:val="20"/>
                  <w:szCs w:val="20"/>
                  <w:color w:val="0000EE"/>
                </w:rPr>
                <w:t>46</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Principal Stockholders</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51">
              <w:r>
                <w:rPr>
                  <w:rFonts w:ascii="Arial" w:cs="Arial" w:eastAsia="Arial" w:hAnsi="Arial"/>
                  <w:sz w:val="20"/>
                  <w:szCs w:val="20"/>
                  <w:color w:val="0000EE"/>
                </w:rPr>
                <w:t>46</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9020" w:type="dxa"/>
            <w:vAlign w:val="bottom"/>
          </w:tcPr>
          <w:p>
            <w:pPr>
              <w:ind w:left="240"/>
              <w:spacing w:after="0" w:line="216" w:lineRule="exact"/>
              <w:rPr>
                <w:sz w:val="20"/>
                <w:szCs w:val="20"/>
                <w:color w:val="auto"/>
              </w:rPr>
            </w:pPr>
            <w:r>
              <w:rPr>
                <w:rFonts w:ascii="Arial" w:cs="Arial" w:eastAsia="Arial" w:hAnsi="Arial"/>
                <w:sz w:val="20"/>
                <w:szCs w:val="20"/>
                <w:color w:val="auto"/>
              </w:rPr>
              <w:t>Security Ownership of Management</w:t>
            </w:r>
          </w:p>
        </w:tc>
        <w:tc>
          <w:tcPr>
            <w:tcW w:w="2400" w:type="dxa"/>
            <w:vAlign w:val="bottom"/>
            <w:gridSpan w:val="5"/>
          </w:tcPr>
          <w:p>
            <w:pPr>
              <w:jc w:val="right"/>
              <w:ind w:right="20"/>
              <w:spacing w:after="0" w:line="216" w:lineRule="exact"/>
              <w:rPr>
                <w:rFonts w:ascii="Arial" w:cs="Arial" w:eastAsia="Arial" w:hAnsi="Arial"/>
                <w:sz w:val="20"/>
                <w:szCs w:val="20"/>
                <w:color w:val="0000EE"/>
              </w:rPr>
            </w:pPr>
            <w:hyperlink w:anchor="page54">
              <w:r>
                <w:rPr>
                  <w:rFonts w:ascii="Arial" w:cs="Arial" w:eastAsia="Arial" w:hAnsi="Arial"/>
                  <w:sz w:val="20"/>
                  <w:szCs w:val="20"/>
                  <w:color w:val="0000EE"/>
                </w:rPr>
                <w:t>49</w:t>
              </w:r>
            </w:hyperlink>
          </w:p>
        </w:tc>
      </w:tr>
      <w:tr>
        <w:trPr>
          <w:trHeight w:val="48"/>
        </w:trPr>
        <w:tc>
          <w:tcPr>
            <w:tcW w:w="9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902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Section 16(a) Beneficial Ownership Reporting Compliance</w:t>
            </w:r>
          </w:p>
        </w:tc>
        <w:tc>
          <w:tcPr>
            <w:tcW w:w="2400" w:type="dxa"/>
            <w:vAlign w:val="bottom"/>
            <w:gridSpan w:val="5"/>
            <w:shd w:val="clear" w:color="auto" w:fill="BFE4FF"/>
          </w:tcPr>
          <w:p>
            <w:pPr>
              <w:jc w:val="right"/>
              <w:ind w:right="20"/>
              <w:spacing w:after="0" w:line="216" w:lineRule="exact"/>
              <w:rPr>
                <w:rFonts w:ascii="Arial" w:cs="Arial" w:eastAsia="Arial" w:hAnsi="Arial"/>
                <w:sz w:val="20"/>
                <w:szCs w:val="20"/>
                <w:color w:val="0000EE"/>
              </w:rPr>
            </w:pPr>
            <w:hyperlink w:anchor="page56">
              <w:r>
                <w:rPr>
                  <w:rFonts w:ascii="Arial" w:cs="Arial" w:eastAsia="Arial" w:hAnsi="Arial"/>
                  <w:sz w:val="20"/>
                  <w:szCs w:val="20"/>
                  <w:color w:val="0000EE"/>
                </w:rPr>
                <w:t>51</w:t>
              </w:r>
            </w:hyperlink>
          </w:p>
        </w:tc>
      </w:tr>
      <w:tr>
        <w:trPr>
          <w:trHeight w:val="48"/>
        </w:trPr>
        <w:tc>
          <w:tcPr>
            <w:tcW w:w="9020" w:type="dxa"/>
            <w:vAlign w:val="bottom"/>
            <w:tcBorders>
              <w:top w:val="single" w:sz="8" w:color="BFE4FF"/>
            </w:tcBorders>
            <w:shd w:val="clear" w:color="auto" w:fill="BFE4FF"/>
          </w:tcPr>
          <w:p>
            <w:pPr>
              <w:spacing w:after="0"/>
              <w:rPr>
                <w:sz w:val="4"/>
                <w:szCs w:val="4"/>
                <w:color w:val="auto"/>
              </w:rPr>
            </w:pPr>
          </w:p>
        </w:tc>
        <w:tc>
          <w:tcPr>
            <w:tcW w:w="21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0000EE"/>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873"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873" w:right="239" w:bottom="1440" w:gutter="0" w:footer="0" w:header="0"/>
          <w:type w:val="continuous"/>
        </w:sectPr>
      </w:pPr>
    </w:p>
    <w:bookmarkStart w:id="4" w:name="page5"/>
    <w:bookmarkEnd w:id="4"/>
    <w:p>
      <w:pPr>
        <w:ind w:left="3700"/>
        <w:spacing w:after="0"/>
        <w:rPr>
          <w:sz w:val="20"/>
          <w:szCs w:val="20"/>
          <w:color w:val="auto"/>
        </w:rPr>
      </w:pPr>
      <w:r>
        <w:rPr>
          <w:rFonts w:ascii="Arial" w:cs="Arial" w:eastAsia="Arial" w:hAnsi="Arial"/>
          <w:sz w:val="22"/>
          <w:szCs w:val="22"/>
          <w:b w:val="1"/>
          <w:bCs w:val="1"/>
          <w:color w:val="auto"/>
        </w:rPr>
        <w:t>OIL-DRI CORPORATION OF AMERICA</w:t>
      </w:r>
    </w:p>
    <w:p>
      <w:pPr>
        <w:spacing w:after="0" w:line="179"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December 13, 2016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16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2016 Annual Meeting of Stockholders of Oil-Dri Corporation of America, a Delaware corporation (the “Company”), will be held at 9:30 a.m., local time, on Tuesday, December 13, 2016, at The Standard Club, located at 320 South Plymouth Court, Chicago, Illinois 60604-3802.</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meeting will be held for the following purposes:</w:t>
      </w:r>
    </w:p>
    <w:p>
      <w:pPr>
        <w:spacing w:after="0" w:line="179" w:lineRule="exact"/>
        <w:rPr>
          <w:sz w:val="20"/>
          <w:szCs w:val="20"/>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elect nine directors;</w:t>
      </w:r>
    </w:p>
    <w:p>
      <w:pPr>
        <w:spacing w:after="0" w:line="179" w:lineRule="exact"/>
        <w:rPr>
          <w:rFonts w:ascii="Arial" w:cs="Arial" w:eastAsia="Arial" w:hAnsi="Arial"/>
          <w:sz w:val="22"/>
          <w:szCs w:val="22"/>
          <w:color w:val="auto"/>
        </w:rPr>
      </w:pPr>
    </w:p>
    <w:p>
      <w:pPr>
        <w:ind w:firstLine="656"/>
        <w:spacing w:after="0" w:line="263" w:lineRule="auto"/>
        <w:tabs>
          <w:tab w:leader="none" w:pos="1123"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ratify the appointment of Grant Thornton LLP as the Company’s independent auditor for the fiscal year ending July 31, 2017; and</w:t>
      </w:r>
    </w:p>
    <w:p>
      <w:pPr>
        <w:spacing w:after="0" w:line="134" w:lineRule="exact"/>
        <w:rPr>
          <w:rFonts w:ascii="Arial" w:cs="Arial" w:eastAsia="Arial" w:hAnsi="Arial"/>
          <w:sz w:val="22"/>
          <w:szCs w:val="22"/>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and any adjournment thereof.</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Board of Directors has determined that only holders of record of outstanding shares of Common Stock and Class B Stock at the close of business on Monday, October 17, 2016, are entitled to notice of, and to vote at, the meeting and any adjournment thereof.</w:t>
      </w:r>
    </w:p>
    <w:p>
      <w:pPr>
        <w:spacing w:after="0" w:line="1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Your vote is very important. Whether or not you intend to be present at the meeting,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further information relating to the meeting, please see the following pages.</w:t>
      </w:r>
    </w:p>
    <w:p>
      <w:pPr>
        <w:spacing w:after="0" w:line="32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196215</wp:posOffset>
            </wp:positionV>
            <wp:extent cx="12522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2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DOUGLAS A. GRAHAM</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22"/>
          <w:szCs w:val="22"/>
          <w:i w:val="1"/>
          <w:iCs w:val="1"/>
          <w:color w:val="auto"/>
        </w:rPr>
        <w:t>Secretary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November 1, 2016</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74" w:right="239" w:bottom="1440" w:gutter="0" w:footer="0" w:header="0"/>
        </w:sectPr>
      </w:pPr>
    </w:p>
    <w:bookmarkStart w:id="5" w:name="page6"/>
    <w:bookmarkEnd w:id="5"/>
    <w:p>
      <w:pPr>
        <w:ind w:left="3700"/>
        <w:spacing w:after="0"/>
        <w:rPr>
          <w:sz w:val="20"/>
          <w:szCs w:val="20"/>
          <w:color w:val="auto"/>
        </w:rPr>
      </w:pPr>
      <w:r>
        <w:rPr>
          <w:rFonts w:ascii="Arial" w:cs="Arial" w:eastAsia="Arial" w:hAnsi="Arial"/>
          <w:sz w:val="22"/>
          <w:szCs w:val="22"/>
          <w:b w:val="1"/>
          <w:bCs w:val="1"/>
          <w:color w:val="auto"/>
        </w:rPr>
        <w:t>OIL-DRI CORPORATION OF AMERICA</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410 North Michigan Avenue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400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Chicago, Illinois 60611-4213</w:t>
      </w:r>
    </w:p>
    <w:p>
      <w:pPr>
        <w:spacing w:after="0" w:line="15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INFORMATION</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Proxy Statement is delivered and solicited on behalf of the Board of Directors of Oil-Dri Corporation of America, a Delaware corporation, in connection with the 2016 Annual Meeting of Stockholders to be held at 9:30 a.m., local time, on Tuesday, December 13, 2016, at The Standard Club, located at 320 South Plymouth Court, Chicago, Illinois 60604-3802 (the “2016 Annual Meeting”), notice of which accompanies this Proxy Statement, and at any adjournment of the meeting. The Notice Regarding the Availability of Proxy Materials (the “Notice”) is being distributed, and the Notice of Annual Meeting of Stockholders, this Proxy Statement and form of proxy are being made available on the Internet, on or about November 1, 2016. In addition, you should review our Annual Report on Form 10-K that was filed on October 7, 2016. Our Form 10-K should not be deemed to be part of this Proxy Statement.</w:t>
      </w:r>
    </w:p>
    <w:p>
      <w:pPr>
        <w:spacing w:after="0" w:line="1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As a stockholder, you are invited to attend the 2016 Annual Meeting and are requested to vote on the items of business described in this Proxy Statement. This Proxy Statement includes information that we are required to provide to you under the United States Securities and Exchange Commission (“SEC”) rules, and is designed to assist you in voting your shares. Whenever we refer in this Proxy Statement to the “2016 Annual Meeting,” we are also referring to any meeting that results from an adjournment of the 2016 Annual Meeting. Except as otherwise indicated herein or as the context otherwise requires, references to the “Company,” “we,” “us” or “our” refer to Oil-Dri Corporation of America.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Commonly Asked Questions and Answers</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Why am I receiving these materials?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Notice is being delivered to all stockholders of record as of the close of business on October 17, 2016 (the “Record Date”) in connection with the solicitation of proxies on behalf of our Board of Directors for use at the 2016 Annual Meeting on December 13, 2016.</w:t>
      </w:r>
    </w:p>
    <w:p>
      <w:pPr>
        <w:spacing w:after="0" w:line="72" w:lineRule="exact"/>
        <w:rPr>
          <w:sz w:val="20"/>
          <w:szCs w:val="20"/>
          <w:color w:val="auto"/>
        </w:rPr>
      </w:pPr>
    </w:p>
    <w:p>
      <w:pPr>
        <w:ind w:left="660" w:right="20" w:hanging="652"/>
        <w:spacing w:after="0" w:line="269" w:lineRule="auto"/>
        <w:tabs>
          <w:tab w:leader="none" w:pos="6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“e-proxy” rules adopted by the SEC, we may furnish proxy materials, including this Proxy Statement and our Annual Report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74" w:right="239" w:bottom="1440" w:gutter="0" w:footer="0" w:header="0"/>
        </w:sectPr>
      </w:pPr>
    </w:p>
    <w:bookmarkStart w:id="6" w:name="page7"/>
    <w:bookmarkEnd w:id="6"/>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How can I access the proxy materials over the Internet?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Notice and proxy card or voting instruction card contain instructions on how to view the proxy materials on the Internet, vote your shares on the Internet, and request electronic delivery of future proxy materials. An electronic copy of this Proxy Statement and Annual Report are available at www.proxyvote.com. If you received a Notice and would like to receive a paper copy of the proxy materials free of charge, please follow the instructions in the Notice.</w:t>
      </w:r>
    </w:p>
    <w:p>
      <w:pPr>
        <w:spacing w:after="0" w:line="4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Who is entitled to vote at the 2016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Board of Directors has established the close of business on Monday, October 17, 2016, as the Record Date for the 2016 Annual Meeting. Only stockholders of record as of the close of business on the Record Date are entitled to receive notice of, and to vote at, the 2016 Annual Meeting.</w:t>
      </w:r>
    </w:p>
    <w:p>
      <w:pPr>
        <w:spacing w:after="0" w:line="5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5,071,613 shares of Common Stock and 2,188,771 shares of Class B Stock were outstanding.</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Registered Stockholders</w:t>
      </w:r>
      <w:r>
        <w:rPr>
          <w:rFonts w:ascii="Arial" w:cs="Arial" w:eastAsia="Arial" w:hAnsi="Arial"/>
          <w:sz w:val="22"/>
          <w:szCs w:val="22"/>
          <w:color w:val="auto"/>
        </w:rPr>
        <w:t>. If your shares are registered directly in your name with our transfer agent, Computershare Trust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in person at the 2016 Annual Meeting.</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i w:val="1"/>
          <w:iCs w:val="1"/>
          <w:color w:val="auto"/>
        </w:rPr>
        <w:t>Beneficial Stockholders</w:t>
      </w:r>
      <w:r>
        <w:rPr>
          <w:rFonts w:ascii="Arial" w:cs="Arial" w:eastAsia="Arial" w:hAnsi="Arial"/>
          <w:sz w:val="21"/>
          <w:szCs w:val="21"/>
          <w:color w:val="auto"/>
        </w:rPr>
        <w:t>. If your shares are held in a stock brokerage account or by a bank or other nominee, you are considered the</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Beneficial owners are also invited to attend the 2016 Annual Meeting. However, since you are not the stockholder of record, you may not vote your shares in person at the 2016 Annual Meeting unless you follow your broker’s procedures for obtaining a legal proxy. If you request a printed copy of the proxy materials by mail, your broker or nominee will provide a voting instruction card for you to use.</w:t>
      </w:r>
    </w:p>
    <w:p>
      <w:pPr>
        <w:spacing w:after="0" w:line="4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What proposals are being voted on at the 2016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Stockholders are being asked to vote upon the following items of business at the 2016 Annual Meeting:</w:t>
      </w:r>
    </w:p>
    <w:p>
      <w:pPr>
        <w:spacing w:after="0" w:line="8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election of nine directors, each to hold office for a one-year term ending at our 2017 Annual Meeting of Stockholders;</w:t>
      </w:r>
    </w:p>
    <w:p>
      <w:pPr>
        <w:spacing w:after="0" w:line="119"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ratification of the appointment of Grant Thornton LLP (“Grant Thornton”) as our independent auditor for the fiscal year ending July 31, 2017 (“fiscal 2017”);</w:t>
      </w:r>
    </w:p>
    <w:p>
      <w:pPr>
        <w:spacing w:after="0" w:line="4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and to transact such other business as may properly come before the 2016 Annual Meeting. Our Board of Directors knows of no other items of business that will be presented for consideration at the 2016 Annual Meeting other than those described in this Proxy Statement. In addition, no stockholder proposal or nomination was received prior to the deadline specified in our Amended and Restated By-Laws, so no such matters may be brought to a vote at the 2016 Annual Meeting.</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74" w:right="239" w:bottom="1440" w:gutter="0" w:footer="0" w:header="0"/>
        </w:sectPr>
      </w:pPr>
    </w:p>
    <w:bookmarkStart w:id="7" w:name="page8"/>
    <w:bookmarkEnd w:id="7"/>
    <w:p>
      <w:pPr>
        <w:ind w:right="3940" w:firstLine="8"/>
        <w:spacing w:after="0" w:line="389" w:lineRule="auto"/>
        <w:tabs>
          <w:tab w:leader="none" w:pos="374"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What are the voting recommendations of the Company’s Board of Directors? </w:t>
      </w:r>
      <w:r>
        <w:rPr>
          <w:rFonts w:ascii="Arial" w:cs="Arial" w:eastAsia="Arial" w:hAnsi="Arial"/>
          <w:sz w:val="19"/>
          <w:szCs w:val="19"/>
          <w:color w:val="auto"/>
        </w:rPr>
        <w:t>Our Board of Directors recommends that you vote your shares as follows:</w:t>
      </w:r>
    </w:p>
    <w:p>
      <w:pPr>
        <w:ind w:left="1060" w:hanging="323"/>
        <w:spacing w:after="0"/>
        <w:tabs>
          <w:tab w:leader="none" w:pos="10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“FOR” the election of each of the nine nominees to the Board of Directors; and</w:t>
      </w:r>
    </w:p>
    <w:p>
      <w:pPr>
        <w:spacing w:after="0" w:line="84" w:lineRule="exact"/>
        <w:rPr>
          <w:rFonts w:ascii="Arial" w:cs="Arial" w:eastAsia="Arial" w:hAnsi="Arial"/>
          <w:sz w:val="22"/>
          <w:szCs w:val="22"/>
          <w:color w:val="auto"/>
        </w:rPr>
      </w:pPr>
    </w:p>
    <w:p>
      <w:pPr>
        <w:ind w:left="1060" w:hanging="323"/>
        <w:spacing w:after="0"/>
        <w:tabs>
          <w:tab w:leader="none" w:pos="1060" w:val="left"/>
        </w:tabs>
        <w:numPr>
          <w:ilvl w:val="1"/>
          <w:numId w:val="16"/>
        </w:numPr>
        <w:rPr>
          <w:rFonts w:ascii="Arial" w:cs="Arial" w:eastAsia="Arial" w:hAnsi="Arial"/>
          <w:sz w:val="19"/>
          <w:szCs w:val="19"/>
          <w:color w:val="auto"/>
        </w:rPr>
      </w:pPr>
      <w:r>
        <w:rPr>
          <w:rFonts w:ascii="Arial" w:cs="Arial" w:eastAsia="Arial" w:hAnsi="Arial"/>
          <w:sz w:val="19"/>
          <w:szCs w:val="19"/>
          <w:color w:val="auto"/>
        </w:rPr>
        <w:t>“FOR” the ratification of the appointment of Grant Thornton as the Company’s independent auditor for fiscal 2017.</w:t>
      </w:r>
    </w:p>
    <w:p>
      <w:pPr>
        <w:spacing w:after="0" w:line="113" w:lineRule="exact"/>
        <w:rPr>
          <w:rFonts w:ascii="Arial" w:cs="Arial" w:eastAsia="Arial" w:hAnsi="Arial"/>
          <w:sz w:val="19"/>
          <w:szCs w:val="19"/>
          <w:color w:val="auto"/>
        </w:rPr>
      </w:pPr>
    </w:p>
    <w:p>
      <w:pPr>
        <w:ind w:left="380" w:hanging="372"/>
        <w:spacing w:after="0"/>
        <w:tabs>
          <w:tab w:leader="none" w:pos="3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How do I cast my vote?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If you are a stockholder of record, you may vote in several different ways: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 person at the 2016 Annual Meeting</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 may vote in person at the 2016 Annual Meeting. You may also be represented by another person at the meeting by executing a proxy properly designating that person.</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Internet</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12, 2016.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telephone</w:t>
      </w:r>
    </w:p>
    <w:p>
      <w:pPr>
        <w:spacing w:after="0" w:line="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may vote by requesting a paper copy of the proxy materials, which will include a proxy card, and then calling the telephone number on the proxy card. Please have your proxy card in hand when you call and use any touch-tone phone to transmit your voting instructions. Telephone voting for stockholders of record will be available until 11:59 p.m., Eastern Time, on December 12, 2016.</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mail</w:t>
      </w:r>
    </w:p>
    <w:p>
      <w:pPr>
        <w:spacing w:after="0" w:line="58"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If you are a beneficial stockholder (see question four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To vote in person at the 2016 Annual Meeting, you must obtain a legal proxy from your bank, broker or other nominee and present it to the Inspector of Election with your ballot. Your shares may be voted even if you do not provide voting instructions because banks, brokers and nominees generally have the authority under New York Stock Exchange (“NYSE”) rules to vote on “routine matters.” The proposal to ratify the appointment of our independent auditor is considered a routine matter, while the proposal to elect directors is considered a non-routine matter.</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you decide to change your vote, use only one method to send us your vote. If you requested a printed set of the proxy materials and voted by telephone or by Internet, you do not have to return your proxy card or voting instruction form. Even if you plan to attend the 2016 Annual Meeting, we recommend that you vote your shares in advance so that your vote will be counted if you later decide not to attend the meeting.</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no contrary instructions are indicated in the proxy, each proxy will be voted “FOR” the election of the nine nominees to our Board of Directors named below and “FOR” the ratification of the appointment of Grant Thornton as our independent auditor for fiscal 2017. In their discretion, the named proxy holders are authorized to vote on any other matters that may properly come before the 2016 Annual Meeting.</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74" w:right="239" w:bottom="1440" w:gutter="0" w:footer="0" w:header="0"/>
        </w:sectPr>
      </w:pPr>
    </w:p>
    <w:bookmarkStart w:id="8" w:name="page9"/>
    <w:bookmarkEnd w:id="8"/>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Can I change my vote?</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Yes, if you vote by proxy, you may revoke that proxy at any time before it is voted at the 2016 Annual Meeting. If you are the stockholder of record, you may do this by:</w:t>
      </w:r>
    </w:p>
    <w:p>
      <w:pPr>
        <w:spacing w:after="0" w:line="67" w:lineRule="exact"/>
        <w:rPr>
          <w:sz w:val="20"/>
          <w:szCs w:val="20"/>
          <w:color w:val="auto"/>
        </w:rPr>
      </w:pPr>
    </w:p>
    <w:p>
      <w:pPr>
        <w:ind w:left="1060" w:hanging="323"/>
        <w:spacing w:after="0"/>
        <w:tabs>
          <w:tab w:leader="none" w:pos="10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voting again on the Internet or by telephone prior to 11:59 p.m., Eastern Time, on December 12, 2016;</w:t>
      </w:r>
    </w:p>
    <w:p>
      <w:pPr>
        <w:spacing w:after="0" w:line="111" w:lineRule="exact"/>
        <w:rPr>
          <w:rFonts w:ascii="Arial" w:cs="Arial" w:eastAsia="Arial" w:hAnsi="Arial"/>
          <w:sz w:val="22"/>
          <w:szCs w:val="22"/>
          <w:color w:val="auto"/>
        </w:rPr>
      </w:pPr>
    </w:p>
    <w:p>
      <w:pPr>
        <w:ind w:left="1060" w:hanging="323"/>
        <w:spacing w:after="0" w:line="263" w:lineRule="auto"/>
        <w:tabs>
          <w:tab w:leader="none" w:pos="10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signing another proxy card with a later date and delivering it to Broadridge Financial Solutions, Inc., 51 Mercedes Way, Edgewood, New York 11717, prior to the 2016 Annual Meeting; or</w:t>
      </w:r>
    </w:p>
    <w:p>
      <w:pPr>
        <w:spacing w:after="0" w:line="66" w:lineRule="exact"/>
        <w:rPr>
          <w:rFonts w:ascii="Arial" w:cs="Arial" w:eastAsia="Arial" w:hAnsi="Arial"/>
          <w:sz w:val="22"/>
          <w:szCs w:val="22"/>
          <w:color w:val="auto"/>
        </w:rPr>
      </w:pPr>
    </w:p>
    <w:p>
      <w:pPr>
        <w:ind w:left="1060" w:hanging="323"/>
        <w:spacing w:after="0"/>
        <w:tabs>
          <w:tab w:leader="none" w:pos="10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attending the 2016 Annual Meeting in person and delivering your proxy or casting a ballot.</w:t>
      </w:r>
    </w:p>
    <w:p>
      <w:pPr>
        <w:spacing w:after="0" w:line="112"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If you are a beneficial stockholder and you have instructed your bank, broker or other nominee to vote your shares, you may revoke those instructions by following the directions received from your bank, broker or other nominee to change those instructions.</w:t>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What constitutes a quorum at the 2016 Annual Meeting?</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majority of all outstanding shares of Common Stock and Class B Stock entitled to vote at the 2016 Annual Meeting constitutes a quorum, which is the minimum number of shares that must be present or represented by proxy at the 2016 Annual Meeting to transact business. Once a share is represented for any purpose at the 2016 Annual Meeting, it will be deemed present for quorum purposes for the remainder of the meeting (including any meeting resulting from an adjournment of the 2016 Annual Meeting, unless a new record date is set).</w:t>
      </w:r>
    </w:p>
    <w:p>
      <w:pPr>
        <w:spacing w:after="0" w:line="7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How are broker non-votes and abstentions counted?</w:t>
      </w:r>
    </w:p>
    <w:p>
      <w:pPr>
        <w:spacing w:after="0" w:line="11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2016 Annual Meeting, only the proposal to ratify the appointment of our independent auditor is considered a routine matter. Therefore, your broker will not have discretion to vote on the election of directors absent directions from you.</w:t>
      </w:r>
    </w:p>
    <w:p>
      <w:pPr>
        <w:spacing w:after="0" w:line="4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Broker non-votes and abstentions by stockholders from voting will be counted towards determining whether or not a quorum is present at the 2016 Annual Meeting. However, because broker non-votes and abstentions are not voted affirmatively or negatively, they will have no effect on the approval of any of the proposals, except (i) as to routine matters for which brokers exercise their discretion as discussed above and (ii) abstentions with respect to proposals that require an affirmative majority of the votes present at the 2016 Annual Meeting or represented by proxy, which have the same legal effect as a vote against the proposal as described below.</w:t>
      </w:r>
    </w:p>
    <w:p>
      <w:pPr>
        <w:spacing w:after="0" w:line="80"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How many votes are needed to approve the proposals?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director may only be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Shares for which authority is withheld to vote for director nominees and broker non-votes have no effect on the outcome of the election of directors.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74" w:right="239" w:bottom="1440" w:gutter="0" w:footer="0" w:header="0"/>
        </w:sectPr>
      </w:pPr>
    </w:p>
    <w:bookmarkStart w:id="9" w:name="page10"/>
    <w:bookmarkEnd w:id="9"/>
    <w:p>
      <w:pPr>
        <w:jc w:val="both"/>
        <w:spacing w:after="0" w:line="297" w:lineRule="auto"/>
        <w:rPr>
          <w:sz w:val="20"/>
          <w:szCs w:val="20"/>
          <w:color w:val="auto"/>
        </w:rPr>
      </w:pPr>
      <w:r>
        <w:rPr>
          <w:rFonts w:ascii="Arial" w:cs="Arial" w:eastAsia="Arial" w:hAnsi="Arial"/>
          <w:sz w:val="19"/>
          <w:szCs w:val="19"/>
          <w:color w:val="auto"/>
        </w:rPr>
        <w:t>An affirmative majority of the votes present at the 2016 Annual Meeting or represented by proxy is necessary for ratification of the appointment of Grant Thornton as our independent auditor for fiscal 2017. Any abstention by those present or represented by proxy has the same legal effect as a vote against this proposal. Because the proposal for ratification of the appointment of Grant Thornton as our independent auditor for fiscal 2017 is considered a routine matter under the rules of the NYSE, banks, brokers and other nominees are able to vote on this matter even if no voting instructions are provided by the beneficial owner.</w:t>
      </w:r>
    </w:p>
    <w:p>
      <w:pPr>
        <w:spacing w:after="0" w:line="3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Who will count the vote?</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Where can I find the voting results of the 2016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intend to announce preliminary voting results at the 2016 Annual Meeting. Within four business days following the adjournment of the 2016 Annual Meeting, we intend to disclose the final voting results of each proposal being voted on at the 2016 Annual Meeting in a Current Report on Form 8-K.</w:t>
      </w:r>
    </w:p>
    <w:p>
      <w:pPr>
        <w:spacing w:after="0" w:line="7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1"/>
          <w:szCs w:val="21"/>
          <w:b w:val="1"/>
          <w:bCs w:val="1"/>
          <w:color w:val="auto"/>
        </w:rPr>
      </w:pPr>
      <w:r>
        <w:rPr>
          <w:rFonts w:ascii="Arial" w:cs="Arial" w:eastAsia="Arial" w:hAnsi="Arial"/>
          <w:sz w:val="21"/>
          <w:szCs w:val="21"/>
          <w:b w:val="1"/>
          <w:bCs w:val="1"/>
          <w:color w:val="auto"/>
        </w:rPr>
        <w:t>How does a stockholder propose actions for consideration at next year’s annual meeting of stockholders?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For your proposal to be considered for inclusion in our proxy statement for next year’s annual meeting, we must receive your written proposal no later than July 5, 2017. Your proposal should be addressed to the Corporate Secretary, Oil-Dri Corporation of America, 410 North Michigan Avenue, Suite 400, Chicago, Illinois 60611-4213. In addition, be aware that your proposal must comply with SEC regulations regarding inclusion of stockholder proposals in company-sponsored proxy materials and other applicable laws. Although our Board of Directors will consider all proposals, it has the right to omit any proposals it is not required to include. For you to raise a proposal (including director nominations) at next year’s annual meeting that will not be included in our proxy statement, we must receive written notice of the proposal between July 5, 2017 and August 3, 2017 (assuming the meeting is held not more than 30 days from December 13, 2017). All such proposals should be addressed to the Corporate Secretary, Oil-Dri Corporation of America, 410 North Michigan Avenue, Suite 400, Chicago, Illinois 60611-4213. In addition, the proposal must satisfy all of the other requirements set forth in our Amended and Restated By-Laws and all applicable laws.</w:t>
      </w:r>
    </w:p>
    <w:p>
      <w:pPr>
        <w:spacing w:after="0" w:line="4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Can I elect to receive future proxy solicitations via mail or online?</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80" w:right="239" w:bottom="1440" w:gutter="0" w:footer="0" w:header="0"/>
        </w:sectPr>
      </w:pPr>
    </w:p>
    <w:bookmarkStart w:id="10" w:name="page11"/>
    <w:bookmarkEnd w:id="10"/>
    <w:p>
      <w:pPr>
        <w:ind w:left="660" w:hanging="65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more than one package of proxy materials?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74" w:lineRule="exact"/>
        <w:rPr>
          <w:sz w:val="20"/>
          <w:szCs w:val="20"/>
          <w:color w:val="auto"/>
        </w:rPr>
      </w:pPr>
    </w:p>
    <w:p>
      <w:pPr>
        <w:ind w:left="660" w:hanging="652"/>
        <w:spacing w:after="0" w:line="269" w:lineRule="auto"/>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Can I receive future proxy statements, annual reports and certain other stockholder information in a single package per household?</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may revoke your consent at any time by calling 866-540-7095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7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Who may solicit proxies?</w:t>
      </w:r>
    </w:p>
    <w:p>
      <w:pPr>
        <w:spacing w:after="0" w:line="118" w:lineRule="exact"/>
        <w:rPr>
          <w:sz w:val="20"/>
          <w:szCs w:val="20"/>
          <w:color w:val="auto"/>
        </w:rPr>
      </w:pPr>
    </w:p>
    <w:p>
      <w:pPr>
        <w:spacing w:after="0" w:line="337" w:lineRule="auto"/>
        <w:rPr>
          <w:sz w:val="20"/>
          <w:szCs w:val="20"/>
          <w:color w:val="auto"/>
        </w:rPr>
      </w:pPr>
      <w:r>
        <w:rPr>
          <w:rFonts w:ascii="Arial" w:cs="Arial" w:eastAsia="Arial" w:hAnsi="Arial"/>
          <w:sz w:val="19"/>
          <w:szCs w:val="19"/>
          <w:color w:val="auto"/>
        </w:rPr>
        <w:t>Our directors, officers and employees may solicit proxies on behalf of our Board of Directors via mail, telephone, facsimile, e-mail and personal contact. Our directors, officers and employees will receive no additional compensation for soliciting proxies.</w:t>
      </w:r>
    </w:p>
    <w:p>
      <w:pPr>
        <w:spacing w:after="0" w:line="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Who pays for the cost of this proxy solicitation?</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We will bear the cost of this proxy solicitation, including reimbursing banks, brokers and other nominees for reasonable expenses of sending out proxy materials to beneficial stockholders.</w:t>
      </w:r>
    </w:p>
    <w:p>
      <w:pPr>
        <w:spacing w:after="0" w:line="6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What if I have additional questions not addressed here?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You may call Investor Relations at (312) 321-1515, or e-mail Investor Relations at info@oildri.com.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PROPOSALS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 Election of Directors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proposes that the following nine individuals be elected to our Board of Directors. Each nominee currently serves as a director. In connection with the nominations of Richard M. Jaffee, J. Steven Cole, Joseph C. Miller and Allan H. Selig, our Board of Directors, as permitted under our Corporate Governance Guidelines, waived our age 75 service limit, as described under “Corporate Governance Matters – Director Nominations” below. If any nominee should be unable or unwilling to serve, which is not now contemplated, the proxy holders may, but will not be bound to, vote for a substitute nominee.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ELECTION OF THE FOLLOWING NOMINEES AS DIRECTORS.</w:t>
      </w:r>
    </w:p>
    <w:p>
      <w:pPr>
        <w:spacing w:after="0" w:line="350" w:lineRule="exact"/>
        <w:rPr>
          <w:sz w:val="20"/>
          <w:szCs w:val="20"/>
          <w:color w:val="auto"/>
        </w:rPr>
      </w:pPr>
    </w:p>
    <w:p>
      <w:pPr>
        <w:ind w:left="2340"/>
        <w:spacing w:after="0"/>
        <w:tabs>
          <w:tab w:leader="none" w:pos="6760" w:val="left"/>
          <w:tab w:leader="none" w:pos="9660" w:val="left"/>
        </w:tabs>
        <w:rPr>
          <w:sz w:val="20"/>
          <w:szCs w:val="20"/>
          <w:color w:val="auto"/>
        </w:rPr>
      </w:pPr>
      <w:r>
        <w:rPr>
          <w:rFonts w:ascii="Arial" w:cs="Arial" w:eastAsia="Arial" w:hAnsi="Arial"/>
          <w:sz w:val="22"/>
          <w:szCs w:val="22"/>
          <w:color w:val="auto"/>
        </w:rPr>
        <w:t>Richard M. Jaffee</w:t>
      </w:r>
      <w:r>
        <w:rPr>
          <w:sz w:val="20"/>
          <w:szCs w:val="20"/>
          <w:color w:val="auto"/>
        </w:rPr>
        <w:tab/>
      </w:r>
      <w:r>
        <w:rPr>
          <w:rFonts w:ascii="Arial" w:cs="Arial" w:eastAsia="Arial" w:hAnsi="Arial"/>
          <w:sz w:val="22"/>
          <w:szCs w:val="22"/>
          <w:color w:val="auto"/>
        </w:rPr>
        <w:t>Age 80</w:t>
      </w:r>
      <w:r>
        <w:rPr>
          <w:sz w:val="20"/>
          <w:szCs w:val="20"/>
          <w:color w:val="auto"/>
        </w:rPr>
        <w:tab/>
      </w:r>
      <w:r>
        <w:rPr>
          <w:rFonts w:ascii="Arial" w:cs="Arial" w:eastAsia="Arial" w:hAnsi="Arial"/>
          <w:sz w:val="19"/>
          <w:szCs w:val="19"/>
          <w:color w:val="auto"/>
        </w:rPr>
        <w:t>Director since 1958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-146685</wp:posOffset>
            </wp:positionV>
            <wp:extent cx="1029335" cy="1560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9335" cy="1560830"/>
                    </a:xfrm>
                    <a:prstGeom prst="rect">
                      <a:avLst/>
                    </a:prstGeom>
                    <a:noFill/>
                  </pic:spPr>
                </pic:pic>
              </a:graphicData>
            </a:graphic>
          </wp:anchor>
        </w:drawing>
      </w:r>
    </w:p>
    <w:p>
      <w:pPr>
        <w:spacing w:after="0" w:line="240" w:lineRule="exact"/>
        <w:rPr>
          <w:sz w:val="20"/>
          <w:szCs w:val="20"/>
          <w:color w:val="auto"/>
        </w:rPr>
      </w:pPr>
    </w:p>
    <w:p>
      <w:pPr>
        <w:ind w:left="2340"/>
        <w:spacing w:after="0"/>
        <w:rPr>
          <w:sz w:val="20"/>
          <w:szCs w:val="20"/>
          <w:color w:val="auto"/>
        </w:rPr>
      </w:pPr>
      <w:r>
        <w:rPr>
          <w:rFonts w:ascii="Arial" w:cs="Arial" w:eastAsia="Arial" w:hAnsi="Arial"/>
          <w:sz w:val="22"/>
          <w:szCs w:val="22"/>
          <w:i w:val="1"/>
          <w:iCs w:val="1"/>
          <w:color w:val="auto"/>
        </w:rPr>
        <w:t>Chairman of the Board of the Company</w:t>
      </w:r>
    </w:p>
    <w:p>
      <w:pPr>
        <w:spacing w:after="0" w:line="260" w:lineRule="exact"/>
        <w:rPr>
          <w:sz w:val="20"/>
          <w:szCs w:val="20"/>
          <w:color w:val="auto"/>
        </w:rPr>
      </w:pPr>
    </w:p>
    <w:p>
      <w:pPr>
        <w:jc w:val="both"/>
        <w:ind w:left="2340" w:right="20"/>
        <w:spacing w:after="0" w:line="279" w:lineRule="auto"/>
        <w:rPr>
          <w:sz w:val="20"/>
          <w:szCs w:val="20"/>
          <w:color w:val="auto"/>
        </w:rPr>
      </w:pPr>
      <w:r>
        <w:rPr>
          <w:rFonts w:ascii="Arial" w:cs="Arial" w:eastAsia="Arial" w:hAnsi="Arial"/>
          <w:sz w:val="19"/>
          <w:szCs w:val="19"/>
          <w:color w:val="auto"/>
        </w:rPr>
        <w:t>Mr. Jaffee received a degree from the University of Wisconsin School of Business in 1957. He received an honorary Doctor of Humane Letters degree from the Illinois Institute of Technology in 2001 and an honorary Doctor of Humane Letters degree from Rush University in 2013. He earned his CPA certificate from the State of Illinois in 1957 and worked briefly for the public accounting firm of Touche Niven, et al. After service as an officer in the United States Army, he joined the Company in 1958, becoming its president in 1960, a position he held until 1995. He served as Chief</w:t>
      </w:r>
    </w:p>
    <w:p>
      <w:pPr>
        <w:spacing w:after="0" w:line="205" w:lineRule="exact"/>
        <w:rPr>
          <w:sz w:val="20"/>
          <w:szCs w:val="20"/>
          <w:color w:val="auto"/>
        </w:rPr>
      </w:pPr>
    </w:p>
    <w:p>
      <w:pPr>
        <w:jc w:val="both"/>
        <w:ind w:left="40" w:right="20"/>
        <w:spacing w:after="0" w:line="273" w:lineRule="auto"/>
        <w:rPr>
          <w:sz w:val="20"/>
          <w:szCs w:val="20"/>
          <w:color w:val="auto"/>
        </w:rPr>
      </w:pPr>
      <w:r>
        <w:rPr>
          <w:rFonts w:ascii="Arial" w:cs="Arial" w:eastAsia="Arial" w:hAnsi="Arial"/>
          <w:sz w:val="19"/>
          <w:szCs w:val="19"/>
          <w:color w:val="auto"/>
        </w:rPr>
        <w:t>Executive Officer of the Company from 1962 until 1997. Mr. Jaffee retired as an employee of the Company in 2001. He has served as Chairman of the Board of the Company since 1962. Mr. Jaffee served as director of BMO Harris Bank N.A., a subsidiary of Bank of Montreal, until his retirement from that board in May 2006. BMO Harris Bank N.A. provides banking and related services to the Company on customary terms. From January 2008 to November 2013, Mr. Jaffee served as Chairman of the Board of Trustees of Rush University Medical Center and Chairman of its Executive Committee. He continues to serve on the Board of Trustees, the Executive Committee and other Rush board committees. He is a life trustee of the Illinois Institute of Technology, the Museum of Science and Industry and the Chicago History Museum. Mr. Jaffee has served on an SEC advisory committee on smaller public companies and on an advisory committee to the Chicago Federal Reserve. Mr. Jaffee is the father of Daniel S. Jaffee, who is a director and our President and Chief Executive Officer and who is also a nominee for director. Mr. Jaffee is also the father-in-law of Thomas F. Cofsky, one of our executive officers.</w:t>
      </w:r>
    </w:p>
    <w:p>
      <w:pPr>
        <w:spacing w:after="0" w:line="162" w:lineRule="exact"/>
        <w:rPr>
          <w:sz w:val="20"/>
          <w:szCs w:val="20"/>
          <w:color w:val="auto"/>
        </w:rPr>
      </w:pPr>
    </w:p>
    <w:p>
      <w:pPr>
        <w:jc w:val="both"/>
        <w:ind w:left="40" w:right="20"/>
        <w:spacing w:after="0" w:line="235" w:lineRule="auto"/>
        <w:rPr>
          <w:sz w:val="20"/>
          <w:szCs w:val="20"/>
          <w:color w:val="auto"/>
        </w:rPr>
      </w:pPr>
      <w:r>
        <w:rPr>
          <w:rFonts w:ascii="Arial" w:cs="Arial" w:eastAsia="Arial" w:hAnsi="Arial"/>
          <w:sz w:val="22"/>
          <w:szCs w:val="22"/>
          <w:color w:val="auto"/>
        </w:rPr>
        <w:t>Mr. Jaffee brings to our Board of Directors more than 50 years of experience with the Company. He therefore has significant knowledge of all aspects of the Company’s business and the sorbent minerals industry. Mr. Jaffee also has had extensive experience in compliance with securities law and regulations. He was Chief Executive Officer of the Company at the time of its initial public offering and until 1997. He has also served on advisory committees to the SEC and the Chicago Federal Reserve. In his current roles with the Board of Trustees of Rush University Medical Center, he continues to be involved in board governance and oversight.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4" w:right="239" w:bottom="1440" w:gutter="0" w:footer="0" w:header="0"/>
        </w:sectPr>
      </w:pPr>
    </w:p>
    <w:bookmarkStart w:id="12" w:name="page13"/>
    <w:bookmarkEnd w:id="12"/>
    <w:p>
      <w:pPr>
        <w:jc w:val="right"/>
        <w:spacing w:after="0"/>
        <w:tabs>
          <w:tab w:leader="none" w:pos="4600" w:val="left"/>
          <w:tab w:leader="none" w:pos="1700" w:val="left"/>
        </w:tabs>
        <w:rPr>
          <w:sz w:val="20"/>
          <w:szCs w:val="20"/>
          <w:color w:val="auto"/>
        </w:rPr>
      </w:pPr>
      <w:r>
        <w:rPr>
          <w:rFonts w:ascii="Arial" w:cs="Arial" w:eastAsia="Arial" w:hAnsi="Arial"/>
          <w:sz w:val="22"/>
          <w:szCs w:val="22"/>
          <w:color w:val="auto"/>
        </w:rPr>
        <w:t>Daniel S. Jaffee</w:t>
      </w:r>
      <w:r>
        <w:rPr>
          <w:sz w:val="20"/>
          <w:szCs w:val="20"/>
          <w:color w:val="auto"/>
        </w:rPr>
        <w:tab/>
      </w:r>
      <w:r>
        <w:rPr>
          <w:rFonts w:ascii="Arial" w:cs="Arial" w:eastAsia="Arial" w:hAnsi="Arial"/>
          <w:sz w:val="22"/>
          <w:szCs w:val="22"/>
          <w:color w:val="auto"/>
        </w:rPr>
        <w:t>Age 52</w:t>
      </w:r>
      <w:r>
        <w:rPr>
          <w:sz w:val="20"/>
          <w:szCs w:val="20"/>
          <w:color w:val="auto"/>
        </w:rPr>
        <w:tab/>
      </w:r>
      <w:r>
        <w:rPr>
          <w:rFonts w:ascii="Arial" w:cs="Arial" w:eastAsia="Arial" w:hAnsi="Arial"/>
          <w:sz w:val="19"/>
          <w:szCs w:val="19"/>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097915" cy="1543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1543685"/>
                    </a:xfrm>
                    <a:prstGeom prst="rect">
                      <a:avLst/>
                    </a:prstGeom>
                    <a:noFill/>
                  </pic:spPr>
                </pic:pic>
              </a:graphicData>
            </a:graphic>
          </wp:anchor>
        </w:drawing>
      </w:r>
    </w:p>
    <w:p>
      <w:pPr>
        <w:spacing w:after="0" w:line="240"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President and Chief Executive Officer of the Company</w:t>
      </w:r>
    </w:p>
    <w:p>
      <w:pPr>
        <w:spacing w:after="0" w:line="260" w:lineRule="exact"/>
        <w:rPr>
          <w:sz w:val="20"/>
          <w:szCs w:val="20"/>
          <w:color w:val="auto"/>
        </w:rPr>
      </w:pPr>
    </w:p>
    <w:p>
      <w:pPr>
        <w:jc w:val="both"/>
        <w:ind w:left="2300" w:right="20"/>
        <w:spacing w:after="0" w:line="279" w:lineRule="auto"/>
        <w:rPr>
          <w:sz w:val="20"/>
          <w:szCs w:val="20"/>
          <w:color w:val="auto"/>
        </w:rPr>
      </w:pPr>
      <w:r>
        <w:rPr>
          <w:rFonts w:ascii="Arial" w:cs="Arial" w:eastAsia="Arial" w:hAnsi="Arial"/>
          <w:sz w:val="19"/>
          <w:szCs w:val="19"/>
          <w:color w:val="auto"/>
        </w:rPr>
        <w:t>Mr. Jaffee graduated from Georgetown University in 1986. Mr. Jaffee joined the Company in 1987 after a year with PricewaterhouseCoopers LLP.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 consumer products. Mr. Jaffee became President of the Company in 1995 and Chief</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Executive Officer in 1997. He was Chief Operating Officer from 1995 to 1997. Mr. Jaffee received a Master of Business Administration from the Kellogg Graduate School of Management of Northwestern University in 2004. Mr. Jaffee’s civic activities include serving as a member of the Board of Directors of the Anti-Cruelty Society of Chicago and as a Trustee of the Chicago History Museum and involvement with Georgetown University. Mr. Jaffee is the son of Richard M. Jaffee, who is the Chairman of our Board of Directors and who is also a nominee for director. Mr. Jaffee is also the brother-in-law of Thomas F. Cofsky, one of our executive officers.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 generation family stockholder. In addition, he is actively involved in the local community in an advisory role for several not-for-profit organizations, adding to his perspective on effective management and strategy for the long-term success of the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4600" w:val="left"/>
          <w:tab w:leader="none" w:pos="1700" w:val="left"/>
        </w:tabs>
        <w:rPr>
          <w:sz w:val="20"/>
          <w:szCs w:val="20"/>
          <w:color w:val="auto"/>
        </w:rPr>
      </w:pPr>
      <w:r>
        <w:rPr>
          <w:rFonts w:ascii="Arial" w:cs="Arial" w:eastAsia="Arial" w:hAnsi="Arial"/>
          <w:sz w:val="22"/>
          <w:szCs w:val="22"/>
          <w:color w:val="auto"/>
        </w:rPr>
        <w:t>J. Steven Cole</w:t>
      </w:r>
      <w:r>
        <w:rPr>
          <w:sz w:val="20"/>
          <w:szCs w:val="20"/>
          <w:color w:val="auto"/>
        </w:rPr>
        <w:tab/>
      </w:r>
      <w:r>
        <w:rPr>
          <w:rFonts w:ascii="Arial" w:cs="Arial" w:eastAsia="Arial" w:hAnsi="Arial"/>
          <w:sz w:val="22"/>
          <w:szCs w:val="22"/>
          <w:color w:val="auto"/>
        </w:rPr>
        <w:t>Age 82</w:t>
      </w:r>
      <w:r>
        <w:rPr>
          <w:sz w:val="20"/>
          <w:szCs w:val="20"/>
          <w:color w:val="auto"/>
        </w:rPr>
        <w:tab/>
      </w:r>
      <w:r>
        <w:rPr>
          <w:rFonts w:ascii="Arial" w:cs="Arial" w:eastAsia="Arial" w:hAnsi="Arial"/>
          <w:sz w:val="19"/>
          <w:szCs w:val="19"/>
          <w:color w:val="auto"/>
        </w:rPr>
        <w:t>Director since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046480" cy="1543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6480" cy="1543685"/>
                    </a:xfrm>
                    <a:prstGeom prst="rect">
                      <a:avLst/>
                    </a:prstGeom>
                    <a:noFill/>
                  </pic:spPr>
                </pic:pic>
              </a:graphicData>
            </a:graphic>
          </wp:anchor>
        </w:drawing>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President, Cole &amp; Associates</w:t>
      </w:r>
    </w:p>
    <w:p>
      <w:pPr>
        <w:spacing w:after="0" w:line="220" w:lineRule="exact"/>
        <w:rPr>
          <w:sz w:val="20"/>
          <w:szCs w:val="20"/>
          <w:color w:val="auto"/>
        </w:rPr>
      </w:pPr>
    </w:p>
    <w:p>
      <w:pPr>
        <w:jc w:val="both"/>
        <w:ind w:left="2300" w:right="20"/>
        <w:spacing w:after="0" w:line="279" w:lineRule="auto"/>
        <w:rPr>
          <w:sz w:val="20"/>
          <w:szCs w:val="20"/>
          <w:color w:val="auto"/>
        </w:rPr>
      </w:pPr>
      <w:r>
        <w:rPr>
          <w:rFonts w:ascii="Arial" w:cs="Arial" w:eastAsia="Arial" w:hAnsi="Arial"/>
          <w:sz w:val="19"/>
          <w:szCs w:val="19"/>
          <w:color w:val="auto"/>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operations until 1990. In 1990, he joined SAV-A-LIFE Systems, Inc., a firm selling specialty products to the dental and medical professions, where he served as President until 1994 and then Chairman of the Board until 2000. In 1990, Mr. Cole also became president of Cole &amp; Associates, an international consulting firm. Mr. Cole is also a director of Aculux, Inc., IV Diagnostics, Inc. and Ocularis Inc.</w:t>
      </w:r>
    </w:p>
    <w:p>
      <w:pPr>
        <w:spacing w:after="0" w:line="185"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Mr. Cole’s individual qualifications include broad experience in international business and product development. Mr. Cole’s expertise includes past leadership of various divisions of multi-national corporations with direct responsibility for international operations. In addition, Mr. Cole has served in a corporate governance role at another public company and is an “audit committee financial expert” under SEC rules. He is an accomplished advisor to many companies and organizations, providing leadership in product development, general management and technical development and has contributed to efforts dedicated to reducing trade barriers to global businesses through his active involvement with trade associations.</w:t>
      </w:r>
    </w:p>
    <w:p>
      <w:pPr>
        <w:sectPr>
          <w:pgSz w:w="11900" w:h="16838" w:orient="portrait"/>
          <w:cols w:equalWidth="0" w:num="1">
            <w:col w:w="11360"/>
          </w:cols>
          <w:pgMar w:left="280" w:top="92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80" w:top="928" w:right="259" w:bottom="1440" w:gutter="0" w:footer="0" w:header="0"/>
          <w:type w:val="continuous"/>
        </w:sectPr>
      </w:pPr>
    </w:p>
    <w:bookmarkStart w:id="13" w:name="page14"/>
    <w:bookmarkEnd w:id="13"/>
    <w:p>
      <w:pPr>
        <w:jc w:val="right"/>
        <w:spacing w:after="0"/>
        <w:tabs>
          <w:tab w:leader="none" w:pos="4600" w:val="left"/>
          <w:tab w:leader="none" w:pos="1700" w:val="left"/>
        </w:tabs>
        <w:rPr>
          <w:sz w:val="20"/>
          <w:szCs w:val="20"/>
          <w:color w:val="auto"/>
        </w:rPr>
      </w:pPr>
      <w:r>
        <w:rPr>
          <w:rFonts w:ascii="Arial" w:cs="Arial" w:eastAsia="Arial" w:hAnsi="Arial"/>
          <w:sz w:val="22"/>
          <w:szCs w:val="22"/>
          <w:color w:val="auto"/>
        </w:rPr>
        <w:t>Joseph C. Miller</w:t>
      </w:r>
      <w:r>
        <w:rPr>
          <w:sz w:val="20"/>
          <w:szCs w:val="20"/>
          <w:color w:val="auto"/>
        </w:rPr>
        <w:tab/>
      </w:r>
      <w:r>
        <w:rPr>
          <w:rFonts w:ascii="Arial" w:cs="Arial" w:eastAsia="Arial" w:hAnsi="Arial"/>
          <w:sz w:val="22"/>
          <w:szCs w:val="22"/>
          <w:color w:val="auto"/>
        </w:rPr>
        <w:t>Age 74</w:t>
      </w:r>
      <w:r>
        <w:rPr>
          <w:sz w:val="20"/>
          <w:szCs w:val="20"/>
          <w:color w:val="auto"/>
        </w:rPr>
        <w:tab/>
      </w:r>
      <w:r>
        <w:rPr>
          <w:rFonts w:ascii="Arial" w:cs="Arial" w:eastAsia="Arial" w:hAnsi="Arial"/>
          <w:sz w:val="19"/>
          <w:szCs w:val="19"/>
          <w:color w:val="auto"/>
        </w:rPr>
        <w:t>Director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080770" cy="1551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1551940"/>
                    </a:xfrm>
                    <a:prstGeom prst="rect">
                      <a:avLst/>
                    </a:prstGeom>
                    <a:noFill/>
                  </pic:spPr>
                </pic:pic>
              </a:graphicData>
            </a:graphic>
          </wp:anchor>
        </w:drawing>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Vice Chairman of the Board of the Company</w:t>
      </w:r>
    </w:p>
    <w:p>
      <w:pPr>
        <w:spacing w:after="0" w:line="166"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Independent Consultant</w:t>
      </w:r>
    </w:p>
    <w:p>
      <w:pPr>
        <w:spacing w:after="0" w:line="260" w:lineRule="exact"/>
        <w:rPr>
          <w:sz w:val="20"/>
          <w:szCs w:val="20"/>
          <w:color w:val="auto"/>
        </w:rPr>
      </w:pPr>
    </w:p>
    <w:p>
      <w:pPr>
        <w:jc w:val="both"/>
        <w:ind w:left="2300"/>
        <w:spacing w:after="0" w:line="236" w:lineRule="auto"/>
        <w:rPr>
          <w:sz w:val="20"/>
          <w:szCs w:val="20"/>
          <w:color w:val="auto"/>
        </w:rPr>
      </w:pPr>
      <w:r>
        <w:rPr>
          <w:rFonts w:ascii="Arial" w:cs="Arial" w:eastAsia="Arial" w:hAnsi="Arial"/>
          <w:sz w:val="22"/>
          <w:szCs w:val="22"/>
          <w:color w:val="auto"/>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w:t>
      </w:r>
    </w:p>
    <w:p>
      <w:pPr>
        <w:spacing w:after="0" w:line="2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for Sales, Marketing and Distribution from 1990 to 1993. Mr. Miller was Senior Vice President for the Consumer, Industrial &amp; Environmental and Transportation Groups of the Company from 1993 to 1995. He became Vice Chairman of the Board in 1995. Mr. Miller was an employee of the Company until 2000, when he became an independent consultant specializing in strategic planning for other companies. Mr. Miller is a member of the board of advisors of Kamterter Products, L. L. C.</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Mr. Miller’s individual qualifications include his leadership experience as chief executive and chief operating officer of several corporations, including prior sorbent minerals industry experience. In addition, he brings to the Board skills gained through his 11 years of employment with the Company in various operational, management and executive positions. He also serves on the advisory boards of several other companies and offers additional perspective gained through his experience as a strategic planning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tabs>
          <w:tab w:leader="none" w:pos="4600" w:val="left"/>
          <w:tab w:leader="none" w:pos="1700" w:val="left"/>
        </w:tabs>
        <w:rPr>
          <w:sz w:val="20"/>
          <w:szCs w:val="20"/>
          <w:color w:val="auto"/>
        </w:rPr>
      </w:pPr>
      <w:r>
        <w:rPr>
          <w:rFonts w:ascii="Arial" w:cs="Arial" w:eastAsia="Arial" w:hAnsi="Arial"/>
          <w:sz w:val="22"/>
          <w:szCs w:val="22"/>
          <w:color w:val="auto"/>
        </w:rPr>
        <w:t>Michael A. Nemeroff</w:t>
      </w:r>
      <w:r>
        <w:rPr>
          <w:sz w:val="20"/>
          <w:szCs w:val="20"/>
          <w:color w:val="auto"/>
        </w:rPr>
        <w:tab/>
      </w:r>
      <w:r>
        <w:rPr>
          <w:rFonts w:ascii="Arial" w:cs="Arial" w:eastAsia="Arial" w:hAnsi="Arial"/>
          <w:sz w:val="22"/>
          <w:szCs w:val="22"/>
          <w:color w:val="auto"/>
        </w:rPr>
        <w:t>Age 53</w:t>
      </w:r>
      <w:r>
        <w:rPr>
          <w:sz w:val="20"/>
          <w:szCs w:val="20"/>
          <w:color w:val="auto"/>
        </w:rPr>
        <w:tab/>
      </w:r>
      <w:r>
        <w:rPr>
          <w:rFonts w:ascii="Arial" w:cs="Arial" w:eastAsia="Arial" w:hAnsi="Arial"/>
          <w:sz w:val="19"/>
          <w:szCs w:val="19"/>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-146050</wp:posOffset>
            </wp:positionV>
            <wp:extent cx="1054735" cy="1543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4735" cy="1543685"/>
                    </a:xfrm>
                    <a:prstGeom prst="rect">
                      <a:avLst/>
                    </a:prstGeom>
                    <a:noFill/>
                  </pic:spPr>
                </pic:pic>
              </a:graphicData>
            </a:graphic>
          </wp:anchor>
        </w:drawing>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President and Chief Executive Officer, Vedder Price P.C.</w:t>
      </w:r>
    </w:p>
    <w:p>
      <w:pPr>
        <w:spacing w:after="0" w:line="220" w:lineRule="exact"/>
        <w:rPr>
          <w:sz w:val="20"/>
          <w:szCs w:val="20"/>
          <w:color w:val="auto"/>
        </w:rPr>
      </w:pPr>
    </w:p>
    <w:p>
      <w:pPr>
        <w:jc w:val="both"/>
        <w:ind w:left="2300"/>
        <w:spacing w:after="0" w:line="273" w:lineRule="auto"/>
        <w:rPr>
          <w:sz w:val="20"/>
          <w:szCs w:val="20"/>
          <w:color w:val="auto"/>
        </w:rPr>
      </w:pPr>
      <w:r>
        <w:rPr>
          <w:rFonts w:ascii="Arial" w:cs="Arial" w:eastAsia="Arial" w:hAnsi="Arial"/>
          <w:sz w:val="19"/>
          <w:szCs w:val="19"/>
          <w:color w:val="auto"/>
        </w:rPr>
        <w:t>Mr. Nemeroff received a bachelor’s degree from the State University of New York at Binghamton in 1985 and earned a Juris Doctorate degree from George Washington University in 1988. He joined the law firm of Vedder Price P.C. (“Vedder Price”) in 1988 and has been the Chairman of the firm’s Finance</w:t>
      </w:r>
    </w:p>
    <w:p>
      <w:pPr>
        <w:spacing w:after="0" w:line="2" w:lineRule="exact"/>
        <w:rPr>
          <w:sz w:val="20"/>
          <w:szCs w:val="20"/>
          <w:color w:val="auto"/>
        </w:rPr>
      </w:pPr>
    </w:p>
    <w:p>
      <w:pPr>
        <w:jc w:val="both"/>
        <w:ind w:left="2300" w:hanging="9"/>
        <w:spacing w:after="0" w:line="249" w:lineRule="auto"/>
        <w:tabs>
          <w:tab w:leader="none" w:pos="255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Transaction Group and an equity shareholder since 1995. Since 1998, he has served on the firm’s Board of Directors. Since 2005, Mr. Nemeroff has served as President and Chief Executive Officer of Vedder Price and a member of the Executive Committee of the firm’s Board</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of Directors. Vedder Price regularly provides services to the Company. Mr. Nemeroff serves as a legal advisor to the G100, an elite international organization of leading chief executive officers from Fortune 500 publicly traded corporations. He also serves as a member of the Executive Committee and Board of Directors of the Chicago Children’s Choir, a not-for-profit organization making a difference in the lives of children through musical excellence, and as a Trustee of the Chicago History Museum.</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928" w:right="259" w:bottom="1440" w:gutter="0" w:footer="0" w:header="0"/>
        </w:sectPr>
      </w:pPr>
    </w:p>
    <w:bookmarkStart w:id="14" w:name="page15"/>
    <w:bookmarkEnd w:id="14"/>
    <w:p>
      <w:pPr>
        <w:jc w:val="right"/>
        <w:spacing w:after="0"/>
        <w:tabs>
          <w:tab w:leader="none" w:pos="4600" w:val="left"/>
          <w:tab w:leader="none" w:pos="1700" w:val="left"/>
        </w:tabs>
        <w:rPr>
          <w:sz w:val="20"/>
          <w:szCs w:val="20"/>
          <w:color w:val="auto"/>
        </w:rPr>
      </w:pPr>
      <w:r>
        <w:rPr>
          <w:rFonts w:ascii="Arial" w:cs="Arial" w:eastAsia="Arial" w:hAnsi="Arial"/>
          <w:sz w:val="22"/>
          <w:szCs w:val="22"/>
          <w:color w:val="auto"/>
        </w:rPr>
        <w:t>George C. Roeth</w:t>
      </w:r>
      <w:r>
        <w:rPr>
          <w:sz w:val="20"/>
          <w:szCs w:val="20"/>
          <w:color w:val="auto"/>
        </w:rPr>
        <w:tab/>
      </w:r>
      <w:r>
        <w:rPr>
          <w:rFonts w:ascii="Arial" w:cs="Arial" w:eastAsia="Arial" w:hAnsi="Arial"/>
          <w:sz w:val="22"/>
          <w:szCs w:val="22"/>
          <w:color w:val="auto"/>
        </w:rPr>
        <w:t>Age 55</w:t>
      </w:r>
      <w:r>
        <w:rPr>
          <w:sz w:val="20"/>
          <w:szCs w:val="20"/>
          <w:color w:val="auto"/>
        </w:rPr>
        <w:tab/>
      </w:r>
      <w:r>
        <w:rPr>
          <w:rFonts w:ascii="Arial" w:cs="Arial" w:eastAsia="Arial" w:hAnsi="Arial"/>
          <w:sz w:val="19"/>
          <w:szCs w:val="19"/>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029335" cy="1543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1543685"/>
                    </a:xfrm>
                    <a:prstGeom prst="rect">
                      <a:avLst/>
                    </a:prstGeom>
                    <a:noFill/>
                  </pic:spPr>
                </pic:pic>
              </a:graphicData>
            </a:graphic>
          </wp:anchor>
        </w:drawing>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President and Chief Executive Officer, Central Garden &amp; Pet Company</w:t>
      </w:r>
    </w:p>
    <w:p>
      <w:pPr>
        <w:spacing w:after="0" w:line="260" w:lineRule="exact"/>
        <w:rPr>
          <w:sz w:val="20"/>
          <w:szCs w:val="20"/>
          <w:color w:val="auto"/>
        </w:rPr>
      </w:pPr>
    </w:p>
    <w:p>
      <w:pPr>
        <w:jc w:val="both"/>
        <w:ind w:left="2300"/>
        <w:spacing w:after="0" w:line="276" w:lineRule="auto"/>
        <w:rPr>
          <w:sz w:val="20"/>
          <w:szCs w:val="20"/>
          <w:color w:val="auto"/>
        </w:rPr>
      </w:pPr>
      <w:r>
        <w:rPr>
          <w:rFonts w:ascii="Arial" w:cs="Arial" w:eastAsia="Arial" w:hAnsi="Arial"/>
          <w:sz w:val="19"/>
          <w:szCs w:val="19"/>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 and General Manager, during which time he was</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also Chairman of the Board for the Clorox and Procter &amp; Gamble Glad Products Joint Venture. Prior to that, Mr. Roeth served in several senior-level marketing and operations roles at Clorox, including Vice President and General Manager, Vice President of Growth and Marketing, and Vice President of Brand Development, among others. Following his retirement from Clorox in 2014, he served on the Gryphon Investors Executive Advisory Board, advising on investments in the consumer packaged goods business until 2016. In 2015, Mr. Roeth joined the Board of Directors of Central Garden &amp; Pet Company and was named President and Chief Executive Officer of that company in 2016. He also currently serves on the board of the East Oakland Youth Development Foundation.</w:t>
      </w:r>
    </w:p>
    <w:p>
      <w:pPr>
        <w:spacing w:after="0" w:line="191"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He also brings to the Board his extensive experience in, and his comprehensive understanding of, the consumer products industry.</w:t>
      </w:r>
    </w:p>
    <w:p>
      <w:pPr>
        <w:spacing w:after="0" w:line="158" w:lineRule="exact"/>
        <w:rPr>
          <w:sz w:val="20"/>
          <w:szCs w:val="20"/>
          <w:color w:val="auto"/>
        </w:rPr>
      </w:pPr>
    </w:p>
    <w:p>
      <w:pPr>
        <w:jc w:val="right"/>
        <w:spacing w:after="0"/>
        <w:tabs>
          <w:tab w:leader="none" w:pos="4600" w:val="left"/>
          <w:tab w:leader="none" w:pos="1700" w:val="left"/>
        </w:tabs>
        <w:rPr>
          <w:sz w:val="20"/>
          <w:szCs w:val="20"/>
          <w:color w:val="auto"/>
        </w:rPr>
      </w:pPr>
      <w:r>
        <w:rPr>
          <w:rFonts w:ascii="Arial" w:cs="Arial" w:eastAsia="Arial" w:hAnsi="Arial"/>
          <w:sz w:val="22"/>
          <w:szCs w:val="22"/>
          <w:color w:val="auto"/>
        </w:rPr>
        <w:t>Allan H. Selig</w:t>
      </w:r>
      <w:r>
        <w:rPr>
          <w:sz w:val="20"/>
          <w:szCs w:val="20"/>
          <w:color w:val="auto"/>
        </w:rPr>
        <w:tab/>
      </w:r>
      <w:r>
        <w:rPr>
          <w:rFonts w:ascii="Arial" w:cs="Arial" w:eastAsia="Arial" w:hAnsi="Arial"/>
          <w:sz w:val="22"/>
          <w:szCs w:val="22"/>
          <w:color w:val="auto"/>
        </w:rPr>
        <w:t>Age 82</w:t>
      </w:r>
      <w:r>
        <w:rPr>
          <w:sz w:val="20"/>
          <w:szCs w:val="20"/>
          <w:color w:val="auto"/>
        </w:rPr>
        <w:tab/>
      </w:r>
      <w:r>
        <w:rPr>
          <w:rFonts w:ascii="Arial" w:cs="Arial" w:eastAsia="Arial" w:hAnsi="Arial"/>
          <w:sz w:val="19"/>
          <w:szCs w:val="19"/>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046480" cy="1517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46480" cy="1517650"/>
                    </a:xfrm>
                    <a:prstGeom prst="rect">
                      <a:avLst/>
                    </a:prstGeom>
                    <a:noFill/>
                  </pic:spPr>
                </pic:pic>
              </a:graphicData>
            </a:graphic>
          </wp:anchor>
        </w:drawing>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Commissioner Emeritus of Major League Baseball</w:t>
      </w:r>
    </w:p>
    <w:p>
      <w:pPr>
        <w:spacing w:after="0" w:line="166"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President and Chairman of the Board, Selig Leasing Company Inc.</w:t>
      </w:r>
    </w:p>
    <w:p>
      <w:pPr>
        <w:spacing w:after="0" w:line="220" w:lineRule="exact"/>
        <w:rPr>
          <w:sz w:val="20"/>
          <w:szCs w:val="20"/>
          <w:color w:val="auto"/>
        </w:rPr>
      </w:pPr>
    </w:p>
    <w:p>
      <w:pPr>
        <w:jc w:val="both"/>
        <w:ind w:left="2300"/>
        <w:spacing w:after="0" w:line="236" w:lineRule="auto"/>
        <w:rPr>
          <w:sz w:val="20"/>
          <w:szCs w:val="20"/>
          <w:color w:val="auto"/>
        </w:rPr>
      </w:pPr>
      <w:r>
        <w:rPr>
          <w:rFonts w:ascii="Arial" w:cs="Arial" w:eastAsia="Arial" w:hAnsi="Arial"/>
          <w:sz w:val="22"/>
          <w:szCs w:val="22"/>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Lease Company. He became President and Chief Executive Officer of the</w:t>
      </w:r>
    </w:p>
    <w:p>
      <w:pPr>
        <w:spacing w:after="0" w:line="26"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auto"/>
        </w:rPr>
        <w:t>Milwaukee Brewers Baseball Club, Inc. in 1970 and served in that capacity until 1998, when he was elected to the position of Commissioner of Major League Baseball. He also served as Chairman of the Executive Council of Major League Baseball from 1992 to 1998. He now holds the position of Commissioner Emeritus of Major League Baseball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Commissioner Emeritus Selig’s individual qualifications include sound judgment, integrity and business management skills gained through his management of several businesses, including his long tenure as Commissioner of Major League Baseball and as chief executive of the Milwaukee Brewers Baseball Club and his family’s automobile businesses. His unique ability to manage by consensus brought change and growth in baseball despite economic and political challenges both inside and outside of baseball. In addition, he is a community leader and an active adviser to several philanthropic organizations.</w:t>
      </w:r>
    </w:p>
    <w:p>
      <w:pPr>
        <w:sectPr>
          <w:pgSz w:w="11900" w:h="16838" w:orient="portrait"/>
          <w:cols w:equalWidth="0" w:num="1">
            <w:col w:w="11360"/>
          </w:cols>
          <w:pgMar w:left="280" w:top="92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80" w:top="928" w:right="259" w:bottom="1440" w:gutter="0" w:footer="0" w:header="0"/>
          <w:type w:val="continuous"/>
        </w:sectPr>
      </w:pPr>
    </w:p>
    <w:bookmarkStart w:id="15" w:name="page16"/>
    <w:bookmarkEnd w:id="15"/>
    <w:p>
      <w:pPr>
        <w:jc w:val="right"/>
        <w:spacing w:after="0"/>
        <w:tabs>
          <w:tab w:leader="none" w:pos="4600" w:val="left"/>
          <w:tab w:leader="none" w:pos="1700" w:val="left"/>
        </w:tabs>
        <w:rPr>
          <w:sz w:val="20"/>
          <w:szCs w:val="20"/>
          <w:color w:val="auto"/>
        </w:rPr>
      </w:pPr>
      <w:r>
        <w:rPr>
          <w:rFonts w:ascii="Arial" w:cs="Arial" w:eastAsia="Arial" w:hAnsi="Arial"/>
          <w:sz w:val="22"/>
          <w:szCs w:val="22"/>
          <w:color w:val="auto"/>
        </w:rPr>
        <w:t>Paul E. Suckow</w:t>
      </w:r>
      <w:r>
        <w:rPr>
          <w:sz w:val="20"/>
          <w:szCs w:val="20"/>
          <w:color w:val="auto"/>
        </w:rPr>
        <w:tab/>
      </w:r>
      <w:r>
        <w:rPr>
          <w:rFonts w:ascii="Arial" w:cs="Arial" w:eastAsia="Arial" w:hAnsi="Arial"/>
          <w:sz w:val="22"/>
          <w:szCs w:val="22"/>
          <w:color w:val="auto"/>
        </w:rPr>
        <w:t>Age 69</w:t>
      </w:r>
      <w:r>
        <w:rPr>
          <w:sz w:val="20"/>
          <w:szCs w:val="20"/>
          <w:color w:val="auto"/>
        </w:rPr>
        <w:tab/>
      </w:r>
      <w:r>
        <w:rPr>
          <w:rFonts w:ascii="Arial" w:cs="Arial" w:eastAsia="Arial" w:hAnsi="Arial"/>
          <w:sz w:val="19"/>
          <w:szCs w:val="19"/>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037590" cy="1526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37590" cy="1526540"/>
                    </a:xfrm>
                    <a:prstGeom prst="rect">
                      <a:avLst/>
                    </a:prstGeom>
                    <a:noFill/>
                  </pic:spPr>
                </pic:pic>
              </a:graphicData>
            </a:graphic>
          </wp:anchor>
        </w:drawing>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Business Fellow and Adjunct Professor,</w:t>
      </w:r>
    </w:p>
    <w:p>
      <w:pPr>
        <w:spacing w:after="0" w:line="166"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Finance and Economics, Villanova University</w:t>
      </w:r>
    </w:p>
    <w:p>
      <w:pPr>
        <w:spacing w:after="0" w:line="220" w:lineRule="exact"/>
        <w:rPr>
          <w:sz w:val="20"/>
          <w:szCs w:val="20"/>
          <w:color w:val="auto"/>
        </w:rPr>
      </w:pPr>
    </w:p>
    <w:p>
      <w:pPr>
        <w:jc w:val="both"/>
        <w:ind w:left="2300"/>
        <w:spacing w:after="0" w:line="236" w:lineRule="auto"/>
        <w:rPr>
          <w:sz w:val="20"/>
          <w:szCs w:val="20"/>
          <w:color w:val="auto"/>
        </w:rPr>
      </w:pPr>
      <w:r>
        <w:rPr>
          <w:rFonts w:ascii="Arial" w:cs="Arial" w:eastAsia="Arial" w:hAnsi="Arial"/>
          <w:sz w:val="22"/>
          <w:szCs w:val="22"/>
          <w:color w:val="auto"/>
        </w:rPr>
        <w:t>Mr. Suckow received a Bachelor of Science degree in economics from Bradley University in 1969 and earned a Master of Business Administration with a concentration in finance from Western Illinois University in 1973. He began his career in finance in 1973 with American National Insurance Company as a securities analyst. In 1975, he became a trust investment officer with First Hutchings-Sealy National</w:t>
      </w:r>
    </w:p>
    <w:p>
      <w:pPr>
        <w:spacing w:after="0" w:line="2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Bank. From 1978 to 1981, he was Vice President, Investments, for Sun Insurance Services and from 1981 to 1985, Vice President and Portfolio Manager for Delaware Investment Advisers.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p>
      <w:pPr>
        <w:spacing w:after="0" w:line="178"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4600" w:val="left"/>
          <w:tab w:leader="none" w:pos="1700" w:val="left"/>
        </w:tabs>
        <w:rPr>
          <w:sz w:val="20"/>
          <w:szCs w:val="20"/>
          <w:color w:val="auto"/>
        </w:rPr>
      </w:pPr>
      <w:r>
        <w:rPr>
          <w:rFonts w:ascii="Arial" w:cs="Arial" w:eastAsia="Arial" w:hAnsi="Arial"/>
          <w:sz w:val="22"/>
          <w:szCs w:val="22"/>
          <w:color w:val="auto"/>
        </w:rPr>
        <w:t>Lawrence E. Washow</w:t>
      </w:r>
      <w:r>
        <w:rPr>
          <w:sz w:val="20"/>
          <w:szCs w:val="20"/>
          <w:color w:val="auto"/>
        </w:rPr>
        <w:tab/>
      </w:r>
      <w:r>
        <w:rPr>
          <w:rFonts w:ascii="Arial" w:cs="Arial" w:eastAsia="Arial" w:hAnsi="Arial"/>
          <w:sz w:val="22"/>
          <w:szCs w:val="22"/>
          <w:color w:val="auto"/>
        </w:rPr>
        <w:t>Age 63</w:t>
      </w:r>
      <w:r>
        <w:rPr>
          <w:sz w:val="20"/>
          <w:szCs w:val="20"/>
          <w:color w:val="auto"/>
        </w:rPr>
        <w:tab/>
      </w:r>
      <w:r>
        <w:rPr>
          <w:rFonts w:ascii="Arial" w:cs="Arial" w:eastAsia="Arial" w:hAnsi="Arial"/>
          <w:sz w:val="19"/>
          <w:szCs w:val="19"/>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003300" cy="151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1517650"/>
                    </a:xfrm>
                    <a:prstGeom prst="rect">
                      <a:avLst/>
                    </a:prstGeom>
                    <a:noFill/>
                  </pic:spPr>
                </pic:pic>
              </a:graphicData>
            </a:graphic>
          </wp:anchor>
        </w:drawing>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Chairman, First Bauxite Corporation</w:t>
      </w:r>
    </w:p>
    <w:p>
      <w:pPr>
        <w:spacing w:after="0" w:line="166"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Board Member and Partner of Eudora Global, LLC</w:t>
      </w:r>
    </w:p>
    <w:p>
      <w:pPr>
        <w:spacing w:after="0" w:line="220" w:lineRule="exact"/>
        <w:rPr>
          <w:sz w:val="20"/>
          <w:szCs w:val="20"/>
          <w:color w:val="auto"/>
        </w:rPr>
      </w:pPr>
    </w:p>
    <w:p>
      <w:pPr>
        <w:jc w:val="both"/>
        <w:ind w:left="2300"/>
        <w:spacing w:after="0" w:line="236" w:lineRule="auto"/>
        <w:rPr>
          <w:sz w:val="20"/>
          <w:szCs w:val="20"/>
          <w:color w:val="auto"/>
        </w:rPr>
      </w:pPr>
      <w:r>
        <w:rPr>
          <w:rFonts w:ascii="Arial" w:cs="Arial" w:eastAsia="Arial" w:hAnsi="Arial"/>
          <w:sz w:val="22"/>
          <w:szCs w:val="22"/>
          <w:color w:val="auto"/>
        </w:rPr>
        <w:t>Mr. Washow received a bachelor’s degree from Miami University in Oxford, Ohio in 1975 and earned a Master of Business Administration from the Kellogg Graduate School of Management of Northwestern University in 1981. Mr. Washow began his career at American Colloid Company (which subsequently became a subsidiary of AMCOL International Corporation, which is now Mineral Technologies Inc.) in the</w:t>
      </w:r>
    </w:p>
    <w:p>
      <w:pPr>
        <w:spacing w:after="0" w:line="2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Personnel Department in 1978 and was thereafter promoted to Industrial Relations Manager. In 1986, he was picked to build and lead Chemdal International, a stand-alone subsidiary of AMCOL International Corporation. Mr. Washow became Chief Operating Officer of AMCOL International Corporation in 1998 and President and Chief Executive Officer of AMCOL International Corporation in 2000 and served in these positions and as a director of AMCOL International Corporation until 2010. In 2011, Mr. Washow became a board member, and now serves as Chairman, of First Bauxite Corporation. He also serves as a board member and partner of Eudora Global, LLC and is a member of the Advisory Board of S&amp;B Minerals.</w:t>
      </w:r>
    </w:p>
    <w:p>
      <w:pPr>
        <w:spacing w:after="0" w:line="204"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Mr. Washow’s individual qualifications include his extensive global experience in minerals, mining, manufacturing and distribution. In addition, Mr. Washow is an “audit committee financial expert” within the meaning of SEC rules and brings to the Board his strong business acumen and broad experience in management, operations, public company governance and compliance obtained through the leadership positions, including president, chief executive officer and board member that he has held with public corporations.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928"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2. Ratification of Appointment of Independent Auditor</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Audit Committee of the Board of Directors appointed Grant Thornton as the Company’s independent auditor for fiscal 2017 at its meeting on October 4, 2016, and has further directed that we submit the appointment of the independent auditor for ratification by the stockholders at the 2016 Annual Meeting. Grant Thornton audited the Company’s consolidated financial statements for the fiscal year ended July 31, 2016. A representative of Grant Thornton is expected to be present at the 2016 Annual Meeting and will have an opportunity to make a statement if he or she so desires and will be available to respond to appropriate questions.</w:t>
      </w:r>
    </w:p>
    <w:p>
      <w:pPr>
        <w:spacing w:after="0" w:line="15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Stockholder ratification of the appointment of Grant Thornton as the Company’s independent auditor is not required by the Company’s Amended and Restated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RATIFICATION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OF GRANT THORNTON LLP AS INDEPENDENT AUDITOR.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 Fees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shows the aggregate fees for professional services rendered by Grant Thornton for the audit of the Company’s annual financial statements for the years ended July 31, 2016 (“fiscal 2016”) and 2015 (“fiscal 2015”), and fees billed during those periods for other services rendered by Grant Thornton.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b w:val="1"/>
                <w:bCs w:val="1"/>
                <w:color w:val="auto"/>
              </w:rPr>
              <w:t>Type of Fees</w:t>
            </w:r>
          </w:p>
        </w:tc>
        <w:tc>
          <w:tcPr>
            <w:tcW w:w="15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22"/>
                <w:szCs w:val="22"/>
                <w:b w:val="1"/>
                <w:bCs w:val="1"/>
                <w:color w:val="auto"/>
                <w:shd w:val="clear" w:color="auto" w:fill="CCEEFF"/>
              </w:rPr>
              <w:t>2016</w:t>
            </w:r>
          </w:p>
        </w:tc>
        <w:tc>
          <w:tcPr>
            <w:tcW w:w="12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22"/>
                <w:szCs w:val="22"/>
                <w:b w:val="1"/>
                <w:bCs w:val="1"/>
                <w:color w:val="auto"/>
                <w:shd w:val="clear" w:color="auto" w:fill="CCEEFF"/>
              </w:rPr>
              <w:t>2015</w:t>
            </w:r>
          </w:p>
        </w:tc>
      </w:tr>
      <w:tr>
        <w:trPr>
          <w:trHeight w:val="282"/>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Audit fees (1)</w:t>
            </w:r>
          </w:p>
        </w:tc>
        <w:tc>
          <w:tcPr>
            <w:tcW w:w="124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$500,253</w:t>
            </w:r>
          </w:p>
        </w:tc>
        <w:tc>
          <w:tcPr>
            <w:tcW w:w="126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$496,653</w:t>
            </w:r>
          </w:p>
        </w:tc>
      </w:tr>
      <w:tr>
        <w:trPr>
          <w:trHeight w:val="306"/>
        </w:trPr>
        <w:tc>
          <w:tcPr>
            <w:tcW w:w="69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Audit-related fees</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w:t>
            </w:r>
          </w:p>
        </w:tc>
        <w:tc>
          <w:tcPr>
            <w:tcW w:w="1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w:t>
            </w:r>
          </w:p>
        </w:tc>
      </w:tr>
      <w:tr>
        <w:trPr>
          <w:trHeight w:val="289"/>
        </w:trPr>
        <w:tc>
          <w:tcPr>
            <w:tcW w:w="6940" w:type="dxa"/>
            <w:vAlign w:val="bottom"/>
            <w:gridSpan w:val="2"/>
          </w:tcPr>
          <w:p>
            <w:pPr>
              <w:ind w:left="40"/>
              <w:spacing w:after="0"/>
              <w:rPr>
                <w:sz w:val="20"/>
                <w:szCs w:val="20"/>
                <w:color w:val="auto"/>
              </w:rPr>
            </w:pPr>
            <w:r>
              <w:rPr>
                <w:rFonts w:ascii="Arial" w:cs="Arial" w:eastAsia="Arial" w:hAnsi="Arial"/>
                <w:sz w:val="22"/>
                <w:szCs w:val="22"/>
                <w:color w:val="auto"/>
              </w:rPr>
              <w:t>Tax fees (2)</w:t>
            </w:r>
          </w:p>
        </w:tc>
        <w:tc>
          <w:tcPr>
            <w:tcW w:w="1580" w:type="dxa"/>
            <w:vAlign w:val="bottom"/>
          </w:tcPr>
          <w:p>
            <w:pPr>
              <w:jc w:val="right"/>
              <w:spacing w:after="0"/>
              <w:rPr>
                <w:sz w:val="20"/>
                <w:szCs w:val="20"/>
                <w:color w:val="auto"/>
              </w:rPr>
            </w:pPr>
            <w:r>
              <w:rPr>
                <w:rFonts w:ascii="Arial" w:cs="Arial" w:eastAsia="Arial" w:hAnsi="Arial"/>
                <w:sz w:val="22"/>
                <w:szCs w:val="22"/>
                <w:color w:val="auto"/>
              </w:rPr>
              <w:t>$269,114</w:t>
            </w:r>
          </w:p>
        </w:tc>
        <w:tc>
          <w:tcPr>
            <w:tcW w:w="1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$189,203</w:t>
            </w:r>
          </w:p>
        </w:tc>
      </w:tr>
      <w:tr>
        <w:trPr>
          <w:trHeight w:val="299"/>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All other fees</w:t>
            </w:r>
          </w:p>
        </w:tc>
        <w:tc>
          <w:tcPr>
            <w:tcW w:w="124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w:t>
            </w:r>
          </w:p>
        </w:tc>
        <w:tc>
          <w:tcPr>
            <w:tcW w:w="126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w:t>
            </w:r>
          </w:p>
        </w:tc>
      </w:tr>
      <w:tr>
        <w:trPr>
          <w:trHeight w:val="280"/>
        </w:trPr>
        <w:tc>
          <w:tcPr>
            <w:tcW w:w="6940" w:type="dxa"/>
            <w:vAlign w:val="bottom"/>
            <w:gridSpan w:val="2"/>
          </w:tcPr>
          <w:p>
            <w:pPr>
              <w:ind w:left="40"/>
              <w:spacing w:after="0"/>
              <w:rPr>
                <w:sz w:val="20"/>
                <w:szCs w:val="20"/>
                <w:color w:val="auto"/>
              </w:rPr>
            </w:pPr>
            <w:r>
              <w:rPr>
                <w:rFonts w:ascii="Arial" w:cs="Arial" w:eastAsia="Arial" w:hAnsi="Arial"/>
                <w:sz w:val="22"/>
                <w:szCs w:val="22"/>
                <w:color w:val="auto"/>
              </w:rPr>
              <w:t>Total</w:t>
            </w:r>
          </w:p>
        </w:tc>
        <w:tc>
          <w:tcPr>
            <w:tcW w:w="1580" w:type="dxa"/>
            <w:vAlign w:val="bottom"/>
          </w:tcPr>
          <w:p>
            <w:pPr>
              <w:jc w:val="right"/>
              <w:spacing w:after="0"/>
              <w:rPr>
                <w:sz w:val="20"/>
                <w:szCs w:val="20"/>
                <w:color w:val="auto"/>
              </w:rPr>
            </w:pPr>
            <w:r>
              <w:rPr>
                <w:rFonts w:ascii="Arial" w:cs="Arial" w:eastAsia="Arial" w:hAnsi="Arial"/>
                <w:sz w:val="22"/>
                <w:szCs w:val="22"/>
                <w:color w:val="auto"/>
              </w:rPr>
              <w:t>$769,367</w:t>
            </w:r>
          </w:p>
        </w:tc>
        <w:tc>
          <w:tcPr>
            <w:tcW w:w="1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$685,856</w:t>
            </w:r>
          </w:p>
        </w:tc>
      </w:tr>
    </w:tbl>
    <w:p>
      <w:pPr>
        <w:spacing w:after="0" w:line="266" w:lineRule="exact"/>
        <w:rPr>
          <w:sz w:val="20"/>
          <w:szCs w:val="20"/>
          <w:color w:val="auto"/>
        </w:rPr>
      </w:pPr>
    </w:p>
    <w:p>
      <w:pPr>
        <w:jc w:val="both"/>
        <w:ind w:right="20" w:firstLine="8"/>
        <w:spacing w:after="0" w:line="343" w:lineRule="auto"/>
        <w:tabs>
          <w:tab w:leader="none" w:pos="515" w:val="left"/>
        </w:tabs>
        <w:numPr>
          <w:ilvl w:val="0"/>
          <w:numId w:val="27"/>
        </w:numPr>
        <w:rPr>
          <w:rFonts w:ascii="Arial" w:cs="Arial" w:eastAsia="Arial" w:hAnsi="Arial"/>
          <w:sz w:val="19"/>
          <w:szCs w:val="19"/>
          <w:color w:val="auto"/>
        </w:rPr>
      </w:pPr>
      <w:r>
        <w:rPr>
          <w:rFonts w:ascii="Arial" w:cs="Arial" w:eastAsia="Arial" w:hAnsi="Arial"/>
          <w:sz w:val="19"/>
          <w:szCs w:val="19"/>
          <w:color w:val="auto"/>
        </w:rPr>
        <w:t>Audit fees consist of fees for professional services provided in connection with the audit of our annual financial statements and review of our quarterly financial statements and audit services provided in connection with other statutory or regulatory filings.</w:t>
      </w:r>
    </w:p>
    <w:p>
      <w:pPr>
        <w:spacing w:after="0" w:line="64" w:lineRule="exact"/>
        <w:rPr>
          <w:rFonts w:ascii="Arial" w:cs="Arial" w:eastAsia="Arial" w:hAnsi="Arial"/>
          <w:sz w:val="19"/>
          <w:szCs w:val="19"/>
          <w:color w:val="auto"/>
        </w:rPr>
      </w:pPr>
    </w:p>
    <w:p>
      <w:pPr>
        <w:jc w:val="both"/>
        <w:ind w:firstLine="8"/>
        <w:spacing w:after="0" w:line="265" w:lineRule="auto"/>
        <w:tabs>
          <w:tab w:leader="none" w:pos="506" w:val="left"/>
        </w:tabs>
        <w:numPr>
          <w:ilvl w:val="0"/>
          <w:numId w:val="27"/>
        </w:numPr>
        <w:rPr>
          <w:rFonts w:ascii="Arial" w:cs="Arial" w:eastAsia="Arial" w:hAnsi="Arial"/>
          <w:sz w:val="21"/>
          <w:szCs w:val="21"/>
          <w:color w:val="auto"/>
        </w:rPr>
      </w:pPr>
      <w:r>
        <w:rPr>
          <w:rFonts w:ascii="Arial" w:cs="Arial" w:eastAsia="Arial" w:hAnsi="Arial"/>
          <w:sz w:val="21"/>
          <w:szCs w:val="21"/>
          <w:color w:val="auto"/>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primarily of research and advice regarding the effect of new tax laws and regulations.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74"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Pre-Approval of Independent Auditor Services</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No services specifically prohibited by the Sarbanes-Oxley Act of 2002 will be provided to the Company by the independent auditor. Permitted services must be pre-approved by the Audit Committee of our Board of Directors. Grant Thornton did not render any services relating to financial information systems design and implementation for fiscal 2016. None of the services described above were approved pursuant to the de minimus exception provided by Rule 2-01(c)(7)(i)(C) of SEC Regulation S-X.</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 Other Matters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At this time, our Board of Directors is not aware of any matters not referred to herein that might be presented for action at the 2016 Annual Meeting; however, if any other business should properly come before the meeting, votes may be cast in respect to such matters in accordance with the best judgment of the person or persons acting under the proxies.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7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CORPORATE GOVERNANCE MATTERS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Controlled Company Status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Jaffee Investment Partnership, L.P., a Delaware limited partnership of which Richard M. Jaffee and Daniel S. Jaffee are general partners. The remaining three general partners are all children of Richard M. Jaffee. Richard M. Jaffee has eight and Daniel S. Jaffee has three of the 20 total votes of the general partners.</w:t>
      </w:r>
    </w:p>
    <w:p>
      <w:pPr>
        <w:spacing w:after="0" w:line="1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As a “controlled company” we are entitled to rely on exemptions from the NYSE Corporate Governance Standards that would otherwise require the Company to: (a) have a board of directors the majority of which is comprised of independent directors;</w:t>
      </w:r>
    </w:p>
    <w:p>
      <w:pPr>
        <w:spacing w:after="0" w:line="1" w:lineRule="exact"/>
        <w:rPr>
          <w:sz w:val="20"/>
          <w:szCs w:val="20"/>
          <w:color w:val="auto"/>
        </w:rPr>
      </w:pPr>
    </w:p>
    <w:p>
      <w:pPr>
        <w:jc w:val="both"/>
        <w:ind w:firstLine="8"/>
        <w:spacing w:after="0" w:line="244" w:lineRule="auto"/>
        <w:tabs>
          <w:tab w:leader="none" w:pos="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have a nominating/corporate governance committee comprised entirely of independent directors; and (c) have a compensation committee comprised entirely of independent directors. We have elected to rely on all three of these exemptions historically; however, with the recent addition of George C. Roeth to our Board of Directors, a majority of our Board of Directors is now comprised of independent directors.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 Independence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Our Board of Directors has determined that the directors listed below are independent from our management within the meaning of the SEC’s rules and the NYSE Corporate Governance Standards:</w:t>
      </w:r>
    </w:p>
    <w:p>
      <w:pPr>
        <w:sectPr>
          <w:pgSz w:w="11900" w:h="16838" w:orient="portrait"/>
          <w:cols w:equalWidth="0" w:num="1">
            <w:col w:w="11420"/>
          </w:cols>
          <w:pgMar w:left="240" w:top="774"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J. Steven Cole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Paul E. Suckow</w:t>
      </w:r>
    </w:p>
    <w:p>
      <w:pPr>
        <w:spacing w:after="0" w:line="200" w:lineRule="exact"/>
        <w:rPr>
          <w:sz w:val="20"/>
          <w:szCs w:val="20"/>
          <w:color w:val="auto"/>
        </w:rPr>
      </w:pPr>
    </w:p>
    <w:p>
      <w:pPr>
        <w:sectPr>
          <w:pgSz w:w="11900" w:h="16838" w:orient="portrait"/>
          <w:cols w:equalWidth="0" w:num="2">
            <w:col w:w="5020" w:space="720"/>
            <w:col w:w="5680"/>
          </w:cols>
          <w:pgMar w:left="240" w:top="774" w:right="239" w:bottom="1440" w:gutter="0" w:footer="0" w:header="0"/>
          <w:type w:val="continuous"/>
        </w:sectPr>
      </w:pPr>
    </w:p>
    <w:p>
      <w:pPr>
        <w:spacing w:after="0" w:line="95"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George C. Roeth</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Lawrence E. Washow</w:t>
      </w:r>
    </w:p>
    <w:p>
      <w:pPr>
        <w:spacing w:after="0" w:line="200" w:lineRule="exact"/>
        <w:rPr>
          <w:sz w:val="20"/>
          <w:szCs w:val="20"/>
          <w:color w:val="auto"/>
        </w:rPr>
      </w:pPr>
    </w:p>
    <w:p>
      <w:pPr>
        <w:sectPr>
          <w:pgSz w:w="11900" w:h="16838" w:orient="portrait"/>
          <w:cols w:equalWidth="0" w:num="2">
            <w:col w:w="5040" w:space="700"/>
            <w:col w:w="5680"/>
          </w:cols>
          <w:pgMar w:left="240" w:top="774" w:right="239" w:bottom="1440" w:gutter="0" w:footer="0" w:header="0"/>
          <w:type w:val="continuous"/>
        </w:sectPr>
      </w:pPr>
    </w:p>
    <w:p>
      <w:pPr>
        <w:spacing w:after="0" w:line="95"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Allan H. Selig</w:t>
      </w:r>
    </w:p>
    <w:p>
      <w:pPr>
        <w:sectPr>
          <w:pgSz w:w="11900" w:h="16838" w:orient="portrait"/>
          <w:cols w:equalWidth="0" w:num="1">
            <w:col w:w="11420"/>
          </w:cols>
          <w:pgMar w:left="240" w:top="7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While our Board of Directors has not adopted any categorical standards for independence, in making these determinations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noted that none of Messrs. Cole, Roeth, Selig, Suckow and Washow:</w:t>
      </w:r>
    </w:p>
    <w:p>
      <w:pPr>
        <w:spacing w:after="0" w:line="161" w:lineRule="exact"/>
        <w:rPr>
          <w:sz w:val="20"/>
          <w:szCs w:val="20"/>
          <w:color w:val="auto"/>
        </w:rPr>
      </w:pPr>
    </w:p>
    <w:p>
      <w:pPr>
        <w:ind w:left="980" w:right="20" w:hanging="324"/>
        <w:spacing w:after="0" w:line="263"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receives direct compensation from the Company other than director annual retainers and meeting fees paid to current directors;</w:t>
      </w:r>
    </w:p>
    <w:p>
      <w:pPr>
        <w:spacing w:after="0" w:line="66"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has any relationship with the Company or a third party that would preclude independence under the NYSE Corporate Governance Standards; or</w:t>
      </w:r>
    </w:p>
    <w:p>
      <w:pPr>
        <w:spacing w:after="0" w:line="66" w:lineRule="exact"/>
        <w:rPr>
          <w:rFonts w:ascii="Arial" w:cs="Arial" w:eastAsia="Arial" w:hAnsi="Arial"/>
          <w:sz w:val="22"/>
          <w:szCs w:val="22"/>
          <w:color w:val="auto"/>
        </w:rPr>
      </w:pPr>
    </w:p>
    <w:p>
      <w:pPr>
        <w:ind w:left="980" w:hanging="324"/>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has any other material relationship with the Company and its management.</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the last three years, we have not made any contributions in excess of $1 million or 2% of our consolidated gross revenues to any tax-exempt organization in which an independent director serves as an executive officer.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74"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Executive Sessions of Non-Management Directors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Non-management directors meet in executive sessions of our Board of Directors in which management directors (Messrs. Richard M. and Daniel S. Jaffee) and other members of management do not participate. These sessions are scheduled for non-management directors at all regular meetings of our Board of Directors. Under our Corporate Governance Guidelines, the chairman of our Audit Committee (currently Mr. Suckow) presides at all executive sessions of non-management and independent directors unless otherwise determined by the directors attending any given executive session.</w:t>
      </w:r>
    </w:p>
    <w:p>
      <w:pPr>
        <w:spacing w:after="0" w:line="276"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Board of Directors Committee Membership and Meetings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the current membership of the committees of our Board of Directors.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22"/>
                <w:szCs w:val="22"/>
                <w:b w:val="1"/>
                <w:bCs w:val="1"/>
                <w:color w:val="auto"/>
              </w:rPr>
              <w:t>Audit</w:t>
            </w:r>
          </w:p>
        </w:tc>
        <w:tc>
          <w:tcPr>
            <w:tcW w:w="14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Compensation</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22"/>
                <w:szCs w:val="22"/>
                <w:b w:val="1"/>
                <w:bCs w:val="1"/>
                <w:color w:val="auto"/>
                <w:w w:val="94"/>
              </w:rPr>
              <w:t>Pension Plan</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Retirement Plans</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22"/>
                <w:szCs w:val="22"/>
                <w:b w:val="1"/>
                <w:bCs w:val="1"/>
                <w:color w:val="auto"/>
              </w:rPr>
              <w:t>Executive</w:t>
            </w:r>
          </w:p>
        </w:tc>
      </w:tr>
      <w:tr>
        <w:trPr>
          <w:trHeight w:val="297"/>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J. Steven Cole</w:t>
            </w:r>
          </w:p>
        </w:tc>
        <w:tc>
          <w:tcPr>
            <w:tcW w:w="160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ind w:left="700"/>
              <w:spacing w:after="0"/>
              <w:rPr>
                <w:sz w:val="20"/>
                <w:szCs w:val="20"/>
                <w:color w:val="auto"/>
              </w:rPr>
            </w:pPr>
            <w:r>
              <w:rPr>
                <w:rFonts w:ascii="Arial" w:cs="Arial" w:eastAsia="Arial" w:hAnsi="Arial"/>
                <w:sz w:val="22"/>
                <w:szCs w:val="22"/>
                <w:color w:val="auto"/>
              </w:rPr>
              <w:t>X</w:t>
            </w: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Daniel S. Jaffee</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ind w:left="700"/>
              <w:spacing w:after="0"/>
              <w:rPr>
                <w:sz w:val="20"/>
                <w:szCs w:val="20"/>
                <w:color w:val="auto"/>
              </w:rPr>
            </w:pPr>
            <w:r>
              <w:rPr>
                <w:rFonts w:ascii="Arial" w:cs="Arial" w:eastAsia="Arial" w:hAnsi="Arial"/>
                <w:sz w:val="22"/>
                <w:szCs w:val="22"/>
                <w:color w:val="auto"/>
              </w:rPr>
              <w:t>X</w:t>
            </w:r>
          </w:p>
        </w:tc>
      </w:tr>
      <w:tr>
        <w:trPr>
          <w:trHeight w:val="306"/>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Richard M. Jaffee</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22"/>
                <w:szCs w:val="22"/>
                <w:color w:val="auto"/>
              </w:rPr>
              <w:t>X*</w:t>
            </w:r>
          </w:p>
        </w:tc>
        <w:tc>
          <w:tcPr>
            <w:tcW w:w="1580" w:type="dxa"/>
            <w:vAlign w:val="bottom"/>
            <w:shd w:val="clear" w:color="auto" w:fill="CCEEFF"/>
          </w:tcPr>
          <w:p>
            <w:pPr>
              <w:ind w:left="700"/>
              <w:spacing w:after="0"/>
              <w:rPr>
                <w:sz w:val="20"/>
                <w:szCs w:val="20"/>
                <w:color w:val="auto"/>
              </w:rPr>
            </w:pPr>
            <w:r>
              <w:rPr>
                <w:rFonts w:ascii="Arial" w:cs="Arial" w:eastAsia="Arial" w:hAnsi="Arial"/>
                <w:sz w:val="22"/>
                <w:szCs w:val="22"/>
                <w:color w:val="auto"/>
              </w:rPr>
              <w:t>X*</w:t>
            </w: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Joseph C. Miller</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Michael A. Nemeroff</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George C. Roeth</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Allan H. Selig</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Paul E. Suckow</w:t>
            </w:r>
          </w:p>
        </w:tc>
        <w:tc>
          <w:tcPr>
            <w:tcW w:w="160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9"/>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Lawrence E. Washow</w:t>
            </w: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0" w:type="dxa"/>
            <w:vAlign w:val="bottom"/>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r>
      <w:tr>
        <w:trPr>
          <w:trHeight w:val="249"/>
        </w:trPr>
        <w:tc>
          <w:tcPr>
            <w:tcW w:w="2860" w:type="dxa"/>
            <w:vAlign w:val="bottom"/>
            <w:gridSpan w:val="2"/>
          </w:tcPr>
          <w:p>
            <w:pPr>
              <w:ind w:left="40"/>
              <w:spacing w:after="0" w:line="248" w:lineRule="exact"/>
              <w:rPr>
                <w:sz w:val="20"/>
                <w:szCs w:val="20"/>
                <w:color w:val="auto"/>
              </w:rPr>
            </w:pPr>
            <w:r>
              <w:rPr>
                <w:rFonts w:ascii="Arial" w:cs="Arial" w:eastAsia="Arial" w:hAnsi="Arial"/>
                <w:sz w:val="22"/>
                <w:szCs w:val="22"/>
                <w:color w:val="auto"/>
                <w:w w:val="98"/>
              </w:rPr>
              <w:t>Number of Meetings in Fiscal</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5"/>
        </w:trPr>
        <w:tc>
          <w:tcPr>
            <w:tcW w:w="2740" w:type="dxa"/>
            <w:vAlign w:val="bottom"/>
          </w:tcPr>
          <w:p>
            <w:pPr>
              <w:ind w:left="40"/>
              <w:spacing w:after="0"/>
              <w:rPr>
                <w:sz w:val="20"/>
                <w:szCs w:val="20"/>
                <w:color w:val="auto"/>
              </w:rPr>
            </w:pPr>
            <w:r>
              <w:rPr>
                <w:rFonts w:ascii="Arial" w:cs="Arial" w:eastAsia="Arial" w:hAnsi="Arial"/>
                <w:sz w:val="22"/>
                <w:szCs w:val="22"/>
                <w:color w:val="auto"/>
              </w:rPr>
              <w:t>2016</w:t>
            </w:r>
          </w:p>
        </w:tc>
        <w:tc>
          <w:tcPr>
            <w:tcW w:w="120" w:type="dxa"/>
            <w:vAlign w:val="bottom"/>
          </w:tcPr>
          <w:p>
            <w:pPr>
              <w:spacing w:after="0"/>
              <w:rPr>
                <w:sz w:val="23"/>
                <w:szCs w:val="23"/>
                <w:color w:val="auto"/>
              </w:rPr>
            </w:pPr>
          </w:p>
        </w:tc>
        <w:tc>
          <w:tcPr>
            <w:tcW w:w="1460" w:type="dxa"/>
            <w:vAlign w:val="bottom"/>
          </w:tcPr>
          <w:p>
            <w:pPr>
              <w:ind w:left="680"/>
              <w:spacing w:after="0"/>
              <w:rPr>
                <w:sz w:val="20"/>
                <w:szCs w:val="20"/>
                <w:color w:val="auto"/>
              </w:rPr>
            </w:pPr>
            <w:r>
              <w:rPr>
                <w:rFonts w:ascii="Arial" w:cs="Arial" w:eastAsia="Arial" w:hAnsi="Arial"/>
                <w:sz w:val="22"/>
                <w:szCs w:val="22"/>
                <w:color w:val="auto"/>
              </w:rPr>
              <w:t>4</w:t>
            </w:r>
          </w:p>
        </w:tc>
        <w:tc>
          <w:tcPr>
            <w:tcW w:w="140" w:type="dxa"/>
            <w:vAlign w:val="bottom"/>
          </w:tcPr>
          <w:p>
            <w:pPr>
              <w:spacing w:after="0"/>
              <w:rPr>
                <w:sz w:val="23"/>
                <w:szCs w:val="23"/>
                <w:color w:val="auto"/>
              </w:rPr>
            </w:pPr>
          </w:p>
        </w:tc>
        <w:tc>
          <w:tcPr>
            <w:tcW w:w="1820" w:type="dxa"/>
            <w:vAlign w:val="bottom"/>
          </w:tcPr>
          <w:p>
            <w:pPr>
              <w:jc w:val="right"/>
              <w:ind w:right="752"/>
              <w:spacing w:after="0"/>
              <w:rPr>
                <w:sz w:val="20"/>
                <w:szCs w:val="20"/>
                <w:color w:val="auto"/>
              </w:rPr>
            </w:pPr>
            <w:r>
              <w:rPr>
                <w:rFonts w:ascii="Arial" w:cs="Arial" w:eastAsia="Arial" w:hAnsi="Arial"/>
                <w:sz w:val="22"/>
                <w:szCs w:val="22"/>
                <w:color w:val="auto"/>
              </w:rPr>
              <w:t>1</w:t>
            </w:r>
          </w:p>
        </w:tc>
        <w:tc>
          <w:tcPr>
            <w:tcW w:w="100" w:type="dxa"/>
            <w:vAlign w:val="bottom"/>
          </w:tcPr>
          <w:p>
            <w:pPr>
              <w:spacing w:after="0"/>
              <w:rPr>
                <w:sz w:val="23"/>
                <w:szCs w:val="23"/>
                <w:color w:val="auto"/>
              </w:rPr>
            </w:pPr>
          </w:p>
        </w:tc>
        <w:tc>
          <w:tcPr>
            <w:tcW w:w="1460" w:type="dxa"/>
            <w:vAlign w:val="bottom"/>
          </w:tcPr>
          <w:p>
            <w:pPr>
              <w:ind w:left="680"/>
              <w:spacing w:after="0"/>
              <w:rPr>
                <w:sz w:val="20"/>
                <w:szCs w:val="20"/>
                <w:color w:val="auto"/>
              </w:rPr>
            </w:pPr>
            <w:r>
              <w:rPr>
                <w:rFonts w:ascii="Arial" w:cs="Arial" w:eastAsia="Arial" w:hAnsi="Arial"/>
                <w:sz w:val="22"/>
                <w:szCs w:val="22"/>
                <w:color w:val="auto"/>
              </w:rPr>
              <w:t>4</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100" w:type="dxa"/>
            <w:vAlign w:val="bottom"/>
          </w:tcPr>
          <w:p>
            <w:pPr>
              <w:spacing w:after="0"/>
              <w:rPr>
                <w:sz w:val="23"/>
                <w:szCs w:val="23"/>
                <w:color w:val="auto"/>
              </w:rPr>
            </w:pPr>
          </w:p>
        </w:tc>
        <w:tc>
          <w:tcPr>
            <w:tcW w:w="1580" w:type="dxa"/>
            <w:vAlign w:val="bottom"/>
          </w:tcPr>
          <w:p>
            <w:pPr>
              <w:ind w:left="680"/>
              <w:spacing w:after="0"/>
              <w:rPr>
                <w:sz w:val="20"/>
                <w:szCs w:val="20"/>
                <w:color w:val="auto"/>
              </w:rPr>
            </w:pPr>
            <w:r>
              <w:rPr>
                <w:rFonts w:ascii="Arial" w:cs="Arial" w:eastAsia="Arial" w:hAnsi="Arial"/>
                <w:sz w:val="22"/>
                <w:szCs w:val="22"/>
                <w:color w:val="auto"/>
              </w:rPr>
              <w:t>—</w:t>
            </w:r>
          </w:p>
        </w:tc>
      </w:tr>
      <w:tr>
        <w:trPr>
          <w:trHeight w:val="297"/>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 Chairman</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During fiscal 2016, our Board of Directors held four meetings. Each director who was a director during fiscal 2016 attended 100% of the aggregate number of meetings of our Board of Directors and 100% of the aggregate number of meetings of the committees on which he served. Mr. Roeth was appointed to the Board of Directors on October 13, 2016, and therefore, he did not attend any fiscal 2016 meetings.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Audit Committee Charter sets out the duties and responsibilities of our Audit Committee. Those duties include, without limitation:</w:t>
      </w:r>
    </w:p>
    <w:p>
      <w:pPr>
        <w:spacing w:after="0" w:line="40" w:lineRule="exact"/>
        <w:rPr>
          <w:sz w:val="20"/>
          <w:szCs w:val="20"/>
          <w:color w:val="auto"/>
        </w:rPr>
      </w:pPr>
    </w:p>
    <w:p>
      <w:pPr>
        <w:ind w:left="980" w:right="20" w:hanging="324"/>
        <w:spacing w:after="0" w:line="263"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selection and appointment of the independent auditor, review of its independence and of other services provided by it, and of the fees and other arrangements regarding its services;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scope of the audit, and of significant financial reporting issues and judgments;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annual audited financial statements and of the quarterly financial statements and press releases;</w:t>
      </w:r>
    </w:p>
    <w:p>
      <w:pPr>
        <w:spacing w:after="0" w:line="12" w:lineRule="exact"/>
        <w:rPr>
          <w:rFonts w:ascii="Arial" w:cs="Arial" w:eastAsia="Arial" w:hAnsi="Arial"/>
          <w:sz w:val="22"/>
          <w:szCs w:val="22"/>
          <w:color w:val="auto"/>
        </w:rPr>
      </w:pPr>
    </w:p>
    <w:p>
      <w:pPr>
        <w:ind w:left="980" w:hanging="324"/>
        <w:spacing w:after="0"/>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quality and adequacy of internal controls; and</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preparation of the report required by SEC rules to be included in this Proxy Statement.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25" w:right="23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22"/>
          <w:szCs w:val="22"/>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Committee</w:t>
      </w:r>
    </w:p>
    <w:p>
      <w:pPr>
        <w:spacing w:after="0" w:line="179"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Our Compensation Committee is responsible for review and general oversight of our compensation programs, including all programs in which our executive officers participate. Specifically, our Compensation Committee is responsible for:</w:t>
      </w:r>
    </w:p>
    <w:p>
      <w:pPr>
        <w:spacing w:after="0" w:line="1" w:lineRule="exact"/>
        <w:rPr>
          <w:sz w:val="20"/>
          <w:szCs w:val="20"/>
          <w:color w:val="auto"/>
        </w:rPr>
      </w:pPr>
    </w:p>
    <w:p>
      <w:pPr>
        <w:ind w:left="980" w:hanging="324"/>
        <w:spacing w:after="0" w:line="263"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determining the compensation, including benefits, of our Chief Executive Officer (“CEO”) after reviewing the recommendation of the Chairman of the Board;</w:t>
      </w:r>
    </w:p>
    <w:p>
      <w:pPr>
        <w:spacing w:after="0" w:line="66"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77"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and setting payout ranges for our CEO;</w:t>
      </w:r>
    </w:p>
    <w:p>
      <w:pPr>
        <w:spacing w:after="0" w:line="80" w:lineRule="exact"/>
        <w:rPr>
          <w:rFonts w:ascii="Arial" w:cs="Arial" w:eastAsia="Arial" w:hAnsi="Arial"/>
          <w:sz w:val="22"/>
          <w:szCs w:val="22"/>
          <w:color w:val="auto"/>
        </w:rPr>
      </w:pPr>
    </w:p>
    <w:p>
      <w:pPr>
        <w:ind w:left="980" w:hanging="324"/>
        <w:spacing w:after="0" w:line="287" w:lineRule="auto"/>
        <w:tabs>
          <w:tab w:leader="none" w:pos="9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administration of our equity incentive plans with assistance from our human resources staff and granting awards under those plans to employees, including our executive officers, and to non-employee directors; and</w:t>
      </w:r>
    </w:p>
    <w:p>
      <w:pPr>
        <w:spacing w:after="0" w:line="43" w:lineRule="exact"/>
        <w:rPr>
          <w:rFonts w:ascii="Arial" w:cs="Arial" w:eastAsia="Arial" w:hAnsi="Arial"/>
          <w:sz w:val="21"/>
          <w:szCs w:val="21"/>
          <w:color w:val="auto"/>
        </w:rPr>
      </w:pPr>
    </w:p>
    <w:p>
      <w:pPr>
        <w:ind w:left="980" w:hanging="324"/>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making recommendations to our Board of Directors or stockholders on compensation-related matters.</w:t>
      </w:r>
    </w:p>
    <w:p>
      <w:pPr>
        <w:spacing w:after="0" w:line="1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carrying out these responsibilities, our Compensation Committee acts on recommendations from and consults with the Chairman of the Board and our CEO. During fiscal 2016, our Compensation Committee did not retain an executive compensation consultant. Additional details of our processes and procedures for considering and determining executive compensation are in the Compensation Discussion and Analysis.</w:t>
      </w:r>
    </w:p>
    <w:p>
      <w:pPr>
        <w:spacing w:after="0" w:line="8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allowed by the “controlled company” exemption from the NYSE Corporate Governance Standards, our Compensation Committee is not comprised entirely of independent directors; two members, Messrs. Miller and Nemeroff, have not been determined by our Board of Directors to be independent directors. As also allowed by this “controlled company” exemption, our Compensation Committee does not have a written charter.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80" w:right="239" w:bottom="1440" w:gutter="0" w:footer="0" w:header="0"/>
        </w:sectPr>
      </w:pPr>
    </w:p>
    <w:bookmarkStart w:id="21" w:name="page22"/>
    <w:bookmarkEnd w:id="21"/>
    <w:p>
      <w:pPr>
        <w:jc w:val="both"/>
        <w:ind w:firstLine="648"/>
        <w:spacing w:after="0" w:line="250" w:lineRule="auto"/>
        <w:rPr>
          <w:sz w:val="20"/>
          <w:szCs w:val="20"/>
          <w:color w:val="auto"/>
        </w:rPr>
      </w:pPr>
      <w:r>
        <w:rPr>
          <w:rFonts w:ascii="Arial" w:cs="Arial" w:eastAsia="Arial" w:hAnsi="Arial"/>
          <w:sz w:val="22"/>
          <w:szCs w:val="22"/>
          <w:color w:val="auto"/>
        </w:rPr>
        <w:t>Two members of our Compensation Committee, Messrs. Selig and Miller, are non-employee directors within the meaning of Rule 16b-3 under the Securities Exchange Act of 1934, as amended, and are authorized to act independently with respect to awards made under our equity incentive plans to individuals subject to Section 16 of that act, including our executive officers and directors.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Pension Plan Committee</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Pension Plan Committee acts as an administrator and named fiduciary of the Oil-Dri Corporation of America Pension Plan and is responsible for the management of the plan portfolio. The committee meets quarterly to conduct periodic review of the performance of the portfolio and the individual portfolio managers. The committee is comprised of one or more directors as well as certain employees of the Company who do not receive additional compensation in connection with their service on the committee. In prior years, Mr. Richard Jaffee has been the sole director on the committee. In fiscal 2016, the Board added an independent board member with relevant investment expertise to the committee.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Retirement Plans Committee</w:t>
      </w:r>
    </w:p>
    <w:p>
      <w:pPr>
        <w:spacing w:after="0" w:line="35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Retirement Plans Committee acts act as administrator and named fiduciary of the Company’s retirement plans and deferred compensation plans. The committee is comprised of one or more directors as well as certain employees of the Company who do not receive additional compensation in connection with their service on the committee.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With the exception of Mr. Miller, who served as an officer of the Company from 1989 to 2000, none of the members of our Compensation Committee is or ever has been an executive officer or employee of the Company. Mr. Nemeroff, a member of our Compensation Committee, is President and Chief Executive Officer of Vedder Price P.C., a law firm that regularly provides services to the Company. There are no Compensation Committee interlocks as defined by SEC rules.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Committee</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Executive Committee has all of the powers and authority of our Board of Directors in the management of our business and other affairs, subject only to any limitations provided for in our Certificate of Incorporation and Amended and Restated By-Laws (each as amended from time to time) or imposed by applicable law or the NYSE Corporate Governance Standards. Our Executive Committee does not have a written charter. Our Executive Committee did not hold any meetings during fiscal 2016 and historically has only exercised its authority to act on behalf of the Board of Directors in limited circumstances.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Nominations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As allowed by the “controlled company” exemption from the NYSE Corporate Governance Standards, we do not have a standing nominating committee or other committee of our Board of Directors performing a similar function. As a “controlled company,” and with seven of our nine current directors having served on our Board of Directors for at least 10 years, the Board of Directors believes it is appropriate for the Company not to have a nominating committee. It has been our practice, as reflected in our Corporate Governance Guidelines, that our Chairman, Richard M. Jaffee, recommends to the entire Board of Directors candidates for nomination to the Board of Directors. Directors Richard M. Jaffee, Daniel S. Jaffee, Joseph C. Miller and Michael A. Nemeroff, who have not been determined by the Board of Directors to be independent, participate along with the independent directors in the nominating process. Our Board 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80" w:right="2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22"/>
          <w:szCs w:val="22"/>
          <w:color w:val="auto"/>
        </w:rPr>
        <w:t>Directors may also solicit ideas for possible candidates from a number of sources, including our executives, individuals personally known to members of the Board of Directors and executive search firms.</w:t>
      </w:r>
    </w:p>
    <w:p>
      <w:pPr>
        <w:spacing w:after="0" w:line="13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Corporate Governance Guidelines provide that a director who would be 75 years of age or older at the time of election may not stand for re-election unless our Board of Directors postpones or otherwise waives the age 75 service limit as to that director. At its October 13, 2016 meeting, our Board of Directors granted such a waiver with respect to Richard M. Jaffee, our Chairman; J. Steven Cole; Joseph C. Miller, our Vice-Chairman, and Allan H. Selig, chairman of our Compensation Committee. Our Board of Directors considered a waiver of the age 75 service limit in these cases appropriate and in the best interests of the Company in light of Messrs. Jaffee’s, Cole’s, Miller’s and Selig’s valuable expertise and experience.</w:t>
      </w:r>
    </w:p>
    <w:p>
      <w:pPr>
        <w:spacing w:after="0" w:line="10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We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w:t>
      </w:r>
    </w:p>
    <w:p>
      <w:pPr>
        <w:spacing w:after="0" w:line="387"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1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8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Board Leadership Structure and Role in Risk Oversight</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Board of Directors does not have a policy regarding the separation of the roles of Chairman of the Board and Chief Executive Officer. Currently the roles are separate, but have been combined in the past. Under our Corporate Governance Guidelines, we believe that this issue is simply a part of the larger succession planning process and that it is in the best interests of the Company for the Board of Directors to make a specific determination whenever either office becomes vacant. Our Board of Directors receives regular reports from our CEO, Chief Operating Officer (“COO”), Chief Financial Officer (“CFO”)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of Directors as appropriate. For example, our internal audit function, which identifies and manages a wide area of risk company-wide, reports to both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both the Compensation Committee and senior management, who in turn report significant developments to the full Board of Directors.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Communication with the Board of Directors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All but two of the members of the then Board of Directors attended the 2015 annual meeting in person.</w:t>
      </w:r>
    </w:p>
    <w:p>
      <w:pPr>
        <w:spacing w:after="0" w:line="1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seek to provide a competitive compensation program to attract and retain quality non-employee directors. The compensation received by our non-employee directors, other than Richard M. Jaffee (whose consulting agreement is described in the following paragraph), consists of an annual cash retainer of $20,000 and a $3,000 fee for each Board or committee meeting attended in person ($1,500 for attendance by phone). In addition, Mr. Suckow received an annual cash retainer of $15,000 as chairman of our Audit Committee and Mr. Selig received an annual cash retainer of $7,500 as chairman of our Compensation Committee. Employee directors do not receive additional compensation for their service on our Board of Directors. Mr. Miller also receives a pension benefit under our pension plan earned during his years of service as an employee. Directors are also reimbursed for expenses incurred in connection with attendance at meetings.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25" w:right="239" w:bottom="1440" w:gutter="0" w:footer="0" w:header="0"/>
        </w:sectPr>
      </w:pPr>
    </w:p>
    <w:bookmarkStart w:id="24" w:name="page25"/>
    <w:bookmarkEnd w:id="24"/>
    <w:p>
      <w:pPr>
        <w:jc w:val="both"/>
        <w:ind w:firstLine="648"/>
        <w:spacing w:after="0" w:line="286" w:lineRule="auto"/>
        <w:rPr>
          <w:sz w:val="20"/>
          <w:szCs w:val="20"/>
          <w:color w:val="auto"/>
        </w:rPr>
      </w:pPr>
      <w:r>
        <w:rPr>
          <w:rFonts w:ascii="Arial" w:cs="Arial" w:eastAsia="Arial" w:hAnsi="Arial"/>
          <w:sz w:val="19"/>
          <w:szCs w:val="19"/>
          <w:color w:val="auto"/>
        </w:rPr>
        <w:t>We have a consulting agreement with Richard M. Jaffee, Chairman of our Board of Directors, that was originally entered into in October 1989 and has since been amended four times. The initial term of the agreement (as amended) expired on January 31, 2011; however, pursuant to the terms thereof, it automatically renews for successive one-year periods thereafter unless either party gives the other at least 90 days’ prior written notice of termination. No termination notice has been given by either party and thus the current renewal term of the agreement expires on January 31, 2017. Under the terms of the agreement, Mr. Jaffee performs all assignments given him from time to time by our Board of Directors or our CEO. He receives an annual consulting fee of $240,000; he does not receive a retainer or any meeting fees as director. We also provide him with an office and administrative support. In addition, pursuant to the terms of the agreement, we provided lifetime coverage to Mr. Jaffee and his late spouse under our medical plan at no cost to them during fiscal 2016. This coverage is secondary to the coverage provided by Medicare. Because we have a self-insured medical plan, our cost for this coverage is the amount of any actual medical claims we pay. We also pay Mr. Jaffee an annuity of $45,725 annually that he earned during an earlier five years (2001 to 2006) of his consulting agreement. All directors are eligible to defer cash compensation that they receive from the Company into our executive deferred compensation plan. Mr. Jaffee chose to defer the full amount of his consulting fees and his annuity into our executive deferred compensation plan in fiscal 2016. Mr. Jaffee also receives a pension benefit under our pension plan earned during his years of service as an employee.</w:t>
      </w:r>
    </w:p>
    <w:p>
      <w:pPr>
        <w:spacing w:after="0" w:line="123" w:lineRule="exact"/>
        <w:rPr>
          <w:sz w:val="20"/>
          <w:szCs w:val="20"/>
          <w:color w:val="auto"/>
        </w:rPr>
      </w:pPr>
    </w:p>
    <w:p>
      <w:pPr>
        <w:jc w:val="center"/>
        <w:ind w:right="180"/>
        <w:spacing w:after="0" w:line="430" w:lineRule="auto"/>
        <w:rPr>
          <w:sz w:val="20"/>
          <w:szCs w:val="20"/>
          <w:color w:val="auto"/>
        </w:rPr>
      </w:pPr>
      <w:r>
        <w:rPr>
          <w:rFonts w:ascii="Arial" w:cs="Arial" w:eastAsia="Arial" w:hAnsi="Arial"/>
          <w:sz w:val="22"/>
          <w:szCs w:val="22"/>
          <w:color w:val="auto"/>
        </w:rPr>
        <w:t xml:space="preserve">The following table sets forth information about compensation paid to our directors for their service in fiscal 2016. </w:t>
      </w:r>
      <w:r>
        <w:rPr>
          <w:rFonts w:ascii="Arial" w:cs="Arial" w:eastAsia="Arial" w:hAnsi="Arial"/>
          <w:sz w:val="22"/>
          <w:szCs w:val="22"/>
          <w:b w:val="1"/>
          <w:bCs w:val="1"/>
          <w:color w:val="auto"/>
        </w:rPr>
        <w:t>Director Compensation Table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Change in Pension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Value and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Nonqualified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Deferred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Fees Earned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Non-Equity</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Compensation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or Paid in</w:t>
            </w: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 Awards</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Awards</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Incentive</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Earnings</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All Other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Cash</w:t>
            </w:r>
          </w:p>
        </w:tc>
        <w:tc>
          <w:tcPr>
            <w:tcW w:w="140" w:type="dxa"/>
            <w:vAlign w:val="bottom"/>
          </w:tcPr>
          <w:p>
            <w:pPr>
              <w:spacing w:after="0"/>
              <w:rPr>
                <w:sz w:val="17"/>
                <w:szCs w:val="17"/>
                <w:color w:val="auto"/>
              </w:rPr>
            </w:pPr>
          </w:p>
        </w:tc>
        <w:tc>
          <w:tcPr>
            <w:tcW w:w="1120" w:type="dxa"/>
            <w:vAlign w:val="bottom"/>
          </w:tcPr>
          <w:p>
            <w:pPr>
              <w:ind w:left="4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w:t>
            </w:r>
          </w:p>
        </w:tc>
        <w:tc>
          <w:tcPr>
            <w:tcW w:w="260" w:type="dxa"/>
            <w:vAlign w:val="bottom"/>
          </w:tcPr>
          <w:p>
            <w:pPr>
              <w:spacing w:after="0"/>
              <w:rPr>
                <w:sz w:val="17"/>
                <w:szCs w:val="17"/>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254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820" w:type="dxa"/>
            <w:vAlign w:val="bottom"/>
          </w:tcPr>
          <w:p>
            <w:pPr>
              <w:jc w:val="center"/>
              <w:ind w:right="32"/>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53"/>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r>
      <w:tr>
        <w:trPr>
          <w:trHeight w:val="33"/>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Jaffee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327,318</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Daniel S. Jaffee (4)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Steven Cole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42,500</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Joseph C. Miller</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32,000</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A. Nemeroff</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32,000</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38,000</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62,000</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42,500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42,500</w:t>
            </w:r>
          </w:p>
        </w:tc>
      </w:tr>
    </w:tbl>
    <w:p>
      <w:pPr>
        <w:spacing w:after="0" w:line="100"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There were no stock awards to directors in fiscal 2016.</w:t>
      </w:r>
    </w:p>
    <w:p>
      <w:pPr>
        <w:spacing w:after="0" w:line="165" w:lineRule="exact"/>
        <w:rPr>
          <w:rFonts w:ascii="Arial" w:cs="Arial" w:eastAsia="Arial" w:hAnsi="Arial"/>
          <w:sz w:val="22"/>
          <w:szCs w:val="22"/>
          <w:color w:val="auto"/>
        </w:rPr>
      </w:pPr>
    </w:p>
    <w:p>
      <w:pPr>
        <w:ind w:firstLine="8"/>
        <w:spacing w:after="0" w:line="263" w:lineRule="auto"/>
        <w:tabs>
          <w:tab w:leader="none" w:pos="497"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There were no option awards to directors in fiscal 2016, and our directors did not hold any options to purchase shares of our Common Stock as of July 31, 2016.</w:t>
      </w:r>
    </w:p>
    <w:p>
      <w:pPr>
        <w:spacing w:after="0" w:line="39" w:lineRule="exact"/>
        <w:rPr>
          <w:rFonts w:ascii="Arial" w:cs="Arial" w:eastAsia="Arial" w:hAnsi="Arial"/>
          <w:sz w:val="22"/>
          <w:szCs w:val="22"/>
          <w:color w:val="auto"/>
        </w:rPr>
      </w:pPr>
    </w:p>
    <w:p>
      <w:pPr>
        <w:jc w:val="both"/>
        <w:ind w:firstLine="8"/>
        <w:spacing w:after="0" w:line="248" w:lineRule="auto"/>
        <w:tabs>
          <w:tab w:leader="none" w:pos="55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amount shown consists of earnings in excess of 120% of the applicable federal rate on the aggregate balances in our executive deferred compensation plan in which Richard M. Jaffee, Chairman of our Board of Directors, participates. A portion of the aggregate balances in this plan earns a rate of return of 2.5% in excess of Moody's Annual Average of Yields on Aaa bonds, while the remainder earns a return equal to our long-term cost of borrowing plus 1%. No director other than Mr. Jaffee has elected to participate in this plan.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80" w:right="239" w:bottom="1440" w:gutter="0" w:footer="0" w:header="0"/>
        </w:sectPr>
      </w:pPr>
    </w:p>
    <w:bookmarkStart w:id="25" w:name="page26"/>
    <w:bookmarkEnd w:id="25"/>
    <w:p>
      <w:pPr>
        <w:jc w:val="both"/>
        <w:ind w:right="20" w:firstLine="8"/>
        <w:spacing w:after="0" w:line="253" w:lineRule="auto"/>
        <w:tabs>
          <w:tab w:leader="none" w:pos="487" w:val="left"/>
        </w:tabs>
        <w:numPr>
          <w:ilvl w:val="0"/>
          <w:numId w:val="33"/>
        </w:numPr>
        <w:rPr>
          <w:rFonts w:ascii="Arial" w:cs="Arial" w:eastAsia="Arial" w:hAnsi="Arial"/>
          <w:sz w:val="22"/>
          <w:szCs w:val="22"/>
          <w:color w:val="auto"/>
        </w:rPr>
      </w:pPr>
      <w:r>
        <w:rPr>
          <w:rFonts w:ascii="Arial" w:cs="Arial" w:eastAsia="Arial" w:hAnsi="Arial"/>
          <w:sz w:val="22"/>
          <w:szCs w:val="22"/>
          <w:color w:val="auto"/>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spacing w:after="0" w:line="139"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Directors’ Option Awards Outstanding Table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July 31, 2016, our directors did not hold any options to purchase shares of our Common Stock.</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Corporate Governance Guidelines and Code of Ethics</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have adopted Corporate Governance Guidelines and a Code of Ethics and Business Conduct. The Code of Ethics and Business Conduct applies to all our employees, officers and directors. The Corporate Governance Guidelines and the Code of Ethics and Business Conduct are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3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14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employ Karen Jaffee Cofsky on a part-time basis as Vice President of Compensation and Benefits. She is the daughter of Richard M. Jaffee, the Chairman of our Board of Directors. She is also the spouse of Thomas F. Cofsky and the sister of Daniel S. Jaffee, both of whom are named executive officers of the Company. Mrs. Cofsky’s compensation is based on her education, experience and the responsibilities of her position. For fiscal 2016, Mrs. Cofsky received a salary of $90,000 and an annual incentive bonus award of $33,750 and an executive deferred bonus award of $13,500 under our annual incentive plan.</w:t>
      </w:r>
    </w:p>
    <w:p>
      <w:pPr>
        <w:sectPr>
          <w:pgSz w:w="11900" w:h="16838" w:orient="portrait"/>
          <w:cols w:equalWidth="0" w:num="1">
            <w:col w:w="11420"/>
          </w:cols>
          <w:pgMar w:left="240" w:top="780" w:right="239" w:bottom="1440" w:gutter="0" w:footer="0" w:header="0"/>
        </w:sectPr>
      </w:pPr>
    </w:p>
    <w:bookmarkStart w:id="26" w:name="page27"/>
    <w:bookmarkEnd w:id="26"/>
    <w:p>
      <w:pPr>
        <w:jc w:val="both"/>
        <w:ind w:firstLine="648"/>
        <w:spacing w:after="0" w:line="253" w:lineRule="auto"/>
        <w:rPr>
          <w:sz w:val="20"/>
          <w:szCs w:val="20"/>
          <w:color w:val="auto"/>
        </w:rPr>
      </w:pPr>
      <w:r>
        <w:rPr>
          <w:rFonts w:ascii="Arial" w:cs="Arial" w:eastAsia="Arial" w:hAnsi="Arial"/>
          <w:sz w:val="22"/>
          <w:szCs w:val="22"/>
          <w:color w:val="auto"/>
        </w:rPr>
        <w:t>Michael A. Nemeroff, a member of our Board of Directors and of its Compensation Committee, is the President and Chief Executive Officer as well as a director of Vedder Price P.C., a law firm that regularly provides services to the Company. During fiscal 2016, we paid Vedder Price P.C. $207,275 for services provided to 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5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Report of the Audit Committee of the Board of Directors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4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Audit Committee reviewed and discussed our audited consolidated financial statements and related footnotes for fiscal 2016 and our independent auditor’s report on those financial statements with our management and internal audit manager.</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Auditing Standard No. 16 adopted by the PCAOB regarding “</w:t>
      </w:r>
      <w:r>
        <w:rPr>
          <w:rFonts w:ascii="Arial" w:cs="Arial" w:eastAsia="Arial" w:hAnsi="Arial"/>
          <w:sz w:val="22"/>
          <w:szCs w:val="22"/>
          <w:i w:val="1"/>
          <w:iCs w:val="1"/>
          <w:color w:val="auto"/>
        </w:rPr>
        <w:t>Communications with Audit Committees</w:t>
      </w:r>
      <w:r>
        <w:rPr>
          <w:rFonts w:ascii="Arial" w:cs="Arial" w:eastAsia="Arial" w:hAnsi="Arial"/>
          <w:sz w:val="22"/>
          <w:szCs w:val="22"/>
          <w:color w:val="auto"/>
        </w:rPr>
        <w:t>” requires certain matters to be discussed between the Audit Committee and the Company’s independent registered public accounting firm. The Audit Committee and Grant Thornton has satisfied this requirement.</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1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Based on the foregoing, the Audit Committee recommended to the Board of Directors that our audited consolidated financial statements for fiscal 2016 be included in our Annual Report on Form 10-K for fiscal 2016 filed with the SEC.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AUDIT COMMITTEE</w:t>
      </w:r>
    </w:p>
    <w:p>
      <w:pPr>
        <w:spacing w:after="0" w:line="200" w:lineRule="exact"/>
        <w:rPr>
          <w:sz w:val="20"/>
          <w:szCs w:val="20"/>
          <w:color w:val="auto"/>
        </w:rPr>
      </w:pPr>
    </w:p>
    <w:p>
      <w:pPr>
        <w:spacing w:after="0" w:line="3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Paul E. Suckow, Chairman</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J. Steven Cole</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Lawrence E. Washow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74" w:right="239" w:bottom="1440" w:gutter="0" w:footer="0" w:header="0"/>
        </w:sectPr>
      </w:pPr>
    </w:p>
    <w:bookmarkStart w:id="28" w:name="page29"/>
    <w:bookmarkEnd w:id="28"/>
    <w:p>
      <w:pPr>
        <w:ind w:left="4500"/>
        <w:spacing w:after="0"/>
        <w:rPr>
          <w:sz w:val="20"/>
          <w:szCs w:val="20"/>
          <w:color w:val="auto"/>
        </w:rPr>
      </w:pPr>
      <w:r>
        <w:rPr>
          <w:rFonts w:ascii="Arial" w:cs="Arial" w:eastAsia="Arial" w:hAnsi="Arial"/>
          <w:sz w:val="22"/>
          <w:szCs w:val="22"/>
          <w:b w:val="1"/>
          <w:bCs w:val="1"/>
          <w:color w:val="auto"/>
        </w:rPr>
        <w:t>EXECUTIVE OFFICERS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gives certain information with respect to our current executive officers.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8120" w:type="dxa"/>
            <w:vAlign w:val="bottom"/>
            <w:tcBorders>
              <w:bottom w:val="single" w:sz="8" w:color="auto"/>
            </w:tcBorders>
          </w:tcPr>
          <w:p>
            <w:pPr>
              <w:ind w:left="360"/>
              <w:spacing w:after="0"/>
              <w:rPr>
                <w:sz w:val="20"/>
                <w:szCs w:val="20"/>
                <w:color w:val="auto"/>
              </w:rPr>
            </w:pPr>
            <w:r>
              <w:rPr>
                <w:rFonts w:ascii="Arial" w:cs="Arial" w:eastAsia="Arial" w:hAnsi="Arial"/>
                <w:sz w:val="22"/>
                <w:szCs w:val="22"/>
                <w:b w:val="1"/>
                <w:bCs w:val="1"/>
                <w:color w:val="auto"/>
              </w:rPr>
              <w:t>Principal Occupation for Last Five Years</w:t>
            </w: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6"/>
              </w:rPr>
              <w:t>Age</w:t>
            </w:r>
          </w:p>
        </w:tc>
      </w:tr>
      <w:tr>
        <w:trPr>
          <w:trHeight w:val="297"/>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Daniel S. Jaffee (1)</w:t>
            </w: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President and Chief Executive Officer of the Company since 1997.</w:t>
            </w:r>
          </w:p>
        </w:tc>
        <w:tc>
          <w:tcPr>
            <w:tcW w:w="88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89"/>
              </w:rPr>
              <w:t>52</w:t>
            </w:r>
          </w:p>
        </w:tc>
      </w:tr>
      <w:tr>
        <w:trPr>
          <w:trHeight w:val="249"/>
        </w:trPr>
        <w:tc>
          <w:tcPr>
            <w:tcW w:w="2420" w:type="dxa"/>
            <w:vAlign w:val="bottom"/>
          </w:tcPr>
          <w:p>
            <w:pPr>
              <w:ind w:left="40"/>
              <w:spacing w:after="0" w:line="248" w:lineRule="exact"/>
              <w:rPr>
                <w:sz w:val="20"/>
                <w:szCs w:val="20"/>
                <w:color w:val="auto"/>
              </w:rPr>
            </w:pPr>
            <w:r>
              <w:rPr>
                <w:rFonts w:ascii="Arial" w:cs="Arial" w:eastAsia="Arial" w:hAnsi="Arial"/>
                <w:sz w:val="22"/>
                <w:szCs w:val="22"/>
                <w:color w:val="auto"/>
              </w:rPr>
              <w:t>Daniel T. Smith</w:t>
            </w:r>
          </w:p>
        </w:tc>
        <w:tc>
          <w:tcPr>
            <w:tcW w:w="8120" w:type="dxa"/>
            <w:vAlign w:val="bottom"/>
          </w:tcPr>
          <w:p>
            <w:pPr>
              <w:ind w:left="360"/>
              <w:spacing w:after="0" w:line="248" w:lineRule="exact"/>
              <w:rPr>
                <w:sz w:val="20"/>
                <w:szCs w:val="20"/>
                <w:color w:val="auto"/>
              </w:rPr>
            </w:pPr>
            <w:r>
              <w:rPr>
                <w:rFonts w:ascii="Arial" w:cs="Arial" w:eastAsia="Arial" w:hAnsi="Arial"/>
                <w:sz w:val="22"/>
                <w:szCs w:val="22"/>
                <w:color w:val="auto"/>
              </w:rPr>
              <w:t>Vice President, Chief Financial Officer of the Company since June 2012; Vice</w:t>
            </w:r>
          </w:p>
        </w:tc>
        <w:tc>
          <w:tcPr>
            <w:tcW w:w="880" w:type="dxa"/>
            <w:vAlign w:val="bottom"/>
          </w:tcPr>
          <w:p>
            <w:pPr>
              <w:jc w:val="center"/>
              <w:ind w:right="32"/>
              <w:spacing w:after="0" w:line="248" w:lineRule="exact"/>
              <w:rPr>
                <w:sz w:val="20"/>
                <w:szCs w:val="20"/>
                <w:color w:val="auto"/>
              </w:rPr>
            </w:pPr>
            <w:r>
              <w:rPr>
                <w:rFonts w:ascii="Arial" w:cs="Arial" w:eastAsia="Arial" w:hAnsi="Arial"/>
                <w:sz w:val="22"/>
                <w:szCs w:val="22"/>
                <w:color w:val="auto"/>
                <w:w w:val="89"/>
              </w:rPr>
              <w:t>57</w:t>
            </w:r>
          </w:p>
        </w:tc>
      </w:tr>
      <w:tr>
        <w:trPr>
          <w:trHeight w:val="243"/>
        </w:trPr>
        <w:tc>
          <w:tcPr>
            <w:tcW w:w="2420" w:type="dxa"/>
            <w:vAlign w:val="bottom"/>
          </w:tcPr>
          <w:p>
            <w:pPr>
              <w:spacing w:after="0"/>
              <w:rPr>
                <w:sz w:val="21"/>
                <w:szCs w:val="21"/>
                <w:color w:val="auto"/>
              </w:rPr>
            </w:pPr>
          </w:p>
        </w:tc>
        <w:tc>
          <w:tcPr>
            <w:tcW w:w="8120" w:type="dxa"/>
            <w:vAlign w:val="bottom"/>
          </w:tcPr>
          <w:p>
            <w:pPr>
              <w:ind w:left="360"/>
              <w:spacing w:after="0" w:line="243" w:lineRule="exact"/>
              <w:rPr>
                <w:sz w:val="20"/>
                <w:szCs w:val="20"/>
                <w:color w:val="auto"/>
              </w:rPr>
            </w:pPr>
            <w:r>
              <w:rPr>
                <w:rFonts w:ascii="Arial" w:cs="Arial" w:eastAsia="Arial" w:hAnsi="Arial"/>
                <w:sz w:val="22"/>
                <w:szCs w:val="22"/>
                <w:color w:val="auto"/>
                <w:w w:val="97"/>
              </w:rPr>
              <w:t>President, Chief Accounting Officer and Controller of the Company from February</w:t>
            </w:r>
          </w:p>
        </w:tc>
        <w:tc>
          <w:tcPr>
            <w:tcW w:w="880" w:type="dxa"/>
            <w:vAlign w:val="bottom"/>
          </w:tcPr>
          <w:p>
            <w:pPr>
              <w:spacing w:after="0"/>
              <w:rPr>
                <w:sz w:val="21"/>
                <w:szCs w:val="21"/>
                <w:color w:val="auto"/>
              </w:rPr>
            </w:pPr>
          </w:p>
        </w:tc>
      </w:tr>
      <w:tr>
        <w:trPr>
          <w:trHeight w:val="243"/>
        </w:trPr>
        <w:tc>
          <w:tcPr>
            <w:tcW w:w="2420" w:type="dxa"/>
            <w:vAlign w:val="bottom"/>
          </w:tcPr>
          <w:p>
            <w:pPr>
              <w:spacing w:after="0"/>
              <w:rPr>
                <w:sz w:val="21"/>
                <w:szCs w:val="21"/>
                <w:color w:val="auto"/>
              </w:rPr>
            </w:pPr>
          </w:p>
        </w:tc>
        <w:tc>
          <w:tcPr>
            <w:tcW w:w="8120" w:type="dxa"/>
            <w:vAlign w:val="bottom"/>
          </w:tcPr>
          <w:p>
            <w:pPr>
              <w:ind w:left="360"/>
              <w:spacing w:after="0" w:line="243" w:lineRule="exact"/>
              <w:rPr>
                <w:sz w:val="20"/>
                <w:szCs w:val="20"/>
                <w:color w:val="auto"/>
              </w:rPr>
            </w:pPr>
            <w:r>
              <w:rPr>
                <w:rFonts w:ascii="Arial" w:cs="Arial" w:eastAsia="Arial" w:hAnsi="Arial"/>
                <w:sz w:val="22"/>
                <w:szCs w:val="22"/>
                <w:color w:val="auto"/>
              </w:rPr>
              <w:t>2011 to May 2012; Vice President and Controller of the Company from 2001 to</w:t>
            </w:r>
          </w:p>
        </w:tc>
        <w:tc>
          <w:tcPr>
            <w:tcW w:w="880" w:type="dxa"/>
            <w:vAlign w:val="bottom"/>
          </w:tcPr>
          <w:p>
            <w:pPr>
              <w:spacing w:after="0"/>
              <w:rPr>
                <w:sz w:val="21"/>
                <w:szCs w:val="21"/>
                <w:color w:val="auto"/>
              </w:rPr>
            </w:pPr>
          </w:p>
        </w:tc>
      </w:tr>
      <w:tr>
        <w:trPr>
          <w:trHeight w:val="283"/>
        </w:trPr>
        <w:tc>
          <w:tcPr>
            <w:tcW w:w="2420" w:type="dxa"/>
            <w:vAlign w:val="bottom"/>
          </w:tcPr>
          <w:p>
            <w:pPr>
              <w:spacing w:after="0"/>
              <w:rPr>
                <w:sz w:val="24"/>
                <w:szCs w:val="24"/>
                <w:color w:val="auto"/>
              </w:rPr>
            </w:pPr>
          </w:p>
        </w:tc>
        <w:tc>
          <w:tcPr>
            <w:tcW w:w="8120" w:type="dxa"/>
            <w:vAlign w:val="bottom"/>
          </w:tcPr>
          <w:p>
            <w:pPr>
              <w:ind w:left="360"/>
              <w:spacing w:after="0"/>
              <w:rPr>
                <w:sz w:val="20"/>
                <w:szCs w:val="20"/>
                <w:color w:val="auto"/>
              </w:rPr>
            </w:pPr>
            <w:r>
              <w:rPr>
                <w:rFonts w:ascii="Arial" w:cs="Arial" w:eastAsia="Arial" w:hAnsi="Arial"/>
                <w:sz w:val="22"/>
                <w:szCs w:val="22"/>
                <w:color w:val="auto"/>
              </w:rPr>
              <w:t>February 2011.</w:t>
            </w:r>
          </w:p>
        </w:tc>
        <w:tc>
          <w:tcPr>
            <w:tcW w:w="880" w:type="dxa"/>
            <w:vAlign w:val="bottom"/>
          </w:tcPr>
          <w:p>
            <w:pPr>
              <w:spacing w:after="0"/>
              <w:rPr>
                <w:sz w:val="24"/>
                <w:szCs w:val="24"/>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Aaron V. Christiansen</w:t>
            </w: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w w:val="95"/>
              </w:rPr>
              <w:t>Vice President, Manufacturing - Consumer Packaged Goods of the Company since</w:t>
            </w:r>
          </w:p>
        </w:tc>
        <w:tc>
          <w:tcPr>
            <w:tcW w:w="88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89"/>
              </w:rPr>
              <w:t>39</w:t>
            </w:r>
          </w:p>
        </w:tc>
      </w:tr>
      <w:tr>
        <w:trPr>
          <w:trHeight w:val="292"/>
        </w:trPr>
        <w:tc>
          <w:tcPr>
            <w:tcW w:w="2420" w:type="dxa"/>
            <w:vAlign w:val="bottom"/>
            <w:shd w:val="clear" w:color="auto" w:fill="CCEEFF"/>
          </w:tcPr>
          <w:p>
            <w:pPr>
              <w:spacing w:after="0"/>
              <w:rPr>
                <w:sz w:val="24"/>
                <w:szCs w:val="24"/>
                <w:color w:val="auto"/>
              </w:rPr>
            </w:pP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August 2015; Manufacturing Manager, Unilever from July 2005 to 2015.</w:t>
            </w:r>
          </w:p>
        </w:tc>
        <w:tc>
          <w:tcPr>
            <w:tcW w:w="880" w:type="dxa"/>
            <w:vAlign w:val="bottom"/>
            <w:shd w:val="clear" w:color="auto" w:fill="CCEEFF"/>
          </w:tcPr>
          <w:p>
            <w:pPr>
              <w:spacing w:after="0"/>
              <w:rPr>
                <w:sz w:val="24"/>
                <w:szCs w:val="24"/>
                <w:color w:val="auto"/>
              </w:rPr>
            </w:pPr>
          </w:p>
        </w:tc>
      </w:tr>
      <w:tr>
        <w:trPr>
          <w:trHeight w:val="249"/>
        </w:trPr>
        <w:tc>
          <w:tcPr>
            <w:tcW w:w="2420" w:type="dxa"/>
            <w:vAlign w:val="bottom"/>
          </w:tcPr>
          <w:p>
            <w:pPr>
              <w:ind w:left="40"/>
              <w:spacing w:after="0" w:line="248" w:lineRule="exact"/>
              <w:rPr>
                <w:sz w:val="20"/>
                <w:szCs w:val="20"/>
                <w:color w:val="auto"/>
              </w:rPr>
            </w:pPr>
            <w:r>
              <w:rPr>
                <w:rFonts w:ascii="Arial" w:cs="Arial" w:eastAsia="Arial" w:hAnsi="Arial"/>
                <w:sz w:val="22"/>
                <w:szCs w:val="22"/>
                <w:color w:val="auto"/>
              </w:rPr>
              <w:t>Thomas F. Cofsky (2)</w:t>
            </w:r>
          </w:p>
        </w:tc>
        <w:tc>
          <w:tcPr>
            <w:tcW w:w="8120" w:type="dxa"/>
            <w:vAlign w:val="bottom"/>
          </w:tcPr>
          <w:p>
            <w:pPr>
              <w:ind w:left="360"/>
              <w:spacing w:after="0" w:line="248" w:lineRule="exact"/>
              <w:rPr>
                <w:sz w:val="20"/>
                <w:szCs w:val="20"/>
                <w:color w:val="auto"/>
              </w:rPr>
            </w:pPr>
            <w:r>
              <w:rPr>
                <w:rFonts w:ascii="Arial" w:cs="Arial" w:eastAsia="Arial" w:hAnsi="Arial"/>
                <w:sz w:val="22"/>
                <w:szCs w:val="22"/>
                <w:color w:val="auto"/>
                <w:w w:val="94"/>
              </w:rPr>
              <w:t>Vice President, Manufacturing - Industrial of the Company since October 2015; Vice</w:t>
            </w:r>
          </w:p>
        </w:tc>
        <w:tc>
          <w:tcPr>
            <w:tcW w:w="880" w:type="dxa"/>
            <w:vAlign w:val="bottom"/>
          </w:tcPr>
          <w:p>
            <w:pPr>
              <w:jc w:val="center"/>
              <w:ind w:right="32"/>
              <w:spacing w:after="0" w:line="248" w:lineRule="exact"/>
              <w:rPr>
                <w:sz w:val="20"/>
                <w:szCs w:val="20"/>
                <w:color w:val="auto"/>
              </w:rPr>
            </w:pPr>
            <w:r>
              <w:rPr>
                <w:rFonts w:ascii="Arial" w:cs="Arial" w:eastAsia="Arial" w:hAnsi="Arial"/>
                <w:sz w:val="22"/>
                <w:szCs w:val="22"/>
                <w:color w:val="auto"/>
                <w:w w:val="89"/>
              </w:rPr>
              <w:t>55</w:t>
            </w:r>
          </w:p>
        </w:tc>
      </w:tr>
      <w:tr>
        <w:trPr>
          <w:trHeight w:val="243"/>
        </w:trPr>
        <w:tc>
          <w:tcPr>
            <w:tcW w:w="2420" w:type="dxa"/>
            <w:vAlign w:val="bottom"/>
          </w:tcPr>
          <w:p>
            <w:pPr>
              <w:spacing w:after="0"/>
              <w:rPr>
                <w:sz w:val="21"/>
                <w:szCs w:val="21"/>
                <w:color w:val="auto"/>
              </w:rPr>
            </w:pPr>
          </w:p>
        </w:tc>
        <w:tc>
          <w:tcPr>
            <w:tcW w:w="8120" w:type="dxa"/>
            <w:vAlign w:val="bottom"/>
          </w:tcPr>
          <w:p>
            <w:pPr>
              <w:ind w:left="360"/>
              <w:spacing w:after="0" w:line="243" w:lineRule="exact"/>
              <w:rPr>
                <w:sz w:val="20"/>
                <w:szCs w:val="20"/>
                <w:color w:val="auto"/>
              </w:rPr>
            </w:pPr>
            <w:r>
              <w:rPr>
                <w:rFonts w:ascii="Arial" w:cs="Arial" w:eastAsia="Arial" w:hAnsi="Arial"/>
                <w:sz w:val="22"/>
                <w:szCs w:val="22"/>
                <w:color w:val="auto"/>
                <w:w w:val="95"/>
              </w:rPr>
              <w:t>President, Manufacturing of the Company from October 2011 to October 2015; Vice</w:t>
            </w:r>
          </w:p>
        </w:tc>
        <w:tc>
          <w:tcPr>
            <w:tcW w:w="880" w:type="dxa"/>
            <w:vAlign w:val="bottom"/>
          </w:tcPr>
          <w:p>
            <w:pPr>
              <w:spacing w:after="0"/>
              <w:rPr>
                <w:sz w:val="21"/>
                <w:szCs w:val="21"/>
                <w:color w:val="auto"/>
              </w:rPr>
            </w:pPr>
          </w:p>
        </w:tc>
      </w:tr>
      <w:tr>
        <w:trPr>
          <w:trHeight w:val="283"/>
        </w:trPr>
        <w:tc>
          <w:tcPr>
            <w:tcW w:w="2420" w:type="dxa"/>
            <w:vAlign w:val="bottom"/>
          </w:tcPr>
          <w:p>
            <w:pPr>
              <w:spacing w:after="0"/>
              <w:rPr>
                <w:sz w:val="24"/>
                <w:szCs w:val="24"/>
                <w:color w:val="auto"/>
              </w:rPr>
            </w:pPr>
          </w:p>
        </w:tc>
        <w:tc>
          <w:tcPr>
            <w:tcW w:w="8120" w:type="dxa"/>
            <w:vAlign w:val="bottom"/>
          </w:tcPr>
          <w:p>
            <w:pPr>
              <w:ind w:left="360"/>
              <w:spacing w:after="0"/>
              <w:rPr>
                <w:sz w:val="20"/>
                <w:szCs w:val="20"/>
                <w:color w:val="auto"/>
              </w:rPr>
            </w:pPr>
            <w:r>
              <w:rPr>
                <w:rFonts w:ascii="Arial" w:cs="Arial" w:eastAsia="Arial" w:hAnsi="Arial"/>
                <w:sz w:val="22"/>
                <w:szCs w:val="22"/>
                <w:color w:val="auto"/>
                <w:w w:val="92"/>
              </w:rPr>
              <w:t>President of Manufacturing and Logistics of the Company from 1999 to October 2011.</w:t>
            </w:r>
          </w:p>
        </w:tc>
        <w:tc>
          <w:tcPr>
            <w:tcW w:w="880" w:type="dxa"/>
            <w:vAlign w:val="bottom"/>
          </w:tcPr>
          <w:p>
            <w:pPr>
              <w:spacing w:after="0"/>
              <w:rPr>
                <w:sz w:val="24"/>
                <w:szCs w:val="24"/>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Douglas A. Graham</w:t>
            </w: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w w:val="95"/>
              </w:rPr>
              <w:t>Vice President, General Counsel and Secretary of the Company since March 2011;</w:t>
            </w:r>
          </w:p>
        </w:tc>
        <w:tc>
          <w:tcPr>
            <w:tcW w:w="88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89"/>
              </w:rPr>
              <w:t>53</w:t>
            </w:r>
          </w:p>
        </w:tc>
      </w:tr>
      <w:tr>
        <w:trPr>
          <w:trHeight w:val="243"/>
        </w:trPr>
        <w:tc>
          <w:tcPr>
            <w:tcW w:w="2420" w:type="dxa"/>
            <w:vAlign w:val="bottom"/>
            <w:shd w:val="clear" w:color="auto" w:fill="CCEEFF"/>
          </w:tcPr>
          <w:p>
            <w:pPr>
              <w:spacing w:after="0"/>
              <w:rPr>
                <w:sz w:val="21"/>
                <w:szCs w:val="21"/>
                <w:color w:val="auto"/>
              </w:rPr>
            </w:pPr>
          </w:p>
        </w:tc>
        <w:tc>
          <w:tcPr>
            <w:tcW w:w="812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w w:val="93"/>
              </w:rPr>
              <w:t>General Counsel of the Company since February 2011; Assistant General Counsel at</w:t>
            </w:r>
          </w:p>
        </w:tc>
        <w:tc>
          <w:tcPr>
            <w:tcW w:w="880" w:type="dxa"/>
            <w:vAlign w:val="bottom"/>
            <w:shd w:val="clear" w:color="auto" w:fill="CCEEFF"/>
          </w:tcPr>
          <w:p>
            <w:pPr>
              <w:spacing w:after="0"/>
              <w:rPr>
                <w:sz w:val="21"/>
                <w:szCs w:val="21"/>
                <w:color w:val="auto"/>
              </w:rPr>
            </w:pPr>
          </w:p>
        </w:tc>
      </w:tr>
      <w:tr>
        <w:trPr>
          <w:trHeight w:val="292"/>
        </w:trPr>
        <w:tc>
          <w:tcPr>
            <w:tcW w:w="2420" w:type="dxa"/>
            <w:vAlign w:val="bottom"/>
            <w:shd w:val="clear" w:color="auto" w:fill="CCEEFF"/>
          </w:tcPr>
          <w:p>
            <w:pPr>
              <w:spacing w:after="0"/>
              <w:rPr>
                <w:sz w:val="24"/>
                <w:szCs w:val="24"/>
                <w:color w:val="auto"/>
              </w:rPr>
            </w:pP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Commonwealth Edison Company from January 2008 to February 2011.</w:t>
            </w:r>
          </w:p>
        </w:tc>
        <w:tc>
          <w:tcPr>
            <w:tcW w:w="880" w:type="dxa"/>
            <w:vAlign w:val="bottom"/>
            <w:shd w:val="clear" w:color="auto" w:fill="CCEEFF"/>
          </w:tcPr>
          <w:p>
            <w:pPr>
              <w:spacing w:after="0"/>
              <w:rPr>
                <w:sz w:val="24"/>
                <w:szCs w:val="24"/>
                <w:color w:val="auto"/>
              </w:rPr>
            </w:pPr>
          </w:p>
        </w:tc>
      </w:tr>
      <w:tr>
        <w:trPr>
          <w:trHeight w:val="249"/>
        </w:trPr>
        <w:tc>
          <w:tcPr>
            <w:tcW w:w="2420" w:type="dxa"/>
            <w:vAlign w:val="bottom"/>
          </w:tcPr>
          <w:p>
            <w:pPr>
              <w:ind w:left="40"/>
              <w:spacing w:after="0" w:line="248" w:lineRule="exact"/>
              <w:rPr>
                <w:sz w:val="20"/>
                <w:szCs w:val="20"/>
                <w:color w:val="auto"/>
              </w:rPr>
            </w:pPr>
            <w:r>
              <w:rPr>
                <w:rFonts w:ascii="Arial" w:cs="Arial" w:eastAsia="Arial" w:hAnsi="Arial"/>
                <w:sz w:val="22"/>
                <w:szCs w:val="22"/>
                <w:color w:val="auto"/>
              </w:rPr>
              <w:t>Mark E. Lewry</w:t>
            </w:r>
          </w:p>
        </w:tc>
        <w:tc>
          <w:tcPr>
            <w:tcW w:w="8120" w:type="dxa"/>
            <w:vAlign w:val="bottom"/>
          </w:tcPr>
          <w:p>
            <w:pPr>
              <w:ind w:left="360"/>
              <w:spacing w:after="0" w:line="248" w:lineRule="exact"/>
              <w:rPr>
                <w:sz w:val="20"/>
                <w:szCs w:val="20"/>
                <w:color w:val="auto"/>
              </w:rPr>
            </w:pPr>
            <w:r>
              <w:rPr>
                <w:rFonts w:ascii="Arial" w:cs="Arial" w:eastAsia="Arial" w:hAnsi="Arial"/>
                <w:sz w:val="22"/>
                <w:szCs w:val="22"/>
                <w:color w:val="auto"/>
                <w:w w:val="98"/>
              </w:rPr>
              <w:t>Chief Operating Officer of the Company since March 2014; Group President, The</w:t>
            </w:r>
          </w:p>
        </w:tc>
        <w:tc>
          <w:tcPr>
            <w:tcW w:w="880" w:type="dxa"/>
            <w:vAlign w:val="bottom"/>
          </w:tcPr>
          <w:p>
            <w:pPr>
              <w:jc w:val="center"/>
              <w:ind w:right="32"/>
              <w:spacing w:after="0" w:line="248" w:lineRule="exact"/>
              <w:rPr>
                <w:sz w:val="20"/>
                <w:szCs w:val="20"/>
                <w:color w:val="auto"/>
              </w:rPr>
            </w:pPr>
            <w:r>
              <w:rPr>
                <w:rFonts w:ascii="Arial" w:cs="Arial" w:eastAsia="Arial" w:hAnsi="Arial"/>
                <w:sz w:val="22"/>
                <w:szCs w:val="22"/>
                <w:color w:val="auto"/>
                <w:w w:val="89"/>
              </w:rPr>
              <w:t>58</w:t>
            </w:r>
          </w:p>
        </w:tc>
      </w:tr>
      <w:tr>
        <w:trPr>
          <w:trHeight w:val="243"/>
        </w:trPr>
        <w:tc>
          <w:tcPr>
            <w:tcW w:w="2420" w:type="dxa"/>
            <w:vAlign w:val="bottom"/>
          </w:tcPr>
          <w:p>
            <w:pPr>
              <w:spacing w:after="0"/>
              <w:rPr>
                <w:sz w:val="21"/>
                <w:szCs w:val="21"/>
                <w:color w:val="auto"/>
              </w:rPr>
            </w:pPr>
          </w:p>
        </w:tc>
        <w:tc>
          <w:tcPr>
            <w:tcW w:w="8120" w:type="dxa"/>
            <w:vAlign w:val="bottom"/>
          </w:tcPr>
          <w:p>
            <w:pPr>
              <w:ind w:left="360"/>
              <w:spacing w:after="0" w:line="243" w:lineRule="exact"/>
              <w:rPr>
                <w:sz w:val="20"/>
                <w:szCs w:val="20"/>
                <w:color w:val="auto"/>
              </w:rPr>
            </w:pPr>
            <w:r>
              <w:rPr>
                <w:rFonts w:ascii="Arial" w:cs="Arial" w:eastAsia="Arial" w:hAnsi="Arial"/>
                <w:sz w:val="22"/>
                <w:szCs w:val="22"/>
                <w:color w:val="auto"/>
              </w:rPr>
              <w:t>Marmon Group/A Berkshire Hathaway Company from July 2011 to April 2013;</w:t>
            </w:r>
          </w:p>
        </w:tc>
        <w:tc>
          <w:tcPr>
            <w:tcW w:w="880" w:type="dxa"/>
            <w:vAlign w:val="bottom"/>
          </w:tcPr>
          <w:p>
            <w:pPr>
              <w:spacing w:after="0"/>
              <w:rPr>
                <w:sz w:val="21"/>
                <w:szCs w:val="21"/>
                <w:color w:val="auto"/>
              </w:rPr>
            </w:pPr>
          </w:p>
        </w:tc>
      </w:tr>
      <w:tr>
        <w:trPr>
          <w:trHeight w:val="283"/>
        </w:trPr>
        <w:tc>
          <w:tcPr>
            <w:tcW w:w="2420" w:type="dxa"/>
            <w:vAlign w:val="bottom"/>
          </w:tcPr>
          <w:p>
            <w:pPr>
              <w:spacing w:after="0"/>
              <w:rPr>
                <w:sz w:val="24"/>
                <w:szCs w:val="24"/>
                <w:color w:val="auto"/>
              </w:rPr>
            </w:pPr>
          </w:p>
        </w:tc>
        <w:tc>
          <w:tcPr>
            <w:tcW w:w="8120" w:type="dxa"/>
            <w:vAlign w:val="bottom"/>
          </w:tcPr>
          <w:p>
            <w:pPr>
              <w:ind w:left="360"/>
              <w:spacing w:after="0"/>
              <w:rPr>
                <w:sz w:val="20"/>
                <w:szCs w:val="20"/>
                <w:color w:val="auto"/>
              </w:rPr>
            </w:pPr>
            <w:r>
              <w:rPr>
                <w:rFonts w:ascii="Arial" w:cs="Arial" w:eastAsia="Arial" w:hAnsi="Arial"/>
                <w:sz w:val="22"/>
                <w:szCs w:val="22"/>
                <w:color w:val="auto"/>
              </w:rPr>
              <w:t>President and CEO, Conwed Plastics from 2003 to 2011.</w:t>
            </w:r>
          </w:p>
        </w:tc>
        <w:tc>
          <w:tcPr>
            <w:tcW w:w="880" w:type="dxa"/>
            <w:vAlign w:val="bottom"/>
          </w:tcPr>
          <w:p>
            <w:pPr>
              <w:spacing w:after="0"/>
              <w:rPr>
                <w:sz w:val="24"/>
                <w:szCs w:val="24"/>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Michael A. McPherson</w:t>
            </w: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w w:val="99"/>
              </w:rPr>
              <w:t>Chief Development Officer of the Company since October 2016; Vice President,</w:t>
            </w:r>
          </w:p>
        </w:tc>
        <w:tc>
          <w:tcPr>
            <w:tcW w:w="88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89"/>
              </w:rPr>
              <w:t>51</w:t>
            </w:r>
          </w:p>
        </w:tc>
      </w:tr>
      <w:tr>
        <w:trPr>
          <w:trHeight w:val="243"/>
        </w:trPr>
        <w:tc>
          <w:tcPr>
            <w:tcW w:w="2420" w:type="dxa"/>
            <w:vAlign w:val="bottom"/>
            <w:shd w:val="clear" w:color="auto" w:fill="CCEEFF"/>
          </w:tcPr>
          <w:p>
            <w:pPr>
              <w:spacing w:after="0"/>
              <w:rPr>
                <w:sz w:val="21"/>
                <w:szCs w:val="21"/>
                <w:color w:val="auto"/>
              </w:rPr>
            </w:pPr>
          </w:p>
        </w:tc>
        <w:tc>
          <w:tcPr>
            <w:tcW w:w="812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w w:val="98"/>
              </w:rPr>
              <w:t>Business-to-Business Marketing &amp; Business Development of the Company since</w:t>
            </w:r>
          </w:p>
        </w:tc>
        <w:tc>
          <w:tcPr>
            <w:tcW w:w="880" w:type="dxa"/>
            <w:vAlign w:val="bottom"/>
            <w:shd w:val="clear" w:color="auto" w:fill="CCEEFF"/>
          </w:tcPr>
          <w:p>
            <w:pPr>
              <w:spacing w:after="0"/>
              <w:rPr>
                <w:sz w:val="21"/>
                <w:szCs w:val="21"/>
                <w:color w:val="auto"/>
              </w:rPr>
            </w:pPr>
          </w:p>
        </w:tc>
      </w:tr>
      <w:tr>
        <w:trPr>
          <w:trHeight w:val="243"/>
        </w:trPr>
        <w:tc>
          <w:tcPr>
            <w:tcW w:w="2420" w:type="dxa"/>
            <w:vAlign w:val="bottom"/>
            <w:shd w:val="clear" w:color="auto" w:fill="CCEEFF"/>
          </w:tcPr>
          <w:p>
            <w:pPr>
              <w:spacing w:after="0"/>
              <w:rPr>
                <w:sz w:val="21"/>
                <w:szCs w:val="21"/>
                <w:color w:val="auto"/>
              </w:rPr>
            </w:pPr>
          </w:p>
        </w:tc>
        <w:tc>
          <w:tcPr>
            <w:tcW w:w="812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w w:val="91"/>
              </w:rPr>
              <w:t>December 2013; Vice President, Business-to-Business Marketing of the Company from</w:t>
            </w:r>
          </w:p>
        </w:tc>
        <w:tc>
          <w:tcPr>
            <w:tcW w:w="880" w:type="dxa"/>
            <w:vAlign w:val="bottom"/>
            <w:shd w:val="clear" w:color="auto" w:fill="CCEEFF"/>
          </w:tcPr>
          <w:p>
            <w:pPr>
              <w:spacing w:after="0"/>
              <w:rPr>
                <w:sz w:val="21"/>
                <w:szCs w:val="21"/>
                <w:color w:val="auto"/>
              </w:rPr>
            </w:pPr>
          </w:p>
        </w:tc>
      </w:tr>
      <w:tr>
        <w:trPr>
          <w:trHeight w:val="292"/>
        </w:trPr>
        <w:tc>
          <w:tcPr>
            <w:tcW w:w="2420" w:type="dxa"/>
            <w:vAlign w:val="bottom"/>
            <w:shd w:val="clear" w:color="auto" w:fill="CCEEFF"/>
          </w:tcPr>
          <w:p>
            <w:pPr>
              <w:spacing w:after="0"/>
              <w:rPr>
                <w:sz w:val="24"/>
                <w:szCs w:val="24"/>
                <w:color w:val="auto"/>
              </w:rPr>
            </w:pP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December 2009 to December 2013.</w:t>
            </w:r>
          </w:p>
        </w:tc>
        <w:tc>
          <w:tcPr>
            <w:tcW w:w="880" w:type="dxa"/>
            <w:vAlign w:val="bottom"/>
            <w:shd w:val="clear" w:color="auto" w:fill="CCEEFF"/>
          </w:tcPr>
          <w:p>
            <w:pPr>
              <w:spacing w:after="0"/>
              <w:rPr>
                <w:sz w:val="24"/>
                <w:szCs w:val="24"/>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All of our executive officers are appointed annually and serve at the pleasure of our Board of Directors.</w:t>
      </w:r>
    </w:p>
    <w:p>
      <w:pPr>
        <w:spacing w:after="0" w:line="85" w:lineRule="exact"/>
        <w:rPr>
          <w:sz w:val="20"/>
          <w:szCs w:val="20"/>
          <w:color w:val="auto"/>
        </w:rPr>
      </w:pPr>
    </w:p>
    <w:p>
      <w:pPr>
        <w:ind w:firstLine="8"/>
        <w:spacing w:after="0" w:line="263" w:lineRule="auto"/>
        <w:tabs>
          <w:tab w:leader="none" w:pos="570" w:val="left"/>
        </w:tabs>
        <w:numPr>
          <w:ilvl w:val="0"/>
          <w:numId w:val="34"/>
        </w:numPr>
        <w:rPr>
          <w:rFonts w:ascii="Arial" w:cs="Arial" w:eastAsia="Arial" w:hAnsi="Arial"/>
          <w:sz w:val="22"/>
          <w:szCs w:val="22"/>
          <w:color w:val="auto"/>
        </w:rPr>
      </w:pPr>
      <w:r>
        <w:rPr>
          <w:rFonts w:ascii="Arial" w:cs="Arial" w:eastAsia="Arial" w:hAnsi="Arial"/>
          <w:sz w:val="22"/>
          <w:szCs w:val="22"/>
          <w:color w:val="auto"/>
        </w:rPr>
        <w:t>Of the persons in this table, only Mr. Jaffee is also a director. Daniel S. Jaffee is the son of our Chairman of the Board, Richard M. Jaffee, and the brother-in-law of Thomas F. Cofsky, an executive officer of the Company.</w:t>
      </w:r>
    </w:p>
    <w:p>
      <w:pPr>
        <w:spacing w:after="0" w:line="39" w:lineRule="exact"/>
        <w:rPr>
          <w:rFonts w:ascii="Arial" w:cs="Arial" w:eastAsia="Arial" w:hAnsi="Arial"/>
          <w:sz w:val="22"/>
          <w:szCs w:val="22"/>
          <w:color w:val="auto"/>
        </w:rPr>
      </w:pPr>
    </w:p>
    <w:p>
      <w:pPr>
        <w:ind w:left="480" w:hanging="472"/>
        <w:spacing w:after="0"/>
        <w:tabs>
          <w:tab w:leader="none" w:pos="4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Thomas F. Cofsky is Daniel S. Jaffee’s brother-in-law and the son-in-law of our Chairman of the Board, Richard M. Jaffee.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Compensation Discussion and Analysis presents an overview of our compensation program, focusing on the elements of compensation awarded or paid to our executive officers, including the named executive officers. This Compensation Discussion and Analysis, the compensation tables and related narrative and tabular disclosures refer to the named executive officers for fiscal 2016, as defined by Item 402 of Regulation S-K. Our current executive officers, which include the named executive officers, are listed on the preceding page.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executive compensation program is designed to attract and retain skilled executives and maintain a strong link between corporate financial performance and pay by rewarding achievement of company-wide goals. Our compensation philosophy and objectives emphasize teamwork and close collaboration between executive officers. We employ all executives at-will, without written employment agreements or a prospective severance plan. We provide modest perquisites that are designed to help executives fulfill their duties to the Company. None of our employees, including the named executive officers, are entitled to any payment or accelerated benefit upon change in control of the Company unless benefits are provided for in compensation plans that apply to all participants. We emphasize our core values and belief in teamwork by focusing on one corporate financial target for all salaried employees in our annual incentive plan. The annual incentive plan also involves communication to employees of expectations for the Company’s performance and links Company performance and annual compensation. As a result, our annual incentive plan provides an opportunity for essentially all salaried employees (including our executive officers) to earn a performance-based cash incentive award. Through such broad-based participation, each salaried employee recognizes that he or she can contribute to our success. Finally, our compensation program provides equivalent benefits for all U.S.-based salaried employees and similar benefits for hourly-paid manufacturing employees.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Fiscal 2016</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fiscal 2016 corporate financial performance met the threshold for payment of a performance-based cash incentive award and exceeded the target achievement level listed below. Our adjusted, pre-tax, pre-bonus income resulted in cash incentive awards of 109% of target bonus to eligible employees exempt from the overtime provisions of the Fair Labor Standard Act (the “FLSA”), including our executive officers (“exempt employees”). However, our annual incentive plan gives our CEO the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Due to a variety of factors, including the Company’s margin improvements in fiscal 2016 and the occurrence of certain events (e.g., expanded advertising to compete in the lightweight cat litter category), and after consulting with (a) our CFO, (b) our Chairman of the Board and (c) each member of our Compensation Committee, our CEO used such discretionary authority for fiscal 2016 to set cash incentive awards paid to most exempt employees (other than the CEO) at 150% of target bonus. At its September 9, 2016 meeting, for the reasons set forth above (among others), our Compensation Committee set the cash incentive award paid to our CEO at 150% of target bonus. Since our fiscal 2016 corporate financial performance met the threshold for payment of a performance-based cash incentive award, cash incentive awards were paid to eligible employees not exempt from the overtime provisions of FLSA (“non-exempt employees”) at 100% of target bonus.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74" w:right="239" w:bottom="1440" w:gutter="0" w:footer="0" w:header="0"/>
        </w:sectPr>
      </w:pPr>
    </w:p>
    <w:bookmarkStart w:id="30" w:name="page31"/>
    <w:bookmarkEnd w:id="30"/>
    <w:p>
      <w:pPr>
        <w:jc w:val="both"/>
        <w:ind w:firstLine="648"/>
        <w:spacing w:after="0" w:line="258" w:lineRule="auto"/>
        <w:rPr>
          <w:sz w:val="20"/>
          <w:szCs w:val="20"/>
          <w:color w:val="auto"/>
        </w:rPr>
      </w:pPr>
      <w:r>
        <w:rPr>
          <w:rFonts w:ascii="Arial" w:cs="Arial" w:eastAsia="Arial" w:hAnsi="Arial"/>
          <w:sz w:val="21"/>
          <w:szCs w:val="21"/>
          <w:color w:val="auto"/>
        </w:rPr>
        <w:t>Our fiscal 2016 corporate financial performance also met the threshold level for earning executive deferred bonus awards and exceeded the target achievement level listed below. Therefore, unlike in fiscal 2014 and 2015, our adjusted, pre-tax, pre-bonus income resulted in an executive deferred bonus awards to our executive officers and a cash award to our CEO in lieu of an executive deferred bonus award for fiscal year 2016. Due to a variety of factors, including the Company’s margin improvements in fiscal 2016 and the occurrence of certain events (e.g., expanded advertising to compete in the lightweight cat litter category), and after consulting with (a) our CFO, (b) our Chairman of the Board and (c) each member of our Compensation Committee, our CEO used his discretionary authority under our annual incentive plan to set executive deferred bonus awards to our executive officers (other than the CEO) for fiscal 2016 at 150% of target bonus. Although our CEO was not a participant in the executive deferred bonus award portion of our annual incentive plan for 2016, our Compensation Committee awarded him a cash award equal to 150% of target bonus in lieu of an executive deferred bonus award during its meeting on September 9, 2016. Annual cash and executive deferred bonus awards are shown in the Summary Compensation Table in the column captioned “Non-Equity Incentive Plan Compensation.”</w:t>
      </w:r>
    </w:p>
    <w:p>
      <w:pPr>
        <w:spacing w:after="0" w:line="14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As reported in last year’s proxy statement, our Compensation Committee made the following equity awards to our named executive officers under the terms of the Oil-Dri Corporation of America 2006 Long Term Incentive Plan (the “Incentive Plan”) at its September 9, 2015 meeting: (i) an award of 1,000 restricted shares of Class B Stock to our Vice President of Manufacturing - Industrial, Thomas F. Cofsky, all of which will “cliff” vest in full on October 19, 2018, provided he is employed by the Company on that date, (ii) an award of 500 restricted shares of Common Stock to our Vice President, General Counsel and Secretary, Douglas A. Graham, all of which will “cliff” vest in full on October 19, 2018, provided he is employed by the Company on that date, and</w:t>
      </w:r>
    </w:p>
    <w:p>
      <w:pPr>
        <w:spacing w:after="0" w:line="1" w:lineRule="exact"/>
        <w:rPr>
          <w:sz w:val="20"/>
          <w:szCs w:val="20"/>
          <w:color w:val="auto"/>
        </w:rPr>
      </w:pPr>
    </w:p>
    <w:p>
      <w:pPr>
        <w:ind w:right="20" w:firstLine="8"/>
        <w:spacing w:after="0" w:line="246" w:lineRule="auto"/>
        <w:tabs>
          <w:tab w:leader="none" w:pos="395"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 award of 7,500 restricted shares of Common Stock to our Vice President, Chief Financial Officer, Daniel T. Smith, all of which will “cliff” vest in full on October 19, 2020, provided he is employed by the Company on that date.</w:t>
      </w:r>
    </w:p>
    <w:p>
      <w:pPr>
        <w:spacing w:after="0" w:line="1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Our Compensation Committee also made a multi-year equity incentive award of 125,000 restricted shares of Class B Stock to our CEO under the terms of our Incentive Plan at its September 9, 2015 meeting. 25,000 of these shares vested on October 19, 2016, and the remaining 100,000 of these shares will vest in 25,000 share increments no earlier than on each of the four subsequent anniversaries of October 19, 2016, provided Mr. Jaffee is employed by us on those dates and meets previously set annual or cumulative performance-based criteria. Mr. Jaffee received a similar sized award in 2010; the final shares of that award vested on October 6, 2015. In determining the number of shares, our Compensation Committee intended that Mr. Jaffee would not receive a similar multi-year award covering these five years. Our Compensation Committee also reviewed broad-based surveys of chief executive officer compensation for companies of varying industries and sizes and concluded that when spread over a five-year period, the equity incentive award would move his total direct compensation closer to the market median.</w:t>
      </w:r>
    </w:p>
    <w:p>
      <w:pPr>
        <w:spacing w:after="0" w:line="11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At its September 9, 2016 meeting, our Compensation Committee conducted its annual review of our CEO’s performance. The review included a report by the Chairman of our Board of Directors regarding our CEO’s performance in fiscal 2016, a review of the total direct compensation our CEO received in fiscal 2016 (base salary, cash incentive and stock awards) and company-wide compensation data. Based on such review, our Compensation Committee desired to increase our CEO’s base salary for fiscal 2017 from $595,080 to $650,000, an increase of approximately 9.2%, to better reflect our Compensation Committee’s view of compensation for similarly situated executives and our CEO’s contributions to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36" w:right="239" w:bottom="1440" w:gutter="0" w:footer="0" w:header="0"/>
        </w:sectPr>
      </w:pPr>
    </w:p>
    <w:bookmarkStart w:id="31" w:name="page32"/>
    <w:bookmarkEnd w:id="31"/>
    <w:p>
      <w:pPr>
        <w:jc w:val="both"/>
        <w:ind w:right="20"/>
        <w:spacing w:after="0" w:line="269" w:lineRule="auto"/>
        <w:rPr>
          <w:sz w:val="20"/>
          <w:szCs w:val="20"/>
          <w:color w:val="auto"/>
        </w:rPr>
      </w:pPr>
      <w:r>
        <w:rPr>
          <w:rFonts w:ascii="Arial" w:cs="Arial" w:eastAsia="Arial" w:hAnsi="Arial"/>
          <w:sz w:val="22"/>
          <w:szCs w:val="22"/>
          <w:b w:val="1"/>
          <w:bCs w:val="1"/>
          <w:color w:val="auto"/>
        </w:rPr>
        <w:t>Results of 2015 Stockholder Vote to Approve an Amendment to the Oil-Dri Corporation of America 2006 Long Term Incentive Plan</w:t>
      </w:r>
    </w:p>
    <w:p>
      <w:pPr>
        <w:spacing w:after="0" w:line="128" w:lineRule="exact"/>
        <w:rPr>
          <w:sz w:val="20"/>
          <w:szCs w:val="20"/>
          <w:color w:val="auto"/>
        </w:rPr>
      </w:pPr>
    </w:p>
    <w:p>
      <w:pPr>
        <w:jc w:val="both"/>
        <w:ind w:firstLine="577"/>
        <w:spacing w:after="0" w:line="247" w:lineRule="auto"/>
        <w:rPr>
          <w:sz w:val="20"/>
          <w:szCs w:val="20"/>
          <w:color w:val="auto"/>
        </w:rPr>
      </w:pPr>
      <w:r>
        <w:rPr>
          <w:rFonts w:ascii="Arial" w:cs="Arial" w:eastAsia="Arial" w:hAnsi="Arial"/>
          <w:sz w:val="22"/>
          <w:szCs w:val="22"/>
          <w:color w:val="auto"/>
        </w:rPr>
        <w:t>At the Company’s last annual meeting of stockholders held on December 8, 2015, stockholders approved an amendment to the Incentive Plan which amended the performance measures pursuant to which performance-based awards may be based. Stockholders approved this proposal by the affirmative vote of approximately 93% of shares cast. We believe that the vote affirms stockholders’ support of the Company’s approach to executive compensation, and took it into consideration as a factor in our decision not to significantly change our compensation philosophy and objectives, the mix of compensation components, performance metrics or other compensation policies.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Philosophy and Objectives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Our compensation philosophy is to provide total compensation opportunities, which include base salary, bonus and a full benefits package, that allow us to attract, retain and motivate the people we need to carry out our strategic plan, mission, goals and values. Our Compensation Committee oversees our philosophies and practices in the area of compensation and benefits (generally with regard to all employees and specifically with regard to our executive officers). Our Compensation Committee ensures that the total compensation paid to our executive officers is fair and reasonable.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Policy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compensation policy is to provide our executive officers and other salaried employees with compensation opportunities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6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Are competitive with companies of comparable size;</w:t>
      </w:r>
    </w:p>
    <w:p>
      <w:pPr>
        <w:spacing w:after="0" w:line="111" w:lineRule="exact"/>
        <w:rPr>
          <w:rFonts w:ascii="Arial" w:cs="Arial" w:eastAsia="Arial" w:hAnsi="Arial"/>
          <w:sz w:val="22"/>
          <w:szCs w:val="22"/>
          <w:color w:val="auto"/>
        </w:rPr>
      </w:pPr>
    </w:p>
    <w:p>
      <w:pPr>
        <w:ind w:left="980" w:right="20" w:hanging="324"/>
        <w:spacing w:after="0" w:line="341" w:lineRule="auto"/>
        <w:tabs>
          <w:tab w:leader="none" w:pos="9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Align compensation with the Company’s overall performance by including annual incentive opportunities based on Company performance or other pre-determined performance goals and employees’ levels of responsibility; and</w:t>
      </w:r>
    </w:p>
    <w:p>
      <w:pPr>
        <w:ind w:left="980" w:hanging="324"/>
        <w:spacing w:after="0" w:line="263" w:lineRule="auto"/>
        <w:tabs>
          <w:tab w:leader="none" w:pos="9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Provide longer-term incentives to executive officers and other senior managers to remain with the Company and contribute to our growth.</w:t>
      </w:r>
    </w:p>
    <w:p>
      <w:pPr>
        <w:spacing w:after="0" w:line="215" w:lineRule="exact"/>
        <w:rPr>
          <w:sz w:val="20"/>
          <w:szCs w:val="20"/>
          <w:color w:val="auto"/>
        </w:rPr>
      </w:pPr>
    </w:p>
    <w:p>
      <w:pPr>
        <w:jc w:val="both"/>
        <w:ind w:firstLine="716"/>
        <w:spacing w:after="0" w:line="290" w:lineRule="auto"/>
        <w:rPr>
          <w:sz w:val="20"/>
          <w:szCs w:val="20"/>
          <w:color w:val="auto"/>
        </w:rPr>
      </w:pPr>
      <w:r>
        <w:rPr>
          <w:rFonts w:ascii="Arial" w:cs="Arial" w:eastAsia="Arial" w:hAnsi="Arial"/>
          <w:sz w:val="19"/>
          <w:szCs w:val="19"/>
          <w:color w:val="auto"/>
        </w:rPr>
        <w:t>When comparing our executive compensation with pertinent market data, we refer to publicly available salary surveys prepared and published by several large consulting firms and other information reflecting a broad range of entities. The surveys that we review provide broad-based compensation data for a vast range of positions. We review these surveys and information to obtain a general understanding of current compensation practices for specific positions. On occasion, we also consult with our outside legal counsel whose expertise is in the area of executive compensation. We do not, however, target our executive officers’ compensation at a certain level or percentage based on other companies’ compensation arrangements. Based on our review of these sources, we believe that our compensation policy approximates the median of the marketplace in base salary and the 70th percentile in total cash compensation, if full target bonus is paid under our annual incentive plan.</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Overview of Executive Compensation Program and Components</w:t>
      </w:r>
    </w:p>
    <w:p>
      <w:pPr>
        <w:spacing w:after="0" w:line="185" w:lineRule="exact"/>
        <w:rPr>
          <w:sz w:val="20"/>
          <w:szCs w:val="20"/>
          <w:color w:val="auto"/>
        </w:rPr>
      </w:pPr>
    </w:p>
    <w:p>
      <w:pPr>
        <w:jc w:val="both"/>
        <w:ind w:firstLine="716"/>
        <w:spacing w:after="0" w:line="302" w:lineRule="auto"/>
        <w:rPr>
          <w:sz w:val="20"/>
          <w:szCs w:val="20"/>
          <w:color w:val="auto"/>
        </w:rPr>
      </w:pPr>
      <w:r>
        <w:rPr>
          <w:rFonts w:ascii="Arial" w:cs="Arial" w:eastAsia="Arial" w:hAnsi="Arial"/>
          <w:sz w:val="19"/>
          <w:szCs w:val="19"/>
          <w:color w:val="auto"/>
        </w:rPr>
        <w:t>Our compensation program generally provides equivalent benefits for all U.S.-based salaried employees and similar benefits for hourly-paid manufacturing employees. We provide additional compensation for our senior managers, including our executive officers, designed to reward performance and provide retirement benefits commensurate with the executives’ earnings during their working lives. For fiscal 2016, the principal components of compensation for our executive officers were: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74" w:right="239" w:bottom="1440" w:gutter="0" w:footer="0" w:header="0"/>
        </w:sectPr>
      </w:pPr>
    </w:p>
    <w:bookmarkStart w:id="32" w:name="page33"/>
    <w:bookmarkEnd w:id="32"/>
    <w:p>
      <w:pPr>
        <w:ind w:left="980" w:hanging="324"/>
        <w:spacing w:after="0"/>
        <w:tabs>
          <w:tab w:leader="none" w:pos="980" w:val="left"/>
        </w:tabs>
        <w:numPr>
          <w:ilvl w:val="0"/>
          <w:numId w:val="37"/>
        </w:numPr>
        <w:rPr>
          <w:rFonts w:ascii="Arial" w:cs="Arial" w:eastAsia="Arial" w:hAnsi="Arial"/>
          <w:sz w:val="25"/>
          <w:szCs w:val="25"/>
          <w:color w:val="auto"/>
        </w:rPr>
      </w:pPr>
      <w:r>
        <w:rPr>
          <w:rFonts w:ascii="Arial" w:cs="Arial" w:eastAsia="Arial" w:hAnsi="Arial"/>
          <w:sz w:val="22"/>
          <w:szCs w:val="22"/>
          <w:color w:val="auto"/>
        </w:rPr>
        <w:t>Base salary;</w:t>
      </w:r>
    </w:p>
    <w:p>
      <w:pPr>
        <w:spacing w:after="0" w:line="25" w:lineRule="exact"/>
        <w:rPr>
          <w:rFonts w:ascii="Arial" w:cs="Arial" w:eastAsia="Arial" w:hAnsi="Arial"/>
          <w:sz w:val="25"/>
          <w:szCs w:val="25"/>
          <w:color w:val="auto"/>
        </w:rPr>
      </w:pPr>
    </w:p>
    <w:p>
      <w:pPr>
        <w:ind w:left="980" w:hanging="324"/>
        <w:spacing w:after="0" w:line="226" w:lineRule="auto"/>
        <w:tabs>
          <w:tab w:leader="none" w:pos="980" w:val="left"/>
        </w:tabs>
        <w:numPr>
          <w:ilvl w:val="0"/>
          <w:numId w:val="37"/>
        </w:numPr>
        <w:rPr>
          <w:rFonts w:ascii="Arial" w:cs="Arial" w:eastAsia="Arial" w:hAnsi="Arial"/>
          <w:sz w:val="25"/>
          <w:szCs w:val="25"/>
          <w:color w:val="auto"/>
        </w:rPr>
      </w:pPr>
      <w:r>
        <w:rPr>
          <w:rFonts w:ascii="Arial" w:cs="Arial" w:eastAsia="Arial" w:hAnsi="Arial"/>
          <w:sz w:val="22"/>
          <w:szCs w:val="22"/>
          <w:color w:val="auto"/>
        </w:rPr>
        <w:t>Annual performance-based cash incentive award;</w:t>
      </w:r>
    </w:p>
    <w:p>
      <w:pPr>
        <w:spacing w:after="0" w:line="26" w:lineRule="exact"/>
        <w:rPr>
          <w:rFonts w:ascii="Arial" w:cs="Arial" w:eastAsia="Arial" w:hAnsi="Arial"/>
          <w:sz w:val="25"/>
          <w:szCs w:val="25"/>
          <w:color w:val="auto"/>
        </w:rPr>
      </w:pPr>
    </w:p>
    <w:p>
      <w:pPr>
        <w:ind w:left="980" w:hanging="324"/>
        <w:spacing w:after="0" w:line="226" w:lineRule="auto"/>
        <w:tabs>
          <w:tab w:leader="none" w:pos="980" w:val="left"/>
        </w:tabs>
        <w:numPr>
          <w:ilvl w:val="0"/>
          <w:numId w:val="37"/>
        </w:numPr>
        <w:rPr>
          <w:rFonts w:ascii="Arial" w:cs="Arial" w:eastAsia="Arial" w:hAnsi="Arial"/>
          <w:sz w:val="25"/>
          <w:szCs w:val="25"/>
          <w:color w:val="auto"/>
        </w:rPr>
      </w:pPr>
      <w:r>
        <w:rPr>
          <w:rFonts w:ascii="Arial" w:cs="Arial" w:eastAsia="Arial" w:hAnsi="Arial"/>
          <w:sz w:val="22"/>
          <w:szCs w:val="22"/>
          <w:color w:val="auto"/>
        </w:rPr>
        <w:t>Executive deferred bonus award;</w:t>
      </w:r>
    </w:p>
    <w:p>
      <w:pPr>
        <w:spacing w:after="0" w:line="26" w:lineRule="exact"/>
        <w:rPr>
          <w:rFonts w:ascii="Arial" w:cs="Arial" w:eastAsia="Arial" w:hAnsi="Arial"/>
          <w:sz w:val="25"/>
          <w:szCs w:val="25"/>
          <w:color w:val="auto"/>
        </w:rPr>
      </w:pPr>
    </w:p>
    <w:p>
      <w:pPr>
        <w:ind w:left="980" w:hanging="324"/>
        <w:spacing w:after="0" w:line="226" w:lineRule="auto"/>
        <w:tabs>
          <w:tab w:leader="none" w:pos="980" w:val="left"/>
        </w:tabs>
        <w:numPr>
          <w:ilvl w:val="0"/>
          <w:numId w:val="37"/>
        </w:numPr>
        <w:rPr>
          <w:rFonts w:ascii="Arial" w:cs="Arial" w:eastAsia="Arial" w:hAnsi="Arial"/>
          <w:sz w:val="25"/>
          <w:szCs w:val="25"/>
          <w:color w:val="auto"/>
        </w:rPr>
      </w:pPr>
      <w:r>
        <w:rPr>
          <w:rFonts w:ascii="Arial" w:cs="Arial" w:eastAsia="Arial" w:hAnsi="Arial"/>
          <w:sz w:val="22"/>
          <w:szCs w:val="22"/>
          <w:color w:val="auto"/>
        </w:rPr>
        <w:t>Retirement benefits; and</w:t>
      </w:r>
    </w:p>
    <w:p>
      <w:pPr>
        <w:spacing w:after="0" w:line="26" w:lineRule="exact"/>
        <w:rPr>
          <w:rFonts w:ascii="Arial" w:cs="Arial" w:eastAsia="Arial" w:hAnsi="Arial"/>
          <w:sz w:val="25"/>
          <w:szCs w:val="25"/>
          <w:color w:val="auto"/>
        </w:rPr>
      </w:pPr>
    </w:p>
    <w:p>
      <w:pPr>
        <w:ind w:left="980" w:hanging="324"/>
        <w:spacing w:after="0" w:line="226" w:lineRule="auto"/>
        <w:tabs>
          <w:tab w:leader="none" w:pos="980" w:val="left"/>
        </w:tabs>
        <w:numPr>
          <w:ilvl w:val="0"/>
          <w:numId w:val="37"/>
        </w:numPr>
        <w:rPr>
          <w:rFonts w:ascii="Arial" w:cs="Arial" w:eastAsia="Arial" w:hAnsi="Arial"/>
          <w:sz w:val="25"/>
          <w:szCs w:val="25"/>
          <w:color w:val="auto"/>
        </w:rPr>
      </w:pPr>
      <w:r>
        <w:rPr>
          <w:rFonts w:ascii="Arial" w:cs="Arial" w:eastAsia="Arial" w:hAnsi="Arial"/>
          <w:sz w:val="22"/>
          <w:szCs w:val="22"/>
          <w:color w:val="auto"/>
        </w:rPr>
        <w:t>Health and welfare benefits and perquisites.</w:t>
      </w:r>
    </w:p>
    <w:p>
      <w:pPr>
        <w:spacing w:after="0" w:line="1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Base Salary: </w:t>
      </w:r>
      <w:r>
        <w:rPr>
          <w:rFonts w:ascii="Arial" w:cs="Arial" w:eastAsia="Arial" w:hAnsi="Arial"/>
          <w:sz w:val="22"/>
          <w:szCs w:val="22"/>
          <w:color w:val="auto"/>
        </w:rPr>
        <w:t>Prior to the beginning of each fiscal year, our human resources staff presents to our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for its review and approval, proposed merit increase guidelines and proposed shifts in the mid-points of all salary ranges and any proposed change in salary ranges for the upcoming fiscal year.</w:t>
      </w:r>
    </w:p>
    <w:p>
      <w:pPr>
        <w:spacing w:after="0" w:line="1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Our Compensation Committee determines the base salary and other compensation to be paid to our CEO for the upcoming year and reviews and approves our CEO’s goals and objectives for that year. In connection with its review and determination, our Compensation Committee considers the input of the Chairman of our Board of Directors, who conducts a detailed review of the performance of our CEO at the end of each fiscal year and presents that review to our Compensation Committee at its first regular meeting of each fiscal year. At that time, the Chairman of our Board of Directors also presents his recommendation for any change in base salary or other compensation components for our CEO and his recommendation for our CEO’s goals and objectives for the upcoming year.</w:t>
      </w:r>
    </w:p>
    <w:p>
      <w:pPr>
        <w:spacing w:after="0" w:line="1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Our Compensation Committee determines the reasonableness of and approves the compensation of our other executive officers as recommended by our CEO. In connection with such determinations, our CEO reviews the performance of, and proposes salary increases (if any) for, all executive officers who reported to him or to our COO during the fiscal year. Any increases are generally based upon the individual’s performance during the previous year and/or any significant change in responsibilities for the upcoming year. Our Compensation Committee reviews the reasonableness of any proposed changes in base salary and the total compensation package provided to our executive officers. In conducting its review and making its determinations, our Compensation Committee reviews a three-year history of base salary, cash incentive bonus targets and payouts, and gains on equity awards, prepared by our human resources staff. During the fiscal year, our CEO may change the base salary of the executive officers who report to him or our COO, without prior approval of our Compensation Committee, due to significant changes in the individual’s responsibilities, to be competitive in the market or for other business reasons. Our CEO exercised this authority during fiscal 2016 as shown below.</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fiscal 2016, changes in base salary for the named executive officers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2"/>
                <w:szCs w:val="22"/>
                <w:b w:val="1"/>
                <w:bCs w:val="1"/>
                <w:color w:val="auto"/>
              </w:rPr>
              <w:t>$ of Change</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tcPr>
          <w:p>
            <w:pPr>
              <w:ind w:left="660"/>
              <w:spacing w:after="0"/>
              <w:rPr>
                <w:sz w:val="20"/>
                <w:szCs w:val="20"/>
                <w:color w:val="auto"/>
              </w:rPr>
            </w:pPr>
            <w:r>
              <w:rPr>
                <w:rFonts w:ascii="Arial" w:cs="Arial" w:eastAsia="Arial" w:hAnsi="Arial"/>
                <w:sz w:val="22"/>
                <w:szCs w:val="22"/>
                <w:b w:val="1"/>
                <w:bCs w:val="1"/>
                <w:color w:val="auto"/>
              </w:rPr>
              <w:t>% of Change</w:t>
            </w:r>
          </w:p>
        </w:tc>
      </w:tr>
      <w:tr>
        <w:trPr>
          <w:trHeight w:val="291"/>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220" w:type="dxa"/>
            <w:vAlign w:val="bottom"/>
            <w:tcBorders>
              <w:bottom w:val="single" w:sz="8" w:color="CCEEFF"/>
            </w:tcBorders>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Type of Change</w:t>
            </w:r>
          </w:p>
        </w:tc>
        <w:tc>
          <w:tcPr>
            <w:tcW w:w="2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(1)</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(2)</w:t>
            </w:r>
          </w:p>
        </w:tc>
      </w:tr>
      <w:tr>
        <w:trPr>
          <w:trHeight w:val="2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 (3)</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91"/>
              </w:rPr>
              <w:t>Merit/Market Increase</w:t>
            </w:r>
          </w:p>
        </w:tc>
        <w:tc>
          <w:tcPr>
            <w:tcW w:w="1800" w:type="dxa"/>
            <w:vAlign w:val="bottom"/>
            <w:shd w:val="clear" w:color="auto" w:fill="CCEEFF"/>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6"/>
              </w:rPr>
              <w:t>17,330</w:t>
            </w:r>
          </w:p>
        </w:tc>
        <w:tc>
          <w:tcPr>
            <w:tcW w:w="200" w:type="dxa"/>
            <w:vAlign w:val="bottom"/>
            <w:shd w:val="clear" w:color="auto" w:fill="CCEEFF"/>
          </w:tcPr>
          <w:p>
            <w:pPr>
              <w:spacing w:after="0"/>
              <w:rPr>
                <w:sz w:val="24"/>
                <w:szCs w:val="24"/>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3.00%</w:t>
            </w:r>
          </w:p>
        </w:tc>
      </w:tr>
      <w:tr>
        <w:trPr>
          <w:trHeight w:val="289"/>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3080" w:type="dxa"/>
            <w:vAlign w:val="bottom"/>
            <w:gridSpan w:val="2"/>
          </w:tcPr>
          <w:p>
            <w:pPr>
              <w:jc w:val="center"/>
              <w:ind w:right="200"/>
              <w:spacing w:after="0"/>
              <w:rPr>
                <w:sz w:val="20"/>
                <w:szCs w:val="20"/>
                <w:color w:val="auto"/>
              </w:rPr>
            </w:pPr>
            <w:r>
              <w:rPr>
                <w:rFonts w:ascii="Arial" w:cs="Arial" w:eastAsia="Arial" w:hAnsi="Arial"/>
                <w:sz w:val="22"/>
                <w:szCs w:val="22"/>
                <w:color w:val="auto"/>
                <w:w w:val="88"/>
              </w:rPr>
              <w:t>Market Increase</w:t>
            </w:r>
          </w:p>
        </w:tc>
        <w:tc>
          <w:tcPr>
            <w:tcW w:w="1800" w:type="dxa"/>
            <w:vAlign w:val="bottom"/>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tcPr>
          <w:p>
            <w:pPr>
              <w:jc w:val="right"/>
              <w:ind w:right="12"/>
              <w:spacing w:after="0"/>
              <w:rPr>
                <w:sz w:val="20"/>
                <w:szCs w:val="20"/>
                <w:color w:val="auto"/>
              </w:rPr>
            </w:pPr>
            <w:r>
              <w:rPr>
                <w:rFonts w:ascii="Arial" w:cs="Arial" w:eastAsia="Arial" w:hAnsi="Arial"/>
                <w:sz w:val="22"/>
                <w:szCs w:val="22"/>
                <w:color w:val="auto"/>
                <w:w w:val="86"/>
              </w:rPr>
              <w:t>20,000</w:t>
            </w:r>
          </w:p>
        </w:tc>
        <w:tc>
          <w:tcPr>
            <w:tcW w:w="2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2"/>
                <w:szCs w:val="22"/>
                <w:color w:val="auto"/>
                <w:w w:val="89"/>
              </w:rPr>
              <w:t>8.70%</w:t>
            </w:r>
          </w:p>
        </w:tc>
      </w:tr>
      <w:tr>
        <w:trPr>
          <w:trHeight w:val="30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90"/>
              </w:rPr>
              <w:t>Merit Increase</w:t>
            </w:r>
          </w:p>
        </w:tc>
        <w:tc>
          <w:tcPr>
            <w:tcW w:w="1800" w:type="dxa"/>
            <w:vAlign w:val="bottom"/>
            <w:shd w:val="clear" w:color="auto" w:fill="CCEEFF"/>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5,000</w:t>
            </w:r>
          </w:p>
        </w:tc>
        <w:tc>
          <w:tcPr>
            <w:tcW w:w="200" w:type="dxa"/>
            <w:vAlign w:val="bottom"/>
            <w:shd w:val="clear" w:color="auto" w:fill="CCEEFF"/>
          </w:tcPr>
          <w:p>
            <w:pPr>
              <w:spacing w:after="0"/>
              <w:rPr>
                <w:sz w:val="24"/>
                <w:szCs w:val="24"/>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1.97%</w:t>
            </w:r>
          </w:p>
        </w:tc>
      </w:tr>
      <w:tr>
        <w:trPr>
          <w:trHeight w:val="289"/>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3080" w:type="dxa"/>
            <w:vAlign w:val="bottom"/>
            <w:gridSpan w:val="2"/>
          </w:tcPr>
          <w:p>
            <w:pPr>
              <w:jc w:val="center"/>
              <w:ind w:right="220"/>
              <w:spacing w:after="0"/>
              <w:rPr>
                <w:sz w:val="20"/>
                <w:szCs w:val="20"/>
                <w:color w:val="auto"/>
              </w:rPr>
            </w:pPr>
            <w:r>
              <w:rPr>
                <w:rFonts w:ascii="Arial" w:cs="Arial" w:eastAsia="Arial" w:hAnsi="Arial"/>
                <w:sz w:val="22"/>
                <w:szCs w:val="22"/>
                <w:color w:val="auto"/>
                <w:w w:val="90"/>
              </w:rPr>
              <w:t>Merit Increase</w:t>
            </w:r>
          </w:p>
        </w:tc>
        <w:tc>
          <w:tcPr>
            <w:tcW w:w="1800" w:type="dxa"/>
            <w:vAlign w:val="bottom"/>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tcPr>
          <w:p>
            <w:pPr>
              <w:jc w:val="right"/>
              <w:ind w:right="12"/>
              <w:spacing w:after="0"/>
              <w:rPr>
                <w:sz w:val="20"/>
                <w:szCs w:val="20"/>
                <w:color w:val="auto"/>
              </w:rPr>
            </w:pPr>
            <w:r>
              <w:rPr>
                <w:rFonts w:ascii="Arial" w:cs="Arial" w:eastAsia="Arial" w:hAnsi="Arial"/>
                <w:sz w:val="22"/>
                <w:szCs w:val="22"/>
                <w:color w:val="auto"/>
                <w:w w:val="86"/>
              </w:rPr>
              <w:t>10,000</w:t>
            </w:r>
          </w:p>
        </w:tc>
        <w:tc>
          <w:tcPr>
            <w:tcW w:w="2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2"/>
                <w:szCs w:val="22"/>
                <w:color w:val="auto"/>
                <w:w w:val="89"/>
              </w:rPr>
              <w:t>4.17%</w:t>
            </w:r>
          </w:p>
        </w:tc>
      </w:tr>
      <w:tr>
        <w:trPr>
          <w:trHeight w:val="30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90"/>
              </w:rPr>
              <w:t>Merit Increase</w:t>
            </w:r>
          </w:p>
        </w:tc>
        <w:tc>
          <w:tcPr>
            <w:tcW w:w="1800" w:type="dxa"/>
            <w:vAlign w:val="bottom"/>
            <w:shd w:val="clear" w:color="auto" w:fill="CCEEFF"/>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6"/>
              </w:rPr>
              <w:t>10,000</w:t>
            </w:r>
          </w:p>
        </w:tc>
        <w:tc>
          <w:tcPr>
            <w:tcW w:w="200" w:type="dxa"/>
            <w:vAlign w:val="bottom"/>
            <w:shd w:val="clear" w:color="auto" w:fill="CCEEFF"/>
          </w:tcPr>
          <w:p>
            <w:pPr>
              <w:spacing w:after="0"/>
              <w:rPr>
                <w:sz w:val="24"/>
                <w:szCs w:val="24"/>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2.86%</w:t>
            </w:r>
          </w:p>
        </w:tc>
      </w:tr>
    </w:tbl>
    <w:p>
      <w:pPr>
        <w:spacing w:after="0" w:line="168" w:lineRule="exact"/>
        <w:rPr>
          <w:sz w:val="20"/>
          <w:szCs w:val="20"/>
          <w:color w:val="auto"/>
        </w:rPr>
      </w:pPr>
    </w:p>
    <w:p>
      <w:pPr>
        <w:jc w:val="both"/>
        <w:ind w:firstLine="8"/>
        <w:spacing w:after="0" w:line="253" w:lineRule="auto"/>
        <w:tabs>
          <w:tab w:leader="none" w:pos="501"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 of Change” is the difference in dollars between the base salary in effect at July 31, 2015 (the end of fiscal 2015) and the base salary in effect at the end of fiscal 2016. Not all of the salary adjustments were effective at the beginning of fiscal 2016; some were effective later in the fiscal year.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80" w:right="239" w:bottom="1440" w:gutter="0" w:footer="0" w:header="0"/>
        </w:sectPr>
      </w:pPr>
    </w:p>
    <w:bookmarkStart w:id="33" w:name="page34"/>
    <w:bookmarkEnd w:id="33"/>
    <w:p>
      <w:pPr>
        <w:ind w:left="480" w:hanging="472"/>
        <w:spacing w:after="0"/>
        <w:tabs>
          <w:tab w:leader="none" w:pos="4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 of Change” is the dollar change as a percent of base salary in effect at the end of fiscal 2015.</w:t>
      </w:r>
    </w:p>
    <w:p>
      <w:pPr>
        <w:spacing w:after="0" w:line="179" w:lineRule="exact"/>
        <w:rPr>
          <w:rFonts w:ascii="Arial" w:cs="Arial" w:eastAsia="Arial" w:hAnsi="Arial"/>
          <w:sz w:val="22"/>
          <w:szCs w:val="22"/>
          <w:color w:val="auto"/>
        </w:rPr>
      </w:pPr>
    </w:p>
    <w:p>
      <w:pPr>
        <w:ind w:left="460" w:hanging="452"/>
        <w:spacing w:after="0"/>
        <w:tabs>
          <w:tab w:leader="none" w:pos="4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As noted above, our Compensation Committee determines the base salary and other compensation to be paid to our CEO.</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Annual Incentive Plan: </w:t>
      </w:r>
      <w:r>
        <w:rPr>
          <w:rFonts w:ascii="Arial" w:cs="Arial" w:eastAsia="Arial" w:hAnsi="Arial"/>
          <w:sz w:val="21"/>
          <w:szCs w:val="21"/>
          <w:color w:val="auto"/>
        </w:rPr>
        <w:t>Our annual incentive plan provides for a target bonus equal to a percentage of each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annual base salary. This percentage is generally determined by salary grade, which reflects the level of responsibility and expected contribution of the employee’s position to our financial results. For employees in the higher salary grades (including our executive officers), a larger proportion of their compensation takes the form of at-risk incentive compensation than is the case for employees in the lower salary grades. For some of these employees, there is also an opportunity to earn an executive deferred bonus award, as described further below. As part of its annual review of executive compensation, our Compensation Committee sets the bonus opportunity as a percent of base salary for our CEO and determines the reasonableness of the bonus opportunity proposed by our CEO for our other executive officers.</w:t>
      </w:r>
    </w:p>
    <w:p>
      <w:pPr>
        <w:spacing w:after="0" w:line="1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i w:val="1"/>
          <w:iCs w:val="1"/>
          <w:color w:val="auto"/>
        </w:rPr>
        <w:t xml:space="preserve">Performance-Based Cash Incentive Award: </w:t>
      </w:r>
      <w:r>
        <w:rPr>
          <w:rFonts w:ascii="Arial" w:cs="Arial" w:eastAsia="Arial" w:hAnsi="Arial"/>
          <w:sz w:val="19"/>
          <w:szCs w:val="19"/>
          <w:color w:val="auto"/>
        </w:rPr>
        <w:t>Our annual incentive plan provides for the possibility of awards based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corporate financial performance. This measure serves to unite all salaried employees to work together to improve the Company’s performance. Generally, if we meet our corporate financial performance target, a full target bonus is paid to each eligible exempt employee. If we fail to meet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 In addition, our annual incentive plan gives our CEO the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As described above, our CEO used such discretionary authority for fiscal 2016 to set cash incentive awards paid to exempt employees (other than the CEO) at 150% of target bonus. Similarly, at its September 9, 2016 meeting, our Compensation Committee set the cash incentive award paid to our CEO at 150% of target bonus.</w:t>
      </w:r>
    </w:p>
    <w:p>
      <w:pPr>
        <w:spacing w:after="0" w:line="1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i w:val="1"/>
          <w:iCs w:val="1"/>
          <w:color w:val="auto"/>
        </w:rPr>
        <w:t xml:space="preserve">Executive Deferred Bonus Award: </w:t>
      </w:r>
      <w:r>
        <w:rPr>
          <w:rFonts w:ascii="Arial" w:cs="Arial" w:eastAsia="Arial" w:hAnsi="Arial"/>
          <w:sz w:val="19"/>
          <w:szCs w:val="19"/>
          <w:color w:val="auto"/>
        </w:rPr>
        <w:t>Our annual incentive plan also provides the opportunity for our senior managers,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our executive officers, to earn an executive deferred bonus award. This award is designed to reward and retain talented executives. Payment of executive deferred bonus awards is deferred until the vesting date established for each fiscal year’s award. The annual incentive plan also provides for payout of executive deferred bonus awards upon death, retirement, disability or a change in control of the Company. We have established bookkeeping accounts for all executive deferred bonus awards, which earn interest at a rate equal to our long-term cost of borrowing plus one percent (1%). At the request of our CEO, he was not eligible for an executive deferred bonus award for fiscal 2016. All of our other executive officers were eligible. Executive deferred bonus awards awarded for fiscal 2016 performance are deferred and paid in full at the end of three years (July 31, 2019), provided the executive is still employed by us at that time. Our annual incentive plan gives our CEO the discretion to adjust the performance measures, targets and payout ranges used for executive deferred bonus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Due to a variety of factors, including the Company’s margin improvements in fiscal 2016 and the occurrence of certain events (e.g., expanded advertising to compete in the lightweight cat litter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80" w:right="2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22"/>
          <w:szCs w:val="22"/>
          <w:color w:val="auto"/>
        </w:rPr>
        <w:t>category), and after consulting with (a) our CFO, (b) our Chairman of the Board and (c) each member of our Compensation Committee, our CEO used such discretionary authority for fiscal 2016 to set executive deferred bonus awards to our executive officers (other than our CEO) at 150% of target bonus.</w:t>
      </w:r>
    </w:p>
    <w:p>
      <w:pPr>
        <w:spacing w:after="0" w:line="1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Although our CEO was not a participant in the executive deferred bonus award portion of our annual incentive plan for 2016, our Compensation Committee considered the dollar value of an executive deferred bonus award that he would have received had he been a participant in that portion of our annual incentive plan as a reference in awarding him a cash award of $178,524 in lieu of an executive deferred bonus award during its meeting on September 9, 2016. The award fulfills the intention of the Compensation Committee, stated at its September 9, 2015 meeting, to grant Mr. Jaffee an award equal to the executive deferred bonus award that he would have received had he not chosen to be excluded from that portion of our annual incentive plan for fiscal 2016.</w:t>
      </w:r>
    </w:p>
    <w:p>
      <w:pPr>
        <w:spacing w:after="0" w:line="15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i w:val="1"/>
          <w:iCs w:val="1"/>
          <w:color w:val="auto"/>
        </w:rPr>
        <w:t xml:space="preserve">Operation of the Annual Incentive Plan: </w:t>
      </w:r>
      <w:r>
        <w:rPr>
          <w:rFonts w:ascii="Arial" w:cs="Arial" w:eastAsia="Arial" w:hAnsi="Arial"/>
          <w:sz w:val="22"/>
          <w:szCs w:val="22"/>
          <w:color w:val="auto"/>
        </w:rPr>
        <w:t>At the beginning of each fiscal year, our CEO presents to our Compensation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Committee his proposal for the performance measures that will determine the calculation of the performance-based cash incentive award for that year, along with specific performance targets and payout ranges. Our Vice President of Legal and Vice President of Compensation and Benefits each participates in this presentation as well. Our Compensation Committee reviews these performance measures, targets and payout ranges and determines their reasonableness as they relate to the total compensation of our executive officers.</w:t>
      </w:r>
    </w:p>
    <w:p>
      <w:pPr>
        <w:spacing w:after="0" w:line="15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For fiscal 2016, the performance measure under the annual incentive plan was our adjusted pre-tax, pre-bonus income as compared with our fiscal 2016 adjusted corporate budget. Our adjusted pre-tax, pre-bonus income for fiscal 2016 was determined by adjusting pre-tax income as shown in our fiscal 2016 audited consolidated financial statements as follows: (i) adding the total amount of annual incentive plan awards, both cash and executive deferred, awarded for fiscal 2016; and (ii) subtracting the amortization for prior years’ executive deferred bonus awards. As a result of these adjustments, the financial performance measure under the annual incentive plan takes into consideration the full amount of any executive deferred bonus in the fiscal year for which it is awarded, rather than amortizing that bonus over its vesting period.</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Under that performance measure and after the effect of the adjustments described above, exempt employees, including our executive officers, would earn bonuses as shown below:</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2"/>
          </w:tcPr>
          <w:p>
            <w:pPr>
              <w:jc w:val="center"/>
              <w:ind w:right="1280"/>
              <w:spacing w:after="0"/>
              <w:rPr>
                <w:sz w:val="20"/>
                <w:szCs w:val="20"/>
                <w:color w:val="auto"/>
              </w:rPr>
            </w:pPr>
            <w:r>
              <w:rPr>
                <w:rFonts w:ascii="Arial" w:cs="Arial" w:eastAsia="Arial" w:hAnsi="Arial"/>
                <w:sz w:val="22"/>
                <w:szCs w:val="22"/>
                <w:b w:val="1"/>
                <w:bCs w:val="1"/>
                <w:color w:val="auto"/>
                <w:w w:val="89"/>
              </w:rPr>
              <w:t>Adjusted Pre-Tax</w:t>
            </w:r>
          </w:p>
        </w:tc>
        <w:tc>
          <w:tcPr>
            <w:tcW w:w="2580" w:type="dxa"/>
            <w:vAlign w:val="bottom"/>
          </w:tcPr>
          <w:p>
            <w:pPr>
              <w:jc w:val="right"/>
              <w:ind w:right="632"/>
              <w:spacing w:after="0"/>
              <w:rPr>
                <w:sz w:val="20"/>
                <w:szCs w:val="20"/>
                <w:color w:val="auto"/>
              </w:rPr>
            </w:pPr>
            <w:r>
              <w:rPr>
                <w:rFonts w:ascii="Arial" w:cs="Arial" w:eastAsia="Arial" w:hAnsi="Arial"/>
                <w:sz w:val="22"/>
                <w:szCs w:val="22"/>
                <w:b w:val="1"/>
                <w:bCs w:val="1"/>
                <w:color w:val="auto"/>
              </w:rPr>
              <w:t>% of Target</w:t>
            </w:r>
          </w:p>
        </w:tc>
      </w:tr>
      <w:tr>
        <w:trPr>
          <w:trHeight w:val="291"/>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2"/>
          </w:tcPr>
          <w:p>
            <w:pPr>
              <w:jc w:val="center"/>
              <w:ind w:right="1280"/>
              <w:spacing w:after="0"/>
              <w:rPr>
                <w:sz w:val="20"/>
                <w:szCs w:val="20"/>
                <w:color w:val="auto"/>
              </w:rPr>
            </w:pPr>
            <w:r>
              <w:rPr>
                <w:rFonts w:ascii="Arial" w:cs="Arial" w:eastAsia="Arial" w:hAnsi="Arial"/>
                <w:sz w:val="22"/>
                <w:szCs w:val="22"/>
                <w:b w:val="1"/>
                <w:bCs w:val="1"/>
                <w:color w:val="auto"/>
                <w:w w:val="87"/>
              </w:rPr>
              <w:t>Pre-Bonus Income</w:t>
            </w:r>
          </w:p>
        </w:tc>
        <w:tc>
          <w:tcPr>
            <w:tcW w:w="2580" w:type="dxa"/>
            <w:vAlign w:val="bottom"/>
          </w:tcPr>
          <w:p>
            <w:pPr>
              <w:jc w:val="right"/>
              <w:ind w:right="532"/>
              <w:spacing w:after="0"/>
              <w:rPr>
                <w:sz w:val="20"/>
                <w:szCs w:val="20"/>
                <w:color w:val="auto"/>
              </w:rPr>
            </w:pPr>
            <w:r>
              <w:rPr>
                <w:rFonts w:ascii="Arial" w:cs="Arial" w:eastAsia="Arial" w:hAnsi="Arial"/>
                <w:sz w:val="22"/>
                <w:szCs w:val="22"/>
                <w:b w:val="1"/>
                <w:bCs w:val="1"/>
                <w:color w:val="auto"/>
              </w:rPr>
              <w:t>Bonus Earned</w:t>
            </w:r>
          </w:p>
        </w:tc>
      </w:tr>
      <w:tr>
        <w:trPr>
          <w:trHeight w:val="297"/>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Threshold</w:t>
            </w: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2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13,745,000</w:t>
            </w:r>
          </w:p>
        </w:tc>
        <w:tc>
          <w:tcPr>
            <w:tcW w:w="1020" w:type="dxa"/>
            <w:vAlign w:val="bottom"/>
            <w:tcBorders>
              <w:top w:val="single" w:sz="8" w:color="CCEEFF"/>
            </w:tcBorders>
            <w:shd w:val="clear" w:color="auto" w:fill="CCEEFF"/>
          </w:tcPr>
          <w:p>
            <w:pPr>
              <w:spacing w:after="0"/>
              <w:rPr>
                <w:sz w:val="24"/>
                <w:szCs w:val="24"/>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25%</w:t>
            </w:r>
          </w:p>
        </w:tc>
      </w:tr>
      <w:tr>
        <w:trPr>
          <w:trHeight w:val="289"/>
        </w:trPr>
        <w:tc>
          <w:tcPr>
            <w:tcW w:w="5260" w:type="dxa"/>
            <w:vAlign w:val="bottom"/>
          </w:tcPr>
          <w:p>
            <w:pPr>
              <w:ind w:left="20"/>
              <w:spacing w:after="0"/>
              <w:rPr>
                <w:sz w:val="20"/>
                <w:szCs w:val="20"/>
                <w:color w:val="auto"/>
              </w:rPr>
            </w:pPr>
            <w:r>
              <w:rPr>
                <w:rFonts w:ascii="Arial" w:cs="Arial" w:eastAsia="Arial" w:hAnsi="Arial"/>
                <w:sz w:val="22"/>
                <w:szCs w:val="22"/>
                <w:color w:val="auto"/>
              </w:rPr>
              <w:t>Target</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2240" w:type="dxa"/>
            <w:vAlign w:val="bottom"/>
          </w:tcPr>
          <w:p>
            <w:pPr>
              <w:jc w:val="right"/>
              <w:ind w:right="12"/>
              <w:spacing w:after="0"/>
              <w:rPr>
                <w:sz w:val="20"/>
                <w:szCs w:val="20"/>
                <w:color w:val="auto"/>
              </w:rPr>
            </w:pPr>
            <w:r>
              <w:rPr>
                <w:rFonts w:ascii="Arial" w:cs="Arial" w:eastAsia="Arial" w:hAnsi="Arial"/>
                <w:sz w:val="22"/>
                <w:szCs w:val="22"/>
                <w:color w:val="auto"/>
              </w:rPr>
              <w:t>19,116,000</w:t>
            </w:r>
          </w:p>
        </w:tc>
        <w:tc>
          <w:tcPr>
            <w:tcW w:w="102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306"/>
        </w:trPr>
        <w:tc>
          <w:tcPr>
            <w:tcW w:w="5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Maximum</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22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25,903,000</w:t>
            </w:r>
          </w:p>
        </w:tc>
        <w:tc>
          <w:tcPr>
            <w:tcW w:w="1020" w:type="dxa"/>
            <w:vAlign w:val="bottom"/>
            <w:shd w:val="clear" w:color="auto" w:fill="CCEEFF"/>
          </w:tcPr>
          <w:p>
            <w:pPr>
              <w:spacing w:after="0"/>
              <w:rPr>
                <w:sz w:val="24"/>
                <w:szCs w:val="24"/>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200%</w:t>
            </w:r>
          </w:p>
        </w:tc>
      </w:tr>
    </w:tbl>
    <w:p>
      <w:pPr>
        <w:spacing w:after="0" w:line="34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Additional targets were also specified. If performance fell between two of the specified targets, the target bonus payment percentage would be prorated. No executive deferred bonus was to be awarded unless 95% of target bonus was earned. Non-exempt employees would earn 100% of target bonuses if payouts were made at any of the levels listed above.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80"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9"/>
          <w:szCs w:val="19"/>
          <w:color w:val="auto"/>
        </w:rPr>
        <w:t>The bonus opportunity for fiscal 2016 as a percent of base salary for the named executive officers is shown in the following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table: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20" w:type="dxa"/>
            <w:vAlign w:val="bottom"/>
            <w:gridSpan w:val="6"/>
          </w:tcPr>
          <w:p>
            <w:pPr>
              <w:ind w:left="280"/>
              <w:spacing w:after="0"/>
              <w:rPr>
                <w:sz w:val="20"/>
                <w:szCs w:val="20"/>
                <w:color w:val="auto"/>
              </w:rPr>
            </w:pPr>
            <w:r>
              <w:rPr>
                <w:rFonts w:ascii="Arial" w:cs="Arial" w:eastAsia="Arial" w:hAnsi="Arial"/>
                <w:sz w:val="18"/>
                <w:szCs w:val="18"/>
                <w:b w:val="1"/>
                <w:bCs w:val="1"/>
                <w:color w:val="auto"/>
                <w:w w:val="96"/>
              </w:rPr>
              <w:t>Bonus Opportunity as a % of Base Salary</w:t>
            </w: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Threshold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Target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88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Cash</w:t>
            </w: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Only</w:t>
            </w:r>
          </w:p>
        </w:tc>
        <w:tc>
          <w:tcPr>
            <w:tcW w:w="98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Deferred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Cash</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Cash</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Defer</w:t>
            </w:r>
          </w:p>
        </w:tc>
        <w:tc>
          <w:tcPr>
            <w:tcW w:w="80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Cash</w:t>
            </w: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Defer</w:t>
            </w:r>
          </w:p>
        </w:tc>
        <w:tc>
          <w:tcPr>
            <w:tcW w:w="9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Cash</w:t>
            </w: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Defer</w:t>
            </w: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34"/>
        </w:trPr>
        <w:tc>
          <w:tcPr>
            <w:tcW w:w="184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Bonus</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Bonus</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Bonus</w:t>
            </w:r>
          </w:p>
        </w:tc>
        <w:tc>
          <w:tcPr>
            <w:tcW w:w="800" w:type="dxa"/>
            <w:vAlign w:val="bottom"/>
          </w:tcPr>
          <w:p>
            <w:pPr>
              <w:ind w:left="160"/>
              <w:spacing w:after="0"/>
              <w:rPr>
                <w:sz w:val="20"/>
                <w:szCs w:val="20"/>
                <w:color w:val="auto"/>
              </w:rPr>
            </w:pPr>
            <w:r>
              <w:rPr>
                <w:rFonts w:ascii="Arial" w:cs="Arial" w:eastAsia="Arial" w:hAnsi="Arial"/>
                <w:sz w:val="18"/>
                <w:szCs w:val="18"/>
                <w:b w:val="1"/>
                <w:bCs w:val="1"/>
                <w:color w:val="auto"/>
              </w:rPr>
              <w:t>Bonus</w:t>
            </w:r>
          </w:p>
        </w:tc>
        <w:tc>
          <w:tcPr>
            <w:tcW w:w="12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Bonus</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Bonus</w:t>
            </w: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color w:val="auto"/>
              </w:rPr>
              <w:t>Bonus</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Bonus</w:t>
            </w: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Bonus</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Bonus</w:t>
            </w:r>
          </w:p>
        </w:tc>
      </w:tr>
      <w:tr>
        <w:trPr>
          <w:trHeight w:val="27"/>
        </w:trPr>
        <w:tc>
          <w:tcPr>
            <w:tcW w:w="1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Daniel S. Jaffee (3)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37.50%</w:t>
            </w:r>
          </w:p>
        </w:tc>
        <w:tc>
          <w:tcPr>
            <w:tcW w:w="1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50.00%</w:t>
            </w: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4"/>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Daniel T. Smith</w:t>
            </w:r>
          </w:p>
        </w:tc>
        <w:tc>
          <w:tcPr>
            <w:tcW w:w="8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26.25%</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15.00%</w:t>
            </w:r>
          </w:p>
        </w:tc>
        <w:tc>
          <w:tcPr>
            <w:tcW w:w="800" w:type="dxa"/>
            <w:vAlign w:val="bottom"/>
          </w:tcPr>
          <w:p>
            <w:pPr>
              <w:ind w:left="220"/>
              <w:spacing w:after="0"/>
              <w:rPr>
                <w:sz w:val="20"/>
                <w:szCs w:val="20"/>
                <w:color w:val="auto"/>
              </w:rPr>
            </w:pPr>
            <w:r>
              <w:rPr>
                <w:rFonts w:ascii="Arial" w:cs="Arial" w:eastAsia="Arial" w:hAnsi="Arial"/>
                <w:sz w:val="18"/>
                <w:szCs w:val="18"/>
                <w:color w:val="auto"/>
                <w:w w:val="91"/>
              </w:rPr>
              <w:t>41.25%</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35.00%</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20.00%</w:t>
            </w:r>
          </w:p>
        </w:tc>
        <w:tc>
          <w:tcPr>
            <w:tcW w:w="820" w:type="dxa"/>
            <w:vAlign w:val="bottom"/>
          </w:tcPr>
          <w:p>
            <w:pPr>
              <w:ind w:left="220"/>
              <w:spacing w:after="0"/>
              <w:rPr>
                <w:sz w:val="20"/>
                <w:szCs w:val="20"/>
                <w:color w:val="auto"/>
              </w:rPr>
            </w:pPr>
            <w:r>
              <w:rPr>
                <w:rFonts w:ascii="Arial" w:cs="Arial" w:eastAsia="Arial" w:hAnsi="Arial"/>
                <w:sz w:val="18"/>
                <w:szCs w:val="18"/>
                <w:color w:val="auto"/>
                <w:w w:val="94"/>
              </w:rPr>
              <w:t>55.00%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40.00%</w:t>
            </w:r>
          </w:p>
        </w:tc>
        <w:tc>
          <w:tcPr>
            <w:tcW w:w="88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7"/>
        </w:trPr>
        <w:tc>
          <w:tcPr>
            <w:tcW w:w="1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F. Cofsky</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45.00%</w:t>
            </w:r>
          </w:p>
        </w:tc>
        <w:tc>
          <w:tcPr>
            <w:tcW w:w="1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40.00%</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20.00%</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4"/>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Douglas A. Graham</w:t>
            </w:r>
          </w:p>
        </w:tc>
        <w:tc>
          <w:tcPr>
            <w:tcW w:w="8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26.25%</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9.00%</w:t>
            </w:r>
          </w:p>
        </w:tc>
        <w:tc>
          <w:tcPr>
            <w:tcW w:w="800" w:type="dxa"/>
            <w:vAlign w:val="bottom"/>
          </w:tcPr>
          <w:p>
            <w:pPr>
              <w:ind w:left="220"/>
              <w:spacing w:after="0"/>
              <w:rPr>
                <w:sz w:val="20"/>
                <w:szCs w:val="20"/>
                <w:color w:val="auto"/>
              </w:rPr>
            </w:pPr>
            <w:r>
              <w:rPr>
                <w:rFonts w:ascii="Arial" w:cs="Arial" w:eastAsia="Arial" w:hAnsi="Arial"/>
                <w:sz w:val="18"/>
                <w:szCs w:val="18"/>
                <w:color w:val="auto"/>
                <w:w w:val="91"/>
              </w:rPr>
              <w:t>35.25%</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35.00%</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12.00%</w:t>
            </w:r>
          </w:p>
        </w:tc>
        <w:tc>
          <w:tcPr>
            <w:tcW w:w="820" w:type="dxa"/>
            <w:vAlign w:val="bottom"/>
          </w:tcPr>
          <w:p>
            <w:pPr>
              <w:ind w:left="220"/>
              <w:spacing w:after="0"/>
              <w:rPr>
                <w:sz w:val="20"/>
                <w:szCs w:val="20"/>
                <w:color w:val="auto"/>
              </w:rPr>
            </w:pPr>
            <w:r>
              <w:rPr>
                <w:rFonts w:ascii="Arial" w:cs="Arial" w:eastAsia="Arial" w:hAnsi="Arial"/>
                <w:sz w:val="18"/>
                <w:szCs w:val="18"/>
                <w:color w:val="auto"/>
                <w:w w:val="94"/>
              </w:rPr>
              <w:t>47.00%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24.00%</w:t>
            </w:r>
          </w:p>
        </w:tc>
        <w:tc>
          <w:tcPr>
            <w:tcW w:w="880" w:type="dxa"/>
            <w:vAlign w:val="bottom"/>
          </w:tcPr>
          <w:p>
            <w:pPr>
              <w:jc w:val="right"/>
              <w:spacing w:after="0"/>
              <w:rPr>
                <w:sz w:val="20"/>
                <w:szCs w:val="20"/>
                <w:color w:val="auto"/>
              </w:rPr>
            </w:pPr>
            <w:r>
              <w:rPr>
                <w:rFonts w:ascii="Arial" w:cs="Arial" w:eastAsia="Arial" w:hAnsi="Arial"/>
                <w:sz w:val="18"/>
                <w:szCs w:val="18"/>
                <w:color w:val="auto"/>
              </w:rPr>
              <w:t>94.00%</w:t>
            </w:r>
          </w:p>
        </w:tc>
      </w:tr>
      <w:tr>
        <w:trPr>
          <w:trHeight w:val="27"/>
        </w:trPr>
        <w:tc>
          <w:tcPr>
            <w:tcW w:w="1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 E. Lewry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45.00%</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40.00%</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20.00%</w:t>
            </w:r>
          </w:p>
        </w:tc>
        <w:tc>
          <w:tcPr>
            <w:tcW w:w="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60.00%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7"/>
        </w:trPr>
        <w:tc>
          <w:tcPr>
            <w:tcW w:w="18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68" w:lineRule="exact"/>
        <w:rPr>
          <w:sz w:val="20"/>
          <w:szCs w:val="20"/>
          <w:color w:val="auto"/>
        </w:rPr>
      </w:pPr>
    </w:p>
    <w:p>
      <w:pPr>
        <w:jc w:val="both"/>
        <w:ind w:right="20" w:firstLine="8"/>
        <w:spacing w:after="0" w:line="253" w:lineRule="auto"/>
        <w:tabs>
          <w:tab w:leader="none" w:pos="481"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threshold for payment of a cash bonus was adjusted pre-tax, pre-bonus income corresponding to the achievement of 84% of our fiscal 2016 adjusted corporate budget. That achievement level would result in payment of 25% of target cash bonus. No executive deferred bonus would be awarded at that level of performance.</w:t>
      </w:r>
    </w:p>
    <w:p>
      <w:pPr>
        <w:spacing w:after="0" w:line="50" w:lineRule="exact"/>
        <w:rPr>
          <w:rFonts w:ascii="Arial" w:cs="Arial" w:eastAsia="Arial" w:hAnsi="Arial"/>
          <w:sz w:val="22"/>
          <w:szCs w:val="22"/>
          <w:color w:val="auto"/>
        </w:rPr>
      </w:pPr>
    </w:p>
    <w:p>
      <w:pPr>
        <w:jc w:val="both"/>
        <w:ind w:firstLine="8"/>
        <w:spacing w:after="0" w:line="253" w:lineRule="auto"/>
        <w:tabs>
          <w:tab w:leader="none" w:pos="487"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threshold for earning of an executive deferred bonus award was adjusted pre-tax, pre-bonus income corresponding to the achievement of 95% of our fiscal 2016 adjusted corporate budget. That achievement level would result in an award of 75% of target bonus for both cash and executive deferred bonuses.</w:t>
      </w:r>
    </w:p>
    <w:p>
      <w:pPr>
        <w:spacing w:after="0" w:line="145" w:lineRule="exact"/>
        <w:rPr>
          <w:rFonts w:ascii="Arial" w:cs="Arial" w:eastAsia="Arial" w:hAnsi="Arial"/>
          <w:sz w:val="22"/>
          <w:szCs w:val="22"/>
          <w:color w:val="auto"/>
        </w:rPr>
      </w:pPr>
    </w:p>
    <w:p>
      <w:pPr>
        <w:ind w:left="460" w:hanging="452"/>
        <w:spacing w:after="0"/>
        <w:tabs>
          <w:tab w:leader="none" w:pos="4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At the request of Mr. Jaffee, he was not eligible for an executive deferred bonus award for fiscal 2016.</w:t>
      </w:r>
    </w:p>
    <w:p>
      <w:pPr>
        <w:spacing w:after="0" w:line="1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fiscal 2016 corporate financial performance met the threshold for payment of a performance-based cash incentive award and exceeded the target achievement level listed above. Our adjusted, pre-tax, pre-bonus income resulted in cash incentive bonuses of 109% of target bonus to eligible exempt employees, including our executive officers. However, as described above, for fiscal 2016, our CEO used the discretionary authority granted to him under our annual incentive plan to set the cash incentive awards for eligible exempt employees (other than the CEO) at 150% of target bonus. Similarly, at its September 9, 2016 meeting, our Compensation Committee set the cash incentive award paid to our CEO at 150% of target bonus. In addition, our fiscal 2016 corporate financial performance exceeded the threshold and target levels for earning executive deferred bonus awards.</w:t>
      </w:r>
    </w:p>
    <w:p>
      <w:pPr>
        <w:spacing w:after="0" w:line="1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Annual cash and executive deferred bonus awards are shown in the Summary Compensation Table in the column captioned “Non-Equity Incentive Plan Compensation.”</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addition to the discretionary authority of our CEO described above to adjust the performance measures, targets and payout ranges for our employees generally, our CEO may also exercise discretion in determining the incentive bonus to be paid under the annual incentive plan to any employee, including our executive officers (except himself), by:</w:t>
      </w:r>
    </w:p>
    <w:p>
      <w:pPr>
        <w:spacing w:after="0" w:line="46" w:lineRule="exact"/>
        <w:rPr>
          <w:sz w:val="20"/>
          <w:szCs w:val="20"/>
          <w:color w:val="auto"/>
        </w:rPr>
      </w:pPr>
    </w:p>
    <w:p>
      <w:pPr>
        <w:jc w:val="both"/>
        <w:ind w:left="980" w:hanging="324"/>
        <w:spacing w:after="0" w:line="277" w:lineRule="auto"/>
        <w:tabs>
          <w:tab w:leader="none" w:pos="980" w:val="left"/>
        </w:tabs>
        <w:numPr>
          <w:ilvl w:val="0"/>
          <w:numId w:val="41"/>
        </w:numPr>
        <w:rPr>
          <w:rFonts w:ascii="Arial" w:cs="Arial" w:eastAsia="Arial" w:hAnsi="Arial"/>
          <w:sz w:val="25"/>
          <w:szCs w:val="25"/>
          <w:color w:val="auto"/>
        </w:rPr>
      </w:pPr>
      <w:r>
        <w:rPr>
          <w:rFonts w:ascii="Arial" w:cs="Arial" w:eastAsia="Arial" w:hAnsi="Arial"/>
          <w:sz w:val="22"/>
          <w:szCs w:val="22"/>
          <w:color w:val="auto"/>
        </w:rPr>
        <w:t>Increasing or decreasing any participant’s percent of corporate financial performance bonus earned by up to 25 percentage points, subject to limitations specified in the annual incentive plan. For example, if according to the corporate financial performance measure 75% of the corporate financial performance bonus has been earned, our CEO may adjust an individual participant’s percent of corporate financial performance bonus earned to as little as 50% or as much as 100%.</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80" w:right="239" w:bottom="1440" w:gutter="0" w:footer="0" w:header="0"/>
        </w:sectPr>
      </w:pPr>
    </w:p>
    <w:bookmarkStart w:id="36" w:name="page37"/>
    <w:bookmarkEnd w:id="36"/>
    <w:p>
      <w:pPr>
        <w:ind w:left="980" w:hanging="324"/>
        <w:spacing w:after="0" w:line="269" w:lineRule="auto"/>
        <w:tabs>
          <w:tab w:leader="none" w:pos="980" w:val="left"/>
        </w:tabs>
        <w:numPr>
          <w:ilvl w:val="0"/>
          <w:numId w:val="42"/>
        </w:numPr>
        <w:rPr>
          <w:rFonts w:ascii="Arial" w:cs="Arial" w:eastAsia="Arial" w:hAnsi="Arial"/>
          <w:sz w:val="25"/>
          <w:szCs w:val="25"/>
          <w:color w:val="auto"/>
        </w:rPr>
      </w:pPr>
      <w:r>
        <w:rPr>
          <w:rFonts w:ascii="Arial" w:cs="Arial" w:eastAsia="Arial" w:hAnsi="Arial"/>
          <w:sz w:val="22"/>
          <w:szCs w:val="22"/>
          <w:color w:val="auto"/>
        </w:rPr>
        <w:t>Adjusting individual executive deferred bonus awards downward or upward, based on the participant’s individual performance and/or the performance of the participant’s department or division.</w:t>
      </w:r>
    </w:p>
    <w:p>
      <w:pPr>
        <w:spacing w:after="0" w:line="42" w:lineRule="exact"/>
        <w:rPr>
          <w:rFonts w:ascii="Arial" w:cs="Arial" w:eastAsia="Arial" w:hAnsi="Arial"/>
          <w:sz w:val="25"/>
          <w:szCs w:val="25"/>
          <w:color w:val="auto"/>
        </w:rPr>
      </w:pPr>
    </w:p>
    <w:p>
      <w:pPr>
        <w:jc w:val="both"/>
        <w:ind w:left="980" w:hanging="324"/>
        <w:spacing w:after="0" w:line="276" w:lineRule="auto"/>
        <w:tabs>
          <w:tab w:leader="none" w:pos="980" w:val="left"/>
        </w:tabs>
        <w:numPr>
          <w:ilvl w:val="0"/>
          <w:numId w:val="42"/>
        </w:numPr>
        <w:rPr>
          <w:rFonts w:ascii="Arial" w:cs="Arial" w:eastAsia="Arial" w:hAnsi="Arial"/>
          <w:sz w:val="25"/>
          <w:szCs w:val="25"/>
          <w:color w:val="auto"/>
        </w:rPr>
      </w:pPr>
      <w:r>
        <w:rPr>
          <w:rFonts w:ascii="Arial" w:cs="Arial" w:eastAsia="Arial" w:hAnsi="Arial"/>
          <w:sz w:val="22"/>
          <w:szCs w:val="22"/>
          <w:color w:val="auto"/>
        </w:rPr>
        <w:t>Awarding a bonus under the annual incentive plan of up to 25% of the total dollar amount of the overall target bonus pool for all exempt employees (and up to 100% of the total dollar amount of the overall target bonus pool for all non-exempt employees) if the Company fails to achieve the minimum performance otherwise required for payment of an award.</w:t>
      </w:r>
    </w:p>
    <w:p>
      <w:pPr>
        <w:spacing w:after="0" w:line="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Further, our Compensation Committee may, for a specific fiscal year, grant to our CEO discretionary authority to make additional adjustments to the performance measures, targets and payout ranges, or awards to individual participants, including our executive officers, provided that in no event will our CEO be granted authority to make total awards to any participant which exceed 200% of the participant’s target bonus.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At its September 9, 2016 meeting, our Compensation Committee also reviewed the annual incentive plan performance measure and targets suggested by our CEO for fiscal 2017. The performance measure continues to be corporate financial performance as measured by achievement of target pre-tax, pre-bonus income as specified in the fiscal 2017 annual incentive plan. Annual incentive plan target pre-tax, pre-bonus income for fiscal 2017 will be determined by adjusting pre-tax income as shown in our fiscal 2017 audited consolidated financial statements in the same manner as described above for fiscal 2016.</w:t>
      </w:r>
    </w:p>
    <w:p>
      <w:pPr>
        <w:spacing w:after="0" w:line="1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Retirement Benefits: </w:t>
      </w:r>
      <w:r>
        <w:rPr>
          <w:rFonts w:ascii="Arial" w:cs="Arial" w:eastAsia="Arial" w:hAnsi="Arial"/>
          <w:sz w:val="22"/>
          <w:szCs w:val="22"/>
          <w:color w:val="auto"/>
        </w:rPr>
        <w:t>We seek to retain highly qualified executives, including our executive officers, and reward them for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service, by providing the following retirement benefit plans:</w:t>
      </w:r>
    </w:p>
    <w:p>
      <w:pPr>
        <w:spacing w:after="0" w:line="34"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25"/>
          <w:szCs w:val="25"/>
          <w:color w:val="auto"/>
        </w:rPr>
      </w:pPr>
      <w:r>
        <w:rPr>
          <w:rFonts w:ascii="Arial" w:cs="Arial" w:eastAsia="Arial" w:hAnsi="Arial"/>
          <w:sz w:val="22"/>
          <w:szCs w:val="22"/>
          <w:color w:val="auto"/>
        </w:rPr>
        <w:t>Defined benefit pension plan;</w:t>
      </w:r>
    </w:p>
    <w:p>
      <w:pPr>
        <w:spacing w:after="0" w:line="63" w:lineRule="exact"/>
        <w:rPr>
          <w:rFonts w:ascii="Arial" w:cs="Arial" w:eastAsia="Arial" w:hAnsi="Arial"/>
          <w:sz w:val="25"/>
          <w:szCs w:val="25"/>
          <w:color w:val="auto"/>
        </w:rPr>
      </w:pPr>
    </w:p>
    <w:p>
      <w:pPr>
        <w:ind w:left="980" w:hanging="324"/>
        <w:spacing w:after="0"/>
        <w:tabs>
          <w:tab w:leader="none" w:pos="980" w:val="left"/>
        </w:tabs>
        <w:numPr>
          <w:ilvl w:val="0"/>
          <w:numId w:val="43"/>
        </w:numPr>
        <w:rPr>
          <w:rFonts w:ascii="Arial" w:cs="Arial" w:eastAsia="Arial" w:hAnsi="Arial"/>
          <w:sz w:val="25"/>
          <w:szCs w:val="25"/>
          <w:color w:val="auto"/>
        </w:rPr>
      </w:pPr>
      <w:r>
        <w:rPr>
          <w:rFonts w:ascii="Arial" w:cs="Arial" w:eastAsia="Arial" w:hAnsi="Arial"/>
          <w:sz w:val="22"/>
          <w:szCs w:val="22"/>
          <w:color w:val="auto"/>
        </w:rPr>
        <w:t>Supplemental executive retirement plan (“SERP”);</w:t>
      </w:r>
    </w:p>
    <w:p>
      <w:pPr>
        <w:spacing w:after="0" w:line="63" w:lineRule="exact"/>
        <w:rPr>
          <w:rFonts w:ascii="Arial" w:cs="Arial" w:eastAsia="Arial" w:hAnsi="Arial"/>
          <w:sz w:val="25"/>
          <w:szCs w:val="25"/>
          <w:color w:val="auto"/>
        </w:rPr>
      </w:pPr>
    </w:p>
    <w:p>
      <w:pPr>
        <w:ind w:left="980" w:hanging="324"/>
        <w:spacing w:after="0"/>
        <w:tabs>
          <w:tab w:leader="none" w:pos="980" w:val="left"/>
        </w:tabs>
        <w:numPr>
          <w:ilvl w:val="0"/>
          <w:numId w:val="43"/>
        </w:numPr>
        <w:rPr>
          <w:rFonts w:ascii="Arial" w:cs="Arial" w:eastAsia="Arial" w:hAnsi="Arial"/>
          <w:sz w:val="25"/>
          <w:szCs w:val="25"/>
          <w:color w:val="auto"/>
        </w:rPr>
      </w:pPr>
      <w:r>
        <w:rPr>
          <w:rFonts w:ascii="Arial" w:cs="Arial" w:eastAsia="Arial" w:hAnsi="Arial"/>
          <w:sz w:val="22"/>
          <w:szCs w:val="22"/>
          <w:color w:val="auto"/>
        </w:rPr>
        <w:t>Defined contribution retirement plan; and</w:t>
      </w:r>
    </w:p>
    <w:p>
      <w:pPr>
        <w:spacing w:after="0" w:line="63" w:lineRule="exact"/>
        <w:rPr>
          <w:rFonts w:ascii="Arial" w:cs="Arial" w:eastAsia="Arial" w:hAnsi="Arial"/>
          <w:sz w:val="25"/>
          <w:szCs w:val="25"/>
          <w:color w:val="auto"/>
        </w:rPr>
      </w:pPr>
    </w:p>
    <w:p>
      <w:pPr>
        <w:ind w:left="980" w:hanging="324"/>
        <w:spacing w:after="0"/>
        <w:tabs>
          <w:tab w:leader="none" w:pos="980" w:val="left"/>
        </w:tabs>
        <w:numPr>
          <w:ilvl w:val="0"/>
          <w:numId w:val="43"/>
        </w:numPr>
        <w:rPr>
          <w:rFonts w:ascii="Arial" w:cs="Arial" w:eastAsia="Arial" w:hAnsi="Arial"/>
          <w:sz w:val="25"/>
          <w:szCs w:val="25"/>
          <w:color w:val="auto"/>
        </w:rPr>
      </w:pPr>
      <w:r>
        <w:rPr>
          <w:rFonts w:ascii="Arial" w:cs="Arial" w:eastAsia="Arial" w:hAnsi="Arial"/>
          <w:sz w:val="22"/>
          <w:szCs w:val="22"/>
          <w:color w:val="auto"/>
        </w:rPr>
        <w:t>Executive deferred compensation plan.</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Retirement benefits under these plans are funded by a combination of employer and employee contributions as described below, thus encouraging employees to take an active part in saving for their own retirement years.</w:t>
      </w:r>
    </w:p>
    <w:p>
      <w:pPr>
        <w:spacing w:after="0" w:line="47" w:lineRule="exact"/>
        <w:rPr>
          <w:sz w:val="20"/>
          <w:szCs w:val="20"/>
          <w:color w:val="auto"/>
        </w:rPr>
      </w:pPr>
    </w:p>
    <w:p>
      <w:pPr>
        <w:jc w:val="both"/>
        <w:ind w:left="980" w:hanging="324"/>
        <w:spacing w:after="0" w:line="278" w:lineRule="auto"/>
        <w:tabs>
          <w:tab w:leader="none" w:pos="980" w:val="left"/>
        </w:tabs>
        <w:numPr>
          <w:ilvl w:val="0"/>
          <w:numId w:val="44"/>
        </w:numPr>
        <w:rPr>
          <w:rFonts w:ascii="Arial" w:cs="Arial" w:eastAsia="Arial" w:hAnsi="Arial"/>
          <w:sz w:val="25"/>
          <w:szCs w:val="25"/>
          <w:color w:val="auto"/>
        </w:rPr>
      </w:pPr>
      <w:r>
        <w:rPr>
          <w:rFonts w:ascii="Arial" w:cs="Arial" w:eastAsia="Arial" w:hAnsi="Arial"/>
          <w:sz w:val="22"/>
          <w:szCs w:val="22"/>
          <w:b w:val="1"/>
          <w:bCs w:val="1"/>
          <w:color w:val="auto"/>
        </w:rPr>
        <w:t xml:space="preserve">Defined benefit pension plan: </w:t>
      </w:r>
      <w:r>
        <w:rPr>
          <w:rFonts w:ascii="Arial" w:cs="Arial" w:eastAsia="Arial" w:hAnsi="Arial"/>
          <w:sz w:val="22"/>
          <w:szCs w:val="22"/>
          <w:color w:val="auto"/>
        </w:rPr>
        <w:t>All U.S.-based employees participate in our Company-funded defined benefit pension</w:t>
      </w:r>
      <w:r>
        <w:rPr>
          <w:rFonts w:ascii="Arial" w:cs="Arial" w:eastAsia="Arial" w:hAnsi="Arial"/>
          <w:sz w:val="22"/>
          <w:szCs w:val="22"/>
          <w:b w:val="1"/>
          <w:bCs w:val="1"/>
          <w:color w:val="auto"/>
        </w:rPr>
        <w:t xml:space="preserve"> </w:t>
      </w:r>
      <w:r>
        <w:rPr>
          <w:rFonts w:ascii="Arial" w:cs="Arial" w:eastAsia="Arial" w:hAnsi="Arial"/>
          <w:sz w:val="22"/>
          <w:szCs w:val="22"/>
          <w:color w:val="auto"/>
        </w:rPr>
        <w:t>plan. For salaried employees, the pension plan provides for pension benefits based on credited years of service and certain cash compensation (principally, base salary and commissions) earned during the highest paid consecutive five years during the last 10 years of employment. Our hourly-paid manufacturing employees also participate, but with a different pension benefit formula.</w:t>
      </w:r>
    </w:p>
    <w:p>
      <w:pPr>
        <w:spacing w:after="0" w:line="34" w:lineRule="exact"/>
        <w:rPr>
          <w:rFonts w:ascii="Arial" w:cs="Arial" w:eastAsia="Arial" w:hAnsi="Arial"/>
          <w:sz w:val="25"/>
          <w:szCs w:val="25"/>
          <w:color w:val="auto"/>
        </w:rPr>
      </w:pPr>
    </w:p>
    <w:p>
      <w:pPr>
        <w:jc w:val="both"/>
        <w:ind w:left="980" w:hanging="324"/>
        <w:spacing w:after="0" w:line="294" w:lineRule="auto"/>
        <w:tabs>
          <w:tab w:leader="none" w:pos="980" w:val="left"/>
        </w:tabs>
        <w:numPr>
          <w:ilvl w:val="0"/>
          <w:numId w:val="44"/>
        </w:numPr>
        <w:rPr>
          <w:rFonts w:ascii="Arial" w:cs="Arial" w:eastAsia="Arial" w:hAnsi="Arial"/>
          <w:sz w:val="24"/>
          <w:szCs w:val="24"/>
          <w:color w:val="auto"/>
        </w:rPr>
      </w:pPr>
      <w:r>
        <w:rPr>
          <w:rFonts w:ascii="Arial" w:cs="Arial" w:eastAsia="Arial" w:hAnsi="Arial"/>
          <w:sz w:val="21"/>
          <w:szCs w:val="21"/>
          <w:b w:val="1"/>
          <w:bCs w:val="1"/>
          <w:color w:val="auto"/>
        </w:rPr>
        <w:t xml:space="preserve">Supplemental executive retirement plan: </w:t>
      </w:r>
      <w:r>
        <w:rPr>
          <w:rFonts w:ascii="Arial" w:cs="Arial" w:eastAsia="Arial" w:hAnsi="Arial"/>
          <w:sz w:val="21"/>
          <w:szCs w:val="21"/>
          <w:color w:val="auto"/>
        </w:rPr>
        <w:t>Our SERP provides benefits that would have been provided under our</w:t>
      </w:r>
      <w:r>
        <w:rPr>
          <w:rFonts w:ascii="Arial" w:cs="Arial" w:eastAsia="Arial" w:hAnsi="Arial"/>
          <w:sz w:val="21"/>
          <w:szCs w:val="21"/>
          <w:b w:val="1"/>
          <w:bCs w:val="1"/>
          <w:color w:val="auto"/>
        </w:rPr>
        <w:t xml:space="preserve"> </w:t>
      </w:r>
      <w:r>
        <w:rPr>
          <w:rFonts w:ascii="Arial" w:cs="Arial" w:eastAsia="Arial" w:hAnsi="Arial"/>
          <w:sz w:val="21"/>
          <w:szCs w:val="21"/>
          <w:color w:val="auto"/>
        </w:rPr>
        <w:t>pension plan absent the Code limitations on benefits and on compensation for purposes of calculating benefits, offset by the actual pension benefits. Benefits under the SERP will be paid from our general assets. All employees whose pension plan benefits are limited by the Code will participate in the SERP. Currently, our CEO and COO are the only participants; however, our COO will not be vested in the plan until March 31, 2019.</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3" w:right="239" w:bottom="1440" w:gutter="0" w:footer="0" w:header="0"/>
        </w:sectPr>
      </w:pPr>
    </w:p>
    <w:bookmarkStart w:id="37" w:name="page38"/>
    <w:bookmarkEnd w:id="37"/>
    <w:p>
      <w:pPr>
        <w:jc w:val="both"/>
        <w:ind w:left="980" w:hanging="324"/>
        <w:spacing w:after="0" w:line="279" w:lineRule="auto"/>
        <w:tabs>
          <w:tab w:leader="none" w:pos="980" w:val="left"/>
        </w:tabs>
        <w:numPr>
          <w:ilvl w:val="0"/>
          <w:numId w:val="45"/>
        </w:numPr>
        <w:rPr>
          <w:rFonts w:ascii="Arial" w:cs="Arial" w:eastAsia="Arial" w:hAnsi="Arial"/>
          <w:sz w:val="25"/>
          <w:szCs w:val="25"/>
          <w:color w:val="auto"/>
        </w:rPr>
      </w:pPr>
      <w:r>
        <w:rPr>
          <w:rFonts w:ascii="Arial" w:cs="Arial" w:eastAsia="Arial" w:hAnsi="Arial"/>
          <w:sz w:val="22"/>
          <w:szCs w:val="22"/>
          <w:b w:val="1"/>
          <w:bCs w:val="1"/>
          <w:color w:val="auto"/>
        </w:rPr>
        <w:t xml:space="preserve">Defined contribution retirement plan: </w:t>
      </w:r>
      <w:r>
        <w:rPr>
          <w:rFonts w:ascii="Arial" w:cs="Arial" w:eastAsia="Arial" w:hAnsi="Arial"/>
          <w:sz w:val="22"/>
          <w:szCs w:val="22"/>
          <w:color w:val="auto"/>
        </w:rPr>
        <w:t>All U.S.-based employees are eligible to participate in our 401(k)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savings plan. Employees may contribute from 2% to 50% of eligible compensation on a tax-deferred basis, subject to Code limits. We make a matching contribution of $0.50 for each $1.00 of the first 4% of compensation that employees contribute. For employees that were hired prior to May 1, 2012, our matching contribution is immediately vested. For employees that were hired on or after May 1, 2012, the Company’s matching contribution vests in accordance with the following schedule:</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960" w:type="dxa"/>
            <w:vAlign w:val="bottom"/>
            <w:gridSpan w:val="2"/>
          </w:tcPr>
          <w:p>
            <w:pPr>
              <w:jc w:val="center"/>
              <w:ind w:right="720"/>
              <w:spacing w:after="0"/>
              <w:rPr>
                <w:sz w:val="20"/>
                <w:szCs w:val="20"/>
                <w:color w:val="auto"/>
              </w:rPr>
            </w:pPr>
            <w:r>
              <w:rPr>
                <w:rFonts w:ascii="Arial" w:cs="Arial" w:eastAsia="Arial" w:hAnsi="Arial"/>
                <w:sz w:val="22"/>
                <w:szCs w:val="22"/>
                <w:b w:val="1"/>
                <w:bCs w:val="1"/>
                <w:color w:val="auto"/>
                <w:w w:val="85"/>
              </w:rPr>
              <w:t>Vested Percentage of</w:t>
            </w:r>
          </w:p>
        </w:tc>
      </w:tr>
      <w:tr>
        <w:trPr>
          <w:trHeight w:val="230"/>
        </w:trPr>
        <w:tc>
          <w:tcPr>
            <w:tcW w:w="1580" w:type="dxa"/>
            <w:vAlign w:val="bottom"/>
          </w:tcPr>
          <w:p>
            <w:pPr>
              <w:spacing w:after="0"/>
              <w:rPr>
                <w:sz w:val="20"/>
                <w:szCs w:val="20"/>
                <w:color w:val="auto"/>
              </w:rPr>
            </w:pPr>
          </w:p>
        </w:tc>
        <w:tc>
          <w:tcPr>
            <w:tcW w:w="2660" w:type="dxa"/>
            <w:vAlign w:val="bottom"/>
            <w:gridSpan w:val="2"/>
          </w:tcPr>
          <w:p>
            <w:pPr>
              <w:ind w:left="40"/>
              <w:spacing w:after="0" w:line="230" w:lineRule="exact"/>
              <w:rPr>
                <w:sz w:val="20"/>
                <w:szCs w:val="20"/>
                <w:color w:val="auto"/>
              </w:rPr>
            </w:pPr>
            <w:r>
              <w:rPr>
                <w:rFonts w:ascii="Arial" w:cs="Arial" w:eastAsia="Arial" w:hAnsi="Arial"/>
                <w:sz w:val="22"/>
                <w:szCs w:val="22"/>
                <w:b w:val="1"/>
                <w:bCs w:val="1"/>
                <w:color w:val="auto"/>
              </w:rPr>
              <w:t>Years of Service</w:t>
            </w:r>
          </w:p>
        </w:tc>
        <w:tc>
          <w:tcPr>
            <w:tcW w:w="5120" w:type="dxa"/>
            <w:vAlign w:val="bottom"/>
            <w:gridSpan w:val="3"/>
          </w:tcPr>
          <w:p>
            <w:pPr>
              <w:jc w:val="center"/>
              <w:ind w:left="352"/>
              <w:spacing w:after="0" w:line="230" w:lineRule="exact"/>
              <w:rPr>
                <w:sz w:val="20"/>
                <w:szCs w:val="20"/>
                <w:color w:val="auto"/>
              </w:rPr>
            </w:pPr>
            <w:r>
              <w:rPr>
                <w:rFonts w:ascii="Arial" w:cs="Arial" w:eastAsia="Arial" w:hAnsi="Arial"/>
                <w:sz w:val="22"/>
                <w:szCs w:val="22"/>
                <w:b w:val="1"/>
                <w:bCs w:val="1"/>
                <w:color w:val="auto"/>
                <w:w w:val="90"/>
              </w:rPr>
              <w:t>Company’s Matching Contribution</w:t>
            </w:r>
          </w:p>
        </w:tc>
      </w:tr>
      <w:tr>
        <w:trPr>
          <w:trHeight w:val="48"/>
        </w:trPr>
        <w:tc>
          <w:tcPr>
            <w:tcW w:w="158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6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r>
      <w:tr>
        <w:trPr>
          <w:trHeight w:val="297"/>
        </w:trPr>
        <w:tc>
          <w:tcPr>
            <w:tcW w:w="158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ind w:left="60"/>
              <w:spacing w:after="0"/>
              <w:rPr>
                <w:sz w:val="20"/>
                <w:szCs w:val="20"/>
                <w:color w:val="auto"/>
              </w:rPr>
            </w:pPr>
            <w:r>
              <w:rPr>
                <w:rFonts w:ascii="Arial" w:cs="Arial" w:eastAsia="Arial" w:hAnsi="Arial"/>
                <w:sz w:val="22"/>
                <w:szCs w:val="22"/>
                <w:color w:val="auto"/>
              </w:rPr>
              <w:t>1 but less than 2</w:t>
            </w:r>
          </w:p>
        </w:tc>
        <w:tc>
          <w:tcPr>
            <w:tcW w:w="4420" w:type="dxa"/>
            <w:vAlign w:val="bottom"/>
            <w:gridSpan w:val="2"/>
            <w:shd w:val="clear" w:color="auto" w:fill="CCEEFF"/>
          </w:tcPr>
          <w:p>
            <w:pPr>
              <w:jc w:val="center"/>
              <w:ind w:left="1032"/>
              <w:spacing w:after="0"/>
              <w:rPr>
                <w:sz w:val="20"/>
                <w:szCs w:val="20"/>
                <w:color w:val="auto"/>
              </w:rPr>
            </w:pPr>
            <w:r>
              <w:rPr>
                <w:rFonts w:ascii="Arial" w:cs="Arial" w:eastAsia="Arial" w:hAnsi="Arial"/>
                <w:sz w:val="22"/>
                <w:szCs w:val="22"/>
                <w:color w:val="auto"/>
                <w:w w:val="90"/>
              </w:rPr>
              <w:t>20%</w:t>
            </w:r>
          </w:p>
        </w:tc>
        <w:tc>
          <w:tcPr>
            <w:tcW w:w="700" w:type="dxa"/>
            <w:vAlign w:val="bottom"/>
            <w:shd w:val="clear" w:color="auto" w:fill="CCEEFF"/>
          </w:tcPr>
          <w:p>
            <w:pPr>
              <w:spacing w:after="0"/>
              <w:rPr>
                <w:sz w:val="24"/>
                <w:szCs w:val="24"/>
                <w:color w:val="auto"/>
              </w:rPr>
            </w:pPr>
          </w:p>
        </w:tc>
      </w:tr>
      <w:tr>
        <w:trPr>
          <w:trHeight w:val="289"/>
        </w:trPr>
        <w:tc>
          <w:tcPr>
            <w:tcW w:w="1580" w:type="dxa"/>
            <w:vAlign w:val="bottom"/>
          </w:tcPr>
          <w:p>
            <w:pPr>
              <w:spacing w:after="0"/>
              <w:rPr>
                <w:sz w:val="24"/>
                <w:szCs w:val="24"/>
                <w:color w:val="auto"/>
              </w:rPr>
            </w:pPr>
          </w:p>
        </w:tc>
        <w:tc>
          <w:tcPr>
            <w:tcW w:w="2660" w:type="dxa"/>
            <w:vAlign w:val="bottom"/>
            <w:gridSpan w:val="2"/>
          </w:tcPr>
          <w:p>
            <w:pPr>
              <w:ind w:left="60"/>
              <w:spacing w:after="0"/>
              <w:rPr>
                <w:sz w:val="20"/>
                <w:szCs w:val="20"/>
                <w:color w:val="auto"/>
              </w:rPr>
            </w:pPr>
            <w:r>
              <w:rPr>
                <w:rFonts w:ascii="Arial" w:cs="Arial" w:eastAsia="Arial" w:hAnsi="Arial"/>
                <w:sz w:val="22"/>
                <w:szCs w:val="22"/>
                <w:color w:val="auto"/>
              </w:rPr>
              <w:t>2 but less than 3</w:t>
            </w:r>
          </w:p>
        </w:tc>
        <w:tc>
          <w:tcPr>
            <w:tcW w:w="4420" w:type="dxa"/>
            <w:vAlign w:val="bottom"/>
            <w:gridSpan w:val="2"/>
          </w:tcPr>
          <w:p>
            <w:pPr>
              <w:jc w:val="center"/>
              <w:ind w:left="1032"/>
              <w:spacing w:after="0"/>
              <w:rPr>
                <w:sz w:val="20"/>
                <w:szCs w:val="20"/>
                <w:color w:val="auto"/>
              </w:rPr>
            </w:pPr>
            <w:r>
              <w:rPr>
                <w:rFonts w:ascii="Arial" w:cs="Arial" w:eastAsia="Arial" w:hAnsi="Arial"/>
                <w:sz w:val="22"/>
                <w:szCs w:val="22"/>
                <w:color w:val="auto"/>
                <w:w w:val="90"/>
              </w:rPr>
              <w:t>40%</w:t>
            </w:r>
          </w:p>
        </w:tc>
        <w:tc>
          <w:tcPr>
            <w:tcW w:w="700" w:type="dxa"/>
            <w:vAlign w:val="bottom"/>
          </w:tcPr>
          <w:p>
            <w:pPr>
              <w:spacing w:after="0"/>
              <w:rPr>
                <w:sz w:val="24"/>
                <w:szCs w:val="24"/>
                <w:color w:val="auto"/>
              </w:rPr>
            </w:pPr>
          </w:p>
        </w:tc>
      </w:tr>
      <w:tr>
        <w:trPr>
          <w:trHeight w:val="306"/>
        </w:trPr>
        <w:tc>
          <w:tcPr>
            <w:tcW w:w="158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ind w:left="60"/>
              <w:spacing w:after="0"/>
              <w:rPr>
                <w:sz w:val="20"/>
                <w:szCs w:val="20"/>
                <w:color w:val="auto"/>
              </w:rPr>
            </w:pPr>
            <w:r>
              <w:rPr>
                <w:rFonts w:ascii="Arial" w:cs="Arial" w:eastAsia="Arial" w:hAnsi="Arial"/>
                <w:sz w:val="22"/>
                <w:szCs w:val="22"/>
                <w:color w:val="auto"/>
              </w:rPr>
              <w:t>3 but less than 4</w:t>
            </w:r>
          </w:p>
        </w:tc>
        <w:tc>
          <w:tcPr>
            <w:tcW w:w="4420" w:type="dxa"/>
            <w:vAlign w:val="bottom"/>
            <w:gridSpan w:val="2"/>
            <w:shd w:val="clear" w:color="auto" w:fill="CCEEFF"/>
          </w:tcPr>
          <w:p>
            <w:pPr>
              <w:jc w:val="center"/>
              <w:ind w:left="1032"/>
              <w:spacing w:after="0"/>
              <w:rPr>
                <w:sz w:val="20"/>
                <w:szCs w:val="20"/>
                <w:color w:val="auto"/>
              </w:rPr>
            </w:pPr>
            <w:r>
              <w:rPr>
                <w:rFonts w:ascii="Arial" w:cs="Arial" w:eastAsia="Arial" w:hAnsi="Arial"/>
                <w:sz w:val="22"/>
                <w:szCs w:val="22"/>
                <w:color w:val="auto"/>
                <w:w w:val="90"/>
              </w:rPr>
              <w:t>60%</w:t>
            </w:r>
          </w:p>
        </w:tc>
        <w:tc>
          <w:tcPr>
            <w:tcW w:w="700" w:type="dxa"/>
            <w:vAlign w:val="bottom"/>
            <w:shd w:val="clear" w:color="auto" w:fill="CCEEFF"/>
          </w:tcPr>
          <w:p>
            <w:pPr>
              <w:spacing w:after="0"/>
              <w:rPr>
                <w:sz w:val="24"/>
                <w:szCs w:val="24"/>
                <w:color w:val="auto"/>
              </w:rPr>
            </w:pPr>
          </w:p>
        </w:tc>
      </w:tr>
      <w:tr>
        <w:trPr>
          <w:trHeight w:val="289"/>
        </w:trPr>
        <w:tc>
          <w:tcPr>
            <w:tcW w:w="1580" w:type="dxa"/>
            <w:vAlign w:val="bottom"/>
          </w:tcPr>
          <w:p>
            <w:pPr>
              <w:spacing w:after="0"/>
              <w:rPr>
                <w:sz w:val="24"/>
                <w:szCs w:val="24"/>
                <w:color w:val="auto"/>
              </w:rPr>
            </w:pPr>
          </w:p>
        </w:tc>
        <w:tc>
          <w:tcPr>
            <w:tcW w:w="2660" w:type="dxa"/>
            <w:vAlign w:val="bottom"/>
            <w:gridSpan w:val="2"/>
          </w:tcPr>
          <w:p>
            <w:pPr>
              <w:ind w:left="60"/>
              <w:spacing w:after="0"/>
              <w:rPr>
                <w:sz w:val="20"/>
                <w:szCs w:val="20"/>
                <w:color w:val="auto"/>
              </w:rPr>
            </w:pPr>
            <w:r>
              <w:rPr>
                <w:rFonts w:ascii="Arial" w:cs="Arial" w:eastAsia="Arial" w:hAnsi="Arial"/>
                <w:sz w:val="22"/>
                <w:szCs w:val="22"/>
                <w:color w:val="auto"/>
              </w:rPr>
              <w:t>4 but less than 5</w:t>
            </w:r>
          </w:p>
        </w:tc>
        <w:tc>
          <w:tcPr>
            <w:tcW w:w="4420" w:type="dxa"/>
            <w:vAlign w:val="bottom"/>
            <w:gridSpan w:val="2"/>
          </w:tcPr>
          <w:p>
            <w:pPr>
              <w:jc w:val="center"/>
              <w:ind w:left="1032"/>
              <w:spacing w:after="0"/>
              <w:rPr>
                <w:sz w:val="20"/>
                <w:szCs w:val="20"/>
                <w:color w:val="auto"/>
              </w:rPr>
            </w:pPr>
            <w:r>
              <w:rPr>
                <w:rFonts w:ascii="Arial" w:cs="Arial" w:eastAsia="Arial" w:hAnsi="Arial"/>
                <w:sz w:val="22"/>
                <w:szCs w:val="22"/>
                <w:color w:val="auto"/>
                <w:w w:val="90"/>
              </w:rPr>
              <w:t>80%</w:t>
            </w:r>
          </w:p>
        </w:tc>
        <w:tc>
          <w:tcPr>
            <w:tcW w:w="700" w:type="dxa"/>
            <w:vAlign w:val="bottom"/>
          </w:tcPr>
          <w:p>
            <w:pPr>
              <w:spacing w:after="0"/>
              <w:rPr>
                <w:sz w:val="24"/>
                <w:szCs w:val="24"/>
                <w:color w:val="auto"/>
              </w:rPr>
            </w:pPr>
          </w:p>
        </w:tc>
      </w:tr>
      <w:tr>
        <w:trPr>
          <w:trHeight w:val="306"/>
        </w:trPr>
        <w:tc>
          <w:tcPr>
            <w:tcW w:w="158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ind w:left="340"/>
              <w:spacing w:after="0"/>
              <w:rPr>
                <w:sz w:val="20"/>
                <w:szCs w:val="20"/>
                <w:color w:val="auto"/>
              </w:rPr>
            </w:pPr>
            <w:r>
              <w:rPr>
                <w:rFonts w:ascii="Arial" w:cs="Arial" w:eastAsia="Arial" w:hAnsi="Arial"/>
                <w:sz w:val="22"/>
                <w:szCs w:val="22"/>
                <w:color w:val="auto"/>
              </w:rPr>
              <w:t>5 or more</w:t>
            </w:r>
          </w:p>
        </w:tc>
        <w:tc>
          <w:tcPr>
            <w:tcW w:w="4420" w:type="dxa"/>
            <w:vAlign w:val="bottom"/>
            <w:gridSpan w:val="2"/>
            <w:shd w:val="clear" w:color="auto" w:fill="CCEEFF"/>
          </w:tcPr>
          <w:p>
            <w:pPr>
              <w:jc w:val="center"/>
              <w:ind w:left="1052"/>
              <w:spacing w:after="0"/>
              <w:rPr>
                <w:sz w:val="20"/>
                <w:szCs w:val="20"/>
                <w:color w:val="auto"/>
              </w:rPr>
            </w:pPr>
            <w:r>
              <w:rPr>
                <w:rFonts w:ascii="Arial" w:cs="Arial" w:eastAsia="Arial" w:hAnsi="Arial"/>
                <w:sz w:val="22"/>
                <w:szCs w:val="22"/>
                <w:color w:val="auto"/>
                <w:w w:val="88"/>
              </w:rPr>
              <w:t>100%</w:t>
            </w:r>
          </w:p>
        </w:tc>
        <w:tc>
          <w:tcPr>
            <w:tcW w:w="700" w:type="dxa"/>
            <w:vAlign w:val="bottom"/>
            <w:shd w:val="clear" w:color="auto" w:fill="CCEEFF"/>
          </w:tcPr>
          <w:p>
            <w:pPr>
              <w:spacing w:after="0"/>
              <w:rPr>
                <w:sz w:val="24"/>
                <w:szCs w:val="24"/>
                <w:color w:val="auto"/>
              </w:rPr>
            </w:pPr>
          </w:p>
        </w:tc>
      </w:tr>
    </w:tbl>
    <w:p>
      <w:pPr>
        <w:spacing w:after="0" w:line="330" w:lineRule="exact"/>
        <w:rPr>
          <w:sz w:val="20"/>
          <w:szCs w:val="20"/>
          <w:color w:val="auto"/>
        </w:rPr>
      </w:pPr>
    </w:p>
    <w:p>
      <w:pPr>
        <w:ind w:left="980"/>
        <w:spacing w:after="0" w:line="263" w:lineRule="auto"/>
        <w:rPr>
          <w:sz w:val="20"/>
          <w:szCs w:val="20"/>
          <w:color w:val="auto"/>
        </w:rPr>
      </w:pPr>
      <w:r>
        <w:rPr>
          <w:rFonts w:ascii="Arial" w:cs="Arial" w:eastAsia="Arial" w:hAnsi="Arial"/>
          <w:sz w:val="22"/>
          <w:szCs w:val="22"/>
          <w:color w:val="auto"/>
        </w:rPr>
        <w:t>If an employee is subject to the above vesting schedule and retires on or after such employee’s 65th birthday, the unvested portion, if any, of the Company’s matching contribution becomes vested.</w:t>
      </w:r>
    </w:p>
    <w:p>
      <w:pPr>
        <w:spacing w:after="0" w:line="47" w:lineRule="exact"/>
        <w:rPr>
          <w:sz w:val="20"/>
          <w:szCs w:val="20"/>
          <w:color w:val="auto"/>
        </w:rPr>
      </w:pPr>
    </w:p>
    <w:p>
      <w:pPr>
        <w:jc w:val="both"/>
        <w:ind w:left="980" w:hanging="324"/>
        <w:spacing w:after="0" w:line="278" w:lineRule="auto"/>
        <w:tabs>
          <w:tab w:leader="none" w:pos="980" w:val="left"/>
        </w:tabs>
        <w:numPr>
          <w:ilvl w:val="0"/>
          <w:numId w:val="46"/>
        </w:numPr>
        <w:rPr>
          <w:rFonts w:ascii="Arial" w:cs="Arial" w:eastAsia="Arial" w:hAnsi="Arial"/>
          <w:sz w:val="25"/>
          <w:szCs w:val="25"/>
          <w:color w:val="auto"/>
        </w:rPr>
      </w:pPr>
      <w:r>
        <w:rPr>
          <w:rFonts w:ascii="Arial" w:cs="Arial" w:eastAsia="Arial" w:hAnsi="Arial"/>
          <w:sz w:val="22"/>
          <w:szCs w:val="22"/>
          <w:b w:val="1"/>
          <w:bCs w:val="1"/>
          <w:color w:val="auto"/>
        </w:rPr>
        <w:t xml:space="preserve">Executive deferred compensation plan: </w:t>
      </w:r>
      <w:r>
        <w:rPr>
          <w:rFonts w:ascii="Arial" w:cs="Arial" w:eastAsia="Arial" w:hAnsi="Arial"/>
          <w:sz w:val="22"/>
          <w:szCs w:val="22"/>
          <w:color w:val="auto"/>
        </w:rPr>
        <w:t>We provide an executive deferred compensation plan to assist executives and</w:t>
      </w:r>
      <w:r>
        <w:rPr>
          <w:rFonts w:ascii="Arial" w:cs="Arial" w:eastAsia="Arial" w:hAnsi="Arial"/>
          <w:sz w:val="22"/>
          <w:szCs w:val="22"/>
          <w:b w:val="1"/>
          <w:bCs w:val="1"/>
          <w:color w:val="auto"/>
        </w:rPr>
        <w:t xml:space="preserve"> </w:t>
      </w:r>
      <w:r>
        <w:rPr>
          <w:rFonts w:ascii="Arial" w:cs="Arial" w:eastAsia="Arial" w:hAnsi="Arial"/>
          <w:sz w:val="22"/>
          <w:szCs w:val="22"/>
          <w:color w:val="auto"/>
        </w:rPr>
        <w:t>non-employee directors in saving for retirement or other financial needs. All executive officers are eligible to participate in this plan. Participating executives may defer up to 50% of base salary and 100% of annual incentive bonus into the plan. We make no contributions. Executives’ deferrals earn interest at a rate equal to our long-term cost of borrowing plus 1%.</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Retirement Benefits for the Named Executive Officers shown in the Tables:</w:t>
      </w:r>
    </w:p>
    <w:p>
      <w:pPr>
        <w:spacing w:after="0" w:line="98" w:lineRule="exact"/>
        <w:rPr>
          <w:sz w:val="20"/>
          <w:szCs w:val="20"/>
          <w:color w:val="auto"/>
        </w:rPr>
      </w:pPr>
    </w:p>
    <w:p>
      <w:pPr>
        <w:jc w:val="both"/>
        <w:ind w:left="980" w:hanging="324"/>
        <w:spacing w:after="0" w:line="306" w:lineRule="auto"/>
        <w:tabs>
          <w:tab w:leader="none" w:pos="980" w:val="left"/>
        </w:tabs>
        <w:numPr>
          <w:ilvl w:val="0"/>
          <w:numId w:val="47"/>
        </w:numPr>
        <w:rPr>
          <w:rFonts w:ascii="Arial" w:cs="Arial" w:eastAsia="Arial" w:hAnsi="Arial"/>
          <w:sz w:val="23"/>
          <w:szCs w:val="23"/>
          <w:color w:val="auto"/>
        </w:rPr>
      </w:pPr>
      <w:r>
        <w:rPr>
          <w:rFonts w:ascii="Arial" w:cs="Arial" w:eastAsia="Arial" w:hAnsi="Arial"/>
          <w:sz w:val="20"/>
          <w:szCs w:val="20"/>
          <w:color w:val="auto"/>
        </w:rPr>
        <w:t>Summary Compensation Table: The actuarial change in pension and SERP benefits and the earnings in excess of 120% of the applicable federal rate on deferred compensation plan balances are included in the “Change in Pension Value and Nonqualified Deferred Compensation Earnings” column of the Summary Compensation Table. Our contribution to the 401(k) retirement savings plan is included in the “All Other Compensation” column of that table.</w:t>
      </w:r>
    </w:p>
    <w:p>
      <w:pPr>
        <w:spacing w:after="0" w:line="25" w:lineRule="exact"/>
        <w:rPr>
          <w:rFonts w:ascii="Arial" w:cs="Arial" w:eastAsia="Arial" w:hAnsi="Arial"/>
          <w:sz w:val="23"/>
          <w:szCs w:val="23"/>
          <w:color w:val="auto"/>
        </w:rPr>
      </w:pPr>
    </w:p>
    <w:p>
      <w:pPr>
        <w:ind w:left="980" w:hanging="324"/>
        <w:spacing w:after="0" w:line="269" w:lineRule="auto"/>
        <w:tabs>
          <w:tab w:leader="none" w:pos="980" w:val="left"/>
        </w:tabs>
        <w:numPr>
          <w:ilvl w:val="0"/>
          <w:numId w:val="47"/>
        </w:numPr>
        <w:rPr>
          <w:rFonts w:ascii="Arial" w:cs="Arial" w:eastAsia="Arial" w:hAnsi="Arial"/>
          <w:sz w:val="25"/>
          <w:szCs w:val="25"/>
          <w:color w:val="auto"/>
        </w:rPr>
      </w:pPr>
      <w:r>
        <w:rPr>
          <w:rFonts w:ascii="Arial" w:cs="Arial" w:eastAsia="Arial" w:hAnsi="Arial"/>
          <w:sz w:val="22"/>
          <w:szCs w:val="22"/>
          <w:color w:val="auto"/>
        </w:rPr>
        <w:t>Pension Benefits Table: The present value of the accumulated benefits under the pension plan and the SERP is shown in the “Present Value of Accumulated Benefits” column of the Pension Benefits Table.</w:t>
      </w:r>
    </w:p>
    <w:p>
      <w:pPr>
        <w:spacing w:after="0" w:line="42" w:lineRule="exact"/>
        <w:rPr>
          <w:rFonts w:ascii="Arial" w:cs="Arial" w:eastAsia="Arial" w:hAnsi="Arial"/>
          <w:sz w:val="25"/>
          <w:szCs w:val="25"/>
          <w:color w:val="auto"/>
        </w:rPr>
      </w:pPr>
    </w:p>
    <w:p>
      <w:pPr>
        <w:jc w:val="both"/>
        <w:ind w:left="980" w:hanging="324"/>
        <w:spacing w:after="0" w:line="276" w:lineRule="auto"/>
        <w:tabs>
          <w:tab w:leader="none" w:pos="980" w:val="left"/>
        </w:tabs>
        <w:numPr>
          <w:ilvl w:val="0"/>
          <w:numId w:val="47"/>
        </w:numPr>
        <w:rPr>
          <w:rFonts w:ascii="Arial" w:cs="Arial" w:eastAsia="Arial" w:hAnsi="Arial"/>
          <w:sz w:val="25"/>
          <w:szCs w:val="25"/>
          <w:color w:val="auto"/>
        </w:rPr>
      </w:pPr>
      <w:r>
        <w:rPr>
          <w:rFonts w:ascii="Arial" w:cs="Arial" w:eastAsia="Arial" w:hAnsi="Arial"/>
          <w:sz w:val="22"/>
          <w:szCs w:val="22"/>
          <w:color w:val="auto"/>
        </w:rPr>
        <w:t>Nonqualified Deferred Compensation Table: Contributions by the named executive officers to our executive deferred compensation plan are shown in the “Executive Contributions in Last Fiscal Year” column of the Nonqualified Deferred Compensation Table. Earnings on balances in that plan are included in the “Aggregate Earnings in Last Fiscal Year” column of that table.</w:t>
      </w:r>
    </w:p>
    <w:p>
      <w:pPr>
        <w:spacing w:after="0" w:line="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Other Benefits: </w:t>
      </w:r>
      <w:r>
        <w:rPr>
          <w:rFonts w:ascii="Arial" w:cs="Arial" w:eastAsia="Arial" w:hAnsi="Arial"/>
          <w:sz w:val="19"/>
          <w:szCs w:val="19"/>
          <w:color w:val="auto"/>
        </w:rPr>
        <w:t>We provide health and welfare benefits, including medical and dental coverage and life and long-term</w:t>
      </w:r>
      <w:r>
        <w:rPr>
          <w:rFonts w:ascii="Arial" w:cs="Arial" w:eastAsia="Arial" w:hAnsi="Arial"/>
          <w:sz w:val="19"/>
          <w:szCs w:val="19"/>
          <w:b w:val="1"/>
          <w:bCs w:val="1"/>
          <w:color w:val="auto"/>
        </w:rPr>
        <w:t xml:space="preserve"> </w:t>
      </w:r>
      <w:r>
        <w:rPr>
          <w:rFonts w:ascii="Arial" w:cs="Arial" w:eastAsia="Arial" w:hAnsi="Arial"/>
          <w:sz w:val="19"/>
          <w:szCs w:val="19"/>
          <w:color w:val="auto"/>
        </w:rPr>
        <w:t>disability insurance, which are available to our executive officers on the same terms as they are available to other employees. These benefits help us attract and retain talented employees and provide assistance to current employees and their families.</w:t>
      </w:r>
    </w:p>
    <w:p>
      <w:pPr>
        <w:spacing w:after="0" w:line="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provide limited perquisites to the named executive officers to assist them in carrying out their duties. These perquisites may include a car allowance and paid parking. The value of these benefits is included in the “All Other Compensation” column of the Summary Compensation Table.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87" w:right="239" w:bottom="1440" w:gutter="0" w:footer="0" w:header="0"/>
        </w:sectPr>
      </w:pPr>
    </w:p>
    <w:bookmarkStart w:id="38" w:name="page39"/>
    <w:bookmarkEnd w:id="38"/>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Employment and Severance Arrangements: </w:t>
      </w:r>
      <w:r>
        <w:rPr>
          <w:rFonts w:ascii="Arial" w:cs="Arial" w:eastAsia="Arial" w:hAnsi="Arial"/>
          <w:sz w:val="19"/>
          <w:szCs w:val="19"/>
          <w:color w:val="auto"/>
        </w:rPr>
        <w:t>We do not generally enter into written employment or prospective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with our executive officers, nor do we have a prospective severance plan that covers any of our executive officers. Currently, our only provisions for benefits upon termination of employment or change in control are in existing compensation plans and apply to all participants in those plans. For example, our equity incentive plans contain provisions for immediate vesting of benefits upon change in control, retirement, disability or death. The Benefits Upon Termination or Change in Control Table contains additional information concerning benefits upon the termination of employment of the named executive officers.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Long-Term Equity Incentives: </w:t>
      </w:r>
      <w:r>
        <w:rPr>
          <w:rFonts w:ascii="Arial" w:cs="Arial" w:eastAsia="Arial" w:hAnsi="Arial"/>
          <w:sz w:val="22"/>
          <w:szCs w:val="22"/>
          <w:color w:val="auto"/>
        </w:rPr>
        <w:t>We favor performance-based cash incentives under our annual incentive plan over the use</w:t>
      </w:r>
      <w:r>
        <w:rPr>
          <w:rFonts w:ascii="Arial" w:cs="Arial" w:eastAsia="Arial" w:hAnsi="Arial"/>
          <w:sz w:val="22"/>
          <w:szCs w:val="22"/>
          <w:b w:val="1"/>
          <w:bCs w:val="1"/>
          <w:color w:val="auto"/>
        </w:rPr>
        <w:t xml:space="preserve"> </w:t>
      </w:r>
      <w:r>
        <w:rPr>
          <w:rFonts w:ascii="Arial" w:cs="Arial" w:eastAsia="Arial" w:hAnsi="Arial"/>
          <w:sz w:val="22"/>
          <w:szCs w:val="22"/>
          <w:color w:val="auto"/>
        </w:rPr>
        <w:t>of equity incentive compensation. We continue to recognize, however, that long-term equity incentive compensation can be important in attracting and retaining key employees and outside directors. See the “Fiscal 2016” section above for a description of the equity awards our Compensation Committee made during fiscal 2016.</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Equity incentives for our CEO have historically consisted of periodic, multi-year equity awards as well as consideration of annual restricted stock equity awards that mirror the value of the executive deferred bonus awards earned by our other executive officers that our CEO would have earned had he not requested to be excluded from the executive deferred bonus portion of our annual incentive plan. Consistent with its historic practice, our Compensation Committee made a multi-year award of 125,000 restricted shares of Class B Stock to our CEO under the terms of our 2006 Long Term Incentive Plan during fiscal 2016. Pursuant to the terms of the award, 20% of the shares vested on October 19, 2016, and the remaining 100,000 shares will vest in 25,000 share increments no earlier than on each of the four subsequent anniversaries of October 19, 2016, provided Mr. Jaffee is employed with us on those dates, and has met certain earnings performance expectations for the prior fiscal year, or has met cumulative performance expectations since the date of the initial award. At its September 9, 2016 meeting, the Compensation Committee confirmed that Mr. Jaffee met the required fiscal 2016 performance requirement, and therefore, the first 25,000 shares vested and were delivered to Mr. Jaffee on October 19, 2016.</w:t>
      </w:r>
    </w:p>
    <w:p>
      <w:pPr>
        <w:spacing w:after="0" w:line="3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Finally, at its September 9, 2016 meeting, our Compensation Committee stated its current intention to grant to our CEO, at a meeting following the end of fiscal 2017, a cash award or an award of restricted shares of Class B Stock under the terms of our 2006 Long Term Incentive Plan, if he would have received an executive deferred bonus award as a result of our corporate financial performance in fiscal 2017, had he been a participant in that portion of our annual incentive plan. (As was the case in fiscal years 2008 through 2016, Mr. Jaffee has requested that he not be eligible for an executive deferred bonus award in fiscal 2017.) If corporate financial performance for fiscal 2017 meets the performance threshold for an award, an award may be granted for fiscal 2017 performance. If a stock award is granted, we anticipate that the number of restricted shares awarded would be determined by dividing the value, if any, of an executive deferred bonus award Mr. Jaffee would have received under our annual incentive plan for fiscal 2017, had he been a participant in that portion of our annual incentive plan, by the average closing sale price of our Common Stock for the 30 trading days preceding the date of the grant (or other similar measure determined to be appropriate by our Compensation Committee).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74" w:right="239" w:bottom="1440" w:gutter="0" w:footer="0" w:header="0"/>
        </w:sectPr>
      </w:pPr>
    </w:p>
    <w:bookmarkStart w:id="39" w:name="page40"/>
    <w:bookmarkEnd w:id="39"/>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Equity Grant Practices: </w:t>
      </w:r>
      <w:r>
        <w:rPr>
          <w:rFonts w:ascii="Arial" w:cs="Arial" w:eastAsia="Arial" w:hAnsi="Arial"/>
          <w:sz w:val="19"/>
          <w:szCs w:val="19"/>
          <w:color w:val="auto"/>
        </w:rPr>
        <w:t>We have a formal equity grant policy, adopted by our Board of Directors in 2007 and amended in</w:t>
      </w:r>
      <w:r>
        <w:rPr>
          <w:rFonts w:ascii="Arial" w:cs="Arial" w:eastAsia="Arial" w:hAnsi="Arial"/>
          <w:sz w:val="19"/>
          <w:szCs w:val="19"/>
          <w:b w:val="1"/>
          <w:bCs w:val="1"/>
          <w:color w:val="auto"/>
        </w:rPr>
        <w:t xml:space="preserve"> </w:t>
      </w:r>
      <w:r>
        <w:rPr>
          <w:rFonts w:ascii="Arial" w:cs="Arial" w:eastAsia="Arial" w:hAnsi="Arial"/>
          <w:sz w:val="19"/>
          <w:szCs w:val="19"/>
          <w:color w:val="auto"/>
        </w:rPr>
        <w:t>2012 and 2015, which provides that equity awards generally should be made by our Compensation Committee at a regularly scheduled meeting or by our CEO under limited authority granted to him. Our CEO may make grants of either stock options or restricted stock, but the total number of either stock options or shares of restricted stock that our CEO may grant is limited, and the maximum employee award is designated by the employee’s salary grade. Our CEO may generally make awards only four times each year, during the two-week period beginning the third business day following our quarterly earnings release. If the grant date is not an NYSE trading day, then the grant date will be the immediately preceding NYSE trading day.</w:t>
      </w:r>
    </w:p>
    <w:p>
      <w:pPr>
        <w:spacing w:after="0" w:line="1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Prior to the adoption of our formal policy, in the case of grants made by our Compensation Committee, the grant date has been determined in accordance with the requirements of Financial Accounting Standards Board Accounting Standards Codification Topic 718 (“ASC 718”). The exercise price has always been the closing sale price of our Common Stock on the date of grant.</w:t>
      </w:r>
    </w:p>
    <w:p>
      <w:pPr>
        <w:spacing w:after="0" w:line="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Stock Ownership Guidelines: </w:t>
      </w:r>
      <w:r>
        <w:rPr>
          <w:rFonts w:ascii="Arial" w:cs="Arial" w:eastAsia="Arial" w:hAnsi="Arial"/>
          <w:sz w:val="22"/>
          <w:szCs w:val="22"/>
          <w:color w:val="auto"/>
        </w:rPr>
        <w:t>We do not have guidelines or requirements for stock ownership by our executive officers or</w:t>
      </w:r>
      <w:r>
        <w:rPr>
          <w:rFonts w:ascii="Arial" w:cs="Arial" w:eastAsia="Arial" w:hAnsi="Arial"/>
          <w:sz w:val="22"/>
          <w:szCs w:val="22"/>
          <w:b w:val="1"/>
          <w:bCs w:val="1"/>
          <w:color w:val="auto"/>
        </w:rPr>
        <w:t xml:space="preserve"> </w:t>
      </w:r>
      <w:r>
        <w:rPr>
          <w:rFonts w:ascii="Arial" w:cs="Arial" w:eastAsia="Arial" w:hAnsi="Arial"/>
          <w:sz w:val="22"/>
          <w:szCs w:val="22"/>
          <w:color w:val="auto"/>
        </w:rPr>
        <w:t>our directors. See “Security Ownership of Management” below for information on beneficial ownership of our Common Stock and Class B Stock by our directors and executive officers.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and Accounting Implications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Limitation on Tax Deductibility: </w:t>
      </w:r>
      <w:r>
        <w:rPr>
          <w:rFonts w:ascii="Arial" w:cs="Arial" w:eastAsia="Arial" w:hAnsi="Arial"/>
          <w:sz w:val="19"/>
          <w:szCs w:val="19"/>
          <w:color w:val="auto"/>
        </w:rPr>
        <w:t>Section 162(m) of the Code limits to $1 million the tax deduction we may take for</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paid to our CEO and the other named executive officers unless the compensation is “performance-based” and paid under a formal compensation plan that meets the Code’s requirements. While our Compensation Committee is mindful of the benefit to us of the full deductibility of compensation, our Compensation Committee believes that it should not be constrained by the requirements of Section 162(m) where those requirements would impair flexibility in compensating our executive officers in a manner that can best promote our corporate objectives. Therefore, our Compensation Committee has not adopted a policy that requires that all compensation be deductible, and it intends to continue to compensate our executive officers in a manner consistent with the best interests of the Company and its stockholders.</w:t>
      </w:r>
    </w:p>
    <w:p>
      <w:pPr>
        <w:spacing w:after="0" w:line="1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Nonqualified Deferred Compensation: </w:t>
      </w:r>
      <w:r>
        <w:rPr>
          <w:rFonts w:ascii="Arial" w:cs="Arial" w:eastAsia="Arial" w:hAnsi="Arial"/>
          <w:sz w:val="21"/>
          <w:szCs w:val="21"/>
          <w:color w:val="auto"/>
        </w:rPr>
        <w:t>We intend that all of our benefit plans comply with Section 409A of the Code. We</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and restated all of our benefit plans that include deferred compensation elements in compliance with Section 409A. We believe we have been operating in good faith with Section 409A since its January 1, 2005 effective date.</w:t>
      </w:r>
    </w:p>
    <w:p>
      <w:pPr>
        <w:spacing w:after="0" w:line="1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Accounting for Stock-Based Compensation: </w:t>
      </w:r>
      <w:r>
        <w:rPr>
          <w:rFonts w:ascii="Arial" w:cs="Arial" w:eastAsia="Arial" w:hAnsi="Arial"/>
          <w:sz w:val="22"/>
          <w:szCs w:val="22"/>
          <w:color w:val="auto"/>
        </w:rPr>
        <w:t>We account for stock-based payments under our equity incentive plans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ASC 718.</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74"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22"/>
          <w:szCs w:val="22"/>
          <w:b w:val="1"/>
          <w:bCs w:val="1"/>
          <w:color w:val="auto"/>
        </w:rPr>
        <w:t>Report of the Compensation Committee of the Board of Directors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Compensation Committee reviewed and discussed with our management the foregoing Compensation Discussion and Analysis. Based on that review and discussion, the Compensation Committee recommended to the Board of Directors that the Compensation Discussion and Analysis be included in this Proxy Statement.</w:t>
      </w:r>
    </w:p>
    <w:p>
      <w:pPr>
        <w:spacing w:after="0" w:line="29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COMPENSATION COMMITTEE</w:t>
      </w:r>
    </w:p>
    <w:p>
      <w:pPr>
        <w:spacing w:after="0" w:line="36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Allan H. Selig, Chairman</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Joseph C. Miller</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Michael A. Nemeroff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following table summarizes the total compensation earned by the named executive officers for services provided to the Company during the years detailed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Change in Pension</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Value and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Non-Equity</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Deferred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All Other</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Stock Awards</w:t>
            </w:r>
          </w:p>
        </w:tc>
        <w:tc>
          <w:tcPr>
            <w:tcW w:w="120" w:type="dxa"/>
            <w:vAlign w:val="bottom"/>
          </w:tcPr>
          <w:p>
            <w:pPr>
              <w:spacing w:after="0"/>
              <w:rPr>
                <w:sz w:val="11"/>
                <w:szCs w:val="11"/>
                <w:color w:val="auto"/>
              </w:rPr>
            </w:pP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Earnings</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Fiscal</w:t>
            </w: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Salary</w:t>
            </w:r>
          </w:p>
        </w:tc>
        <w:tc>
          <w:tcPr>
            <w:tcW w:w="1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Bonus</w:t>
            </w:r>
          </w:p>
        </w:tc>
        <w:tc>
          <w:tcPr>
            <w:tcW w:w="140" w:type="dxa"/>
            <w:vAlign w:val="bottom"/>
          </w:tcPr>
          <w:p>
            <w:pPr>
              <w:spacing w:after="0"/>
              <w:rPr>
                <w:sz w:val="11"/>
                <w:szCs w:val="11"/>
                <w:color w:val="auto"/>
              </w:rPr>
            </w:pPr>
          </w:p>
        </w:tc>
        <w:tc>
          <w:tcPr>
            <w:tcW w:w="920" w:type="dxa"/>
            <w:vAlign w:val="bottom"/>
          </w:tcPr>
          <w:p>
            <w:pPr>
              <w:jc w:val="right"/>
              <w:ind w:right="382"/>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43"/>
              <w:spacing w:after="0" w:line="135" w:lineRule="exact"/>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341"/>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 and Principal Position</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7"/>
              </w:rPr>
              <w:t>(2)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7"/>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7"/>
              </w:rPr>
              <w:t>(5)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w:t>
            </w:r>
          </w:p>
        </w:tc>
      </w:tr>
      <w:tr>
        <w:trPr>
          <w:trHeight w:val="237"/>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595,080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3,585,250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624,834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433,108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88,384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5,326,656</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President and Chief</w:t>
            </w:r>
          </w:p>
        </w:tc>
        <w:tc>
          <w:tcPr>
            <w:tcW w:w="580" w:type="dxa"/>
            <w:vAlign w:val="bottom"/>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563,875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197,356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201,544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46,851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1,009,626</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Executive Officer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244,325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854,774</w:t>
            </w: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T. Smith</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248,333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177,975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204,875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116,434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16,638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764,255</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Vice President, Chief</w:t>
            </w:r>
          </w:p>
        </w:tc>
        <w:tc>
          <w:tcPr>
            <w:tcW w:w="580" w:type="dxa"/>
            <w:vAlign w:val="bottom"/>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225,833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55,329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50,912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343,429</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Financial Officer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212,500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34,331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263,313</w:t>
            </w: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F. Cofsky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256,083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230,475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150,628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680,879</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Vice President of</w:t>
            </w:r>
          </w:p>
        </w:tc>
        <w:tc>
          <w:tcPr>
            <w:tcW w:w="580" w:type="dxa"/>
            <w:vAlign w:val="bottom"/>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254,000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64,400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70,381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18,825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407,606</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Manufacturing-Industrial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253,667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97,365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374,808</w:t>
            </w: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Douglas A. Graham</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245,000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11,865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172,725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46,300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489,939</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Vice President, General</w:t>
            </w:r>
          </w:p>
        </w:tc>
        <w:tc>
          <w:tcPr>
            <w:tcW w:w="580" w:type="dxa"/>
            <w:vAlign w:val="bottom"/>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225,000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55,125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19,322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13,426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312,873</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Counsel and Secretary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205,000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16,732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274,218</w:t>
            </w: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 E. Lewry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360,000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42,192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749,203</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Chief Operating</w:t>
            </w:r>
          </w:p>
        </w:tc>
        <w:tc>
          <w:tcPr>
            <w:tcW w:w="580" w:type="dxa"/>
            <w:vAlign w:val="bottom"/>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98,000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23,621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25,429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497,050</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Officer (6)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101,154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403,080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1,788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512,417</w:t>
            </w:r>
          </w:p>
        </w:tc>
      </w:tr>
      <w:tr>
        <w:trPr>
          <w:trHeight w:val="33"/>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68" w:lineRule="exact"/>
        <w:rPr>
          <w:sz w:val="20"/>
          <w:szCs w:val="20"/>
          <w:color w:val="auto"/>
        </w:rPr>
      </w:pPr>
    </w:p>
    <w:p>
      <w:pPr>
        <w:jc w:val="both"/>
        <w:ind w:firstLine="8"/>
        <w:spacing w:after="0" w:line="312" w:lineRule="auto"/>
        <w:tabs>
          <w:tab w:leader="none" w:pos="511"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w:t>
      </w:r>
    </w:p>
    <w:p>
      <w:pPr>
        <w:spacing w:after="0" w:line="268" w:lineRule="exact"/>
        <w:rPr>
          <w:rFonts w:ascii="Arial" w:cs="Arial" w:eastAsia="Arial" w:hAnsi="Arial"/>
          <w:sz w:val="19"/>
          <w:szCs w:val="19"/>
          <w:color w:val="auto"/>
        </w:rPr>
      </w:pPr>
    </w:p>
    <w:p>
      <w:pPr>
        <w:ind w:left="520" w:hanging="512"/>
        <w:spacing w:after="0"/>
        <w:tabs>
          <w:tab w:leader="none" w:pos="5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There were no new option awards to the named executive officers during fiscal 2016.</w:t>
      </w:r>
    </w:p>
    <w:p>
      <w:pPr>
        <w:spacing w:after="0" w:line="314" w:lineRule="exact"/>
        <w:rPr>
          <w:rFonts w:ascii="Arial" w:cs="Arial" w:eastAsia="Arial" w:hAnsi="Arial"/>
          <w:sz w:val="22"/>
          <w:szCs w:val="22"/>
          <w:color w:val="auto"/>
        </w:rPr>
      </w:pPr>
    </w:p>
    <w:p>
      <w:pPr>
        <w:jc w:val="both"/>
        <w:ind w:firstLine="8"/>
        <w:spacing w:after="0" w:line="247" w:lineRule="auto"/>
        <w:tabs>
          <w:tab w:leader="none" w:pos="497"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2016 amounts reflect awards of 150% of target cash bonuses and 150% of executive deferred bonuses under our annual incentive plan for fiscal 2016 as well as a cash award of $178,524 to our CEO in lieu of an executive deferred bonus. Cash bonuses earned are paid following completion of the specified fiscal year. Executive deferred bonuses are awarded based on performance during the specified fiscal year and generally vest (become payable) according to a vesting schedule established by our Compensation Committee for each fiscal year’s award as described under “Compensation Discussion and Analysis – Annual and Deferred Incentive Compensation.”</w:t>
      </w:r>
    </w:p>
    <w:p>
      <w:pPr>
        <w:spacing w:after="0" w:line="112" w:lineRule="exact"/>
        <w:rPr>
          <w:rFonts w:ascii="Arial" w:cs="Arial" w:eastAsia="Arial" w:hAnsi="Arial"/>
          <w:sz w:val="22"/>
          <w:szCs w:val="22"/>
          <w:color w:val="auto"/>
        </w:rPr>
      </w:pPr>
    </w:p>
    <w:p>
      <w:pPr>
        <w:ind w:left="480" w:hanging="472"/>
        <w:spacing w:after="0"/>
        <w:tabs>
          <w:tab w:leader="none" w:pos="4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amounts shown in this column for fiscal 2016 are described in the following table: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74" w:right="239" w:bottom="1440" w:gutter="0" w:footer="0" w:header="0"/>
        </w:sectPr>
      </w:pPr>
    </w:p>
    <w:bookmarkStart w:id="42" w:name="page43"/>
    <w:bookmarkEnd w:id="42"/>
    <w:tbl>
      <w:tblPr>
        <w:tblLayout w:type="fixed"/>
        <w:tblInd w:w="660" w:type="dxa"/>
        <w:tblCellMar>
          <w:top w:w="0" w:type="dxa"/>
          <w:left w:w="0" w:type="dxa"/>
          <w:bottom w:w="0" w:type="dxa"/>
          <w:right w:w="0" w:type="dxa"/>
        </w:tblCellMar>
      </w:tblPr>
      <w:tr>
        <w:trPr>
          <w:trHeight w:val="256"/>
        </w:trPr>
        <w:tc>
          <w:tcPr>
            <w:tcW w:w="8580" w:type="dxa"/>
            <w:vAlign w:val="bottom"/>
            <w:gridSpan w:val="9"/>
          </w:tcPr>
          <w:p>
            <w:pPr>
              <w:ind w:left="1480"/>
              <w:spacing w:after="0"/>
              <w:rPr>
                <w:sz w:val="20"/>
                <w:szCs w:val="20"/>
                <w:color w:val="auto"/>
              </w:rPr>
            </w:pPr>
            <w:r>
              <w:rPr>
                <w:rFonts w:ascii="Arial" w:cs="Arial" w:eastAsia="Arial" w:hAnsi="Arial"/>
                <w:sz w:val="20"/>
                <w:szCs w:val="20"/>
                <w:b w:val="1"/>
                <w:bCs w:val="1"/>
                <w:color w:val="auto"/>
                <w:w w:val="89"/>
              </w:rPr>
              <w:t>Change in Pension Value and Nonqualified Deferred Compensation Earnings Table</w:t>
            </w:r>
          </w:p>
        </w:tc>
        <w:tc>
          <w:tcPr>
            <w:tcW w:w="1420" w:type="dxa"/>
            <w:vAlign w:val="bottom"/>
          </w:tcPr>
          <w:p>
            <w:pPr>
              <w:spacing w:after="0"/>
              <w:rPr>
                <w:sz w:val="22"/>
                <w:szCs w:val="22"/>
                <w:color w:val="auto"/>
              </w:rPr>
            </w:pPr>
          </w:p>
        </w:tc>
      </w:tr>
      <w:tr>
        <w:trPr>
          <w:trHeight w:val="365"/>
        </w:trPr>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2"/>
          </w:tcPr>
          <w:p>
            <w:pPr>
              <w:jc w:val="center"/>
              <w:ind w:right="520"/>
              <w:spacing w:after="0"/>
              <w:rPr>
                <w:sz w:val="20"/>
                <w:szCs w:val="20"/>
                <w:color w:val="auto"/>
              </w:rPr>
            </w:pPr>
            <w:r>
              <w:rPr>
                <w:rFonts w:ascii="Arial" w:cs="Arial" w:eastAsia="Arial" w:hAnsi="Arial"/>
                <w:sz w:val="20"/>
                <w:szCs w:val="20"/>
                <w:b w:val="1"/>
                <w:bCs w:val="1"/>
                <w:color w:val="auto"/>
                <w:w w:val="90"/>
              </w:rPr>
              <w:t>Nonqualified Deferred</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0"/>
        </w:trPr>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3"/>
          </w:tcPr>
          <w:p>
            <w:pPr>
              <w:jc w:val="center"/>
              <w:ind w:right="320"/>
              <w:spacing w:after="0"/>
              <w:rPr>
                <w:sz w:val="20"/>
                <w:szCs w:val="20"/>
                <w:color w:val="auto"/>
              </w:rPr>
            </w:pPr>
            <w:r>
              <w:rPr>
                <w:rFonts w:ascii="Arial" w:cs="Arial" w:eastAsia="Arial" w:hAnsi="Arial"/>
                <w:sz w:val="20"/>
                <w:szCs w:val="20"/>
                <w:b w:val="1"/>
                <w:bCs w:val="1"/>
                <w:color w:val="auto"/>
                <w:w w:val="87"/>
              </w:rPr>
              <w:t>Change in Pension Value</w:t>
            </w:r>
          </w:p>
        </w:tc>
        <w:tc>
          <w:tcPr>
            <w:tcW w:w="240" w:type="dxa"/>
            <w:vAlign w:val="bottom"/>
          </w:tcPr>
          <w:p>
            <w:pPr>
              <w:spacing w:after="0"/>
              <w:rPr>
                <w:sz w:val="19"/>
                <w:szCs w:val="19"/>
                <w:color w:val="auto"/>
              </w:rPr>
            </w:pPr>
          </w:p>
        </w:tc>
        <w:tc>
          <w:tcPr>
            <w:tcW w:w="2780" w:type="dxa"/>
            <w:vAlign w:val="bottom"/>
            <w:gridSpan w:val="2"/>
          </w:tcPr>
          <w:p>
            <w:pPr>
              <w:jc w:val="center"/>
              <w:ind w:right="500"/>
              <w:spacing w:after="0"/>
              <w:rPr>
                <w:sz w:val="20"/>
                <w:szCs w:val="20"/>
                <w:color w:val="auto"/>
              </w:rPr>
            </w:pPr>
            <w:r>
              <w:rPr>
                <w:rFonts w:ascii="Arial" w:cs="Arial" w:eastAsia="Arial" w:hAnsi="Arial"/>
                <w:sz w:val="20"/>
                <w:szCs w:val="20"/>
                <w:b w:val="1"/>
                <w:bCs w:val="1"/>
                <w:color w:val="auto"/>
                <w:w w:val="88"/>
              </w:rPr>
              <w:t>Compensation Earnings</w:t>
            </w:r>
          </w:p>
        </w:tc>
        <w:tc>
          <w:tcPr>
            <w:tcW w:w="8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center"/>
              <w:ind w:right="441"/>
              <w:spacing w:after="0"/>
              <w:rPr>
                <w:sz w:val="20"/>
                <w:szCs w:val="20"/>
                <w:color w:val="auto"/>
              </w:rPr>
            </w:pPr>
            <w:r>
              <w:rPr>
                <w:rFonts w:ascii="Arial" w:cs="Arial" w:eastAsia="Arial" w:hAnsi="Arial"/>
                <w:sz w:val="20"/>
                <w:szCs w:val="20"/>
                <w:b w:val="1"/>
                <w:bCs w:val="1"/>
                <w:color w:val="auto"/>
                <w:w w:val="97"/>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tcPr>
          <w:p>
            <w:pPr>
              <w:jc w:val="center"/>
              <w:ind w:right="121"/>
              <w:spacing w:after="0"/>
              <w:rPr>
                <w:sz w:val="20"/>
                <w:szCs w:val="20"/>
                <w:color w:val="auto"/>
              </w:rPr>
            </w:pPr>
            <w:r>
              <w:rPr>
                <w:rFonts w:ascii="Arial" w:cs="Arial" w:eastAsia="Arial" w:hAnsi="Arial"/>
                <w:sz w:val="20"/>
                <w:szCs w:val="20"/>
                <w:b w:val="1"/>
                <w:bCs w:val="1"/>
                <w:color w:val="auto"/>
                <w:w w:val="89"/>
              </w:rPr>
              <w: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6"/>
        </w:trPr>
        <w:tc>
          <w:tcPr>
            <w:tcW w:w="2260" w:type="dxa"/>
            <w:vAlign w:val="bottom"/>
            <w:gridSpan w:val="2"/>
          </w:tcPr>
          <w:p>
            <w:pPr>
              <w:ind w:left="20"/>
              <w:spacing w:after="0"/>
              <w:rPr>
                <w:sz w:val="20"/>
                <w:szCs w:val="20"/>
                <w:color w:val="auto"/>
              </w:rPr>
            </w:pPr>
            <w:r>
              <w:rPr>
                <w:rFonts w:ascii="Arial" w:cs="Arial" w:eastAsia="Arial" w:hAnsi="Arial"/>
                <w:sz w:val="20"/>
                <w:szCs w:val="20"/>
                <w:b w:val="1"/>
                <w:bCs w:val="1"/>
                <w:color w:val="auto"/>
              </w:rPr>
              <w:t>Name</w:t>
            </w:r>
          </w:p>
        </w:tc>
        <w:tc>
          <w:tcPr>
            <w:tcW w:w="540" w:type="dxa"/>
            <w:vAlign w:val="bottom"/>
          </w:tcPr>
          <w:p>
            <w:pPr>
              <w:spacing w:after="0"/>
              <w:rPr>
                <w:sz w:val="22"/>
                <w:szCs w:val="22"/>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20"/>
                <w:szCs w:val="20"/>
                <w:b w:val="1"/>
                <w:bCs w:val="1"/>
                <w:color w:val="auto"/>
              </w:rPr>
              <w:t>(A)</w:t>
            </w:r>
          </w:p>
        </w:tc>
        <w:tc>
          <w:tcPr>
            <w:tcW w:w="240" w:type="dxa"/>
            <w:vAlign w:val="bottom"/>
          </w:tcPr>
          <w:p>
            <w:pPr>
              <w:spacing w:after="0"/>
              <w:rPr>
                <w:sz w:val="22"/>
                <w:szCs w:val="22"/>
                <w:color w:val="auto"/>
              </w:rPr>
            </w:pPr>
          </w:p>
        </w:tc>
        <w:tc>
          <w:tcPr>
            <w:tcW w:w="2780" w:type="dxa"/>
            <w:vAlign w:val="bottom"/>
            <w:gridSpan w:val="2"/>
          </w:tcPr>
          <w:p>
            <w:pPr>
              <w:jc w:val="center"/>
              <w:ind w:right="520"/>
              <w:spacing w:after="0"/>
              <w:rPr>
                <w:sz w:val="20"/>
                <w:szCs w:val="20"/>
                <w:color w:val="auto"/>
              </w:rPr>
            </w:pPr>
            <w:r>
              <w:rPr>
                <w:rFonts w:ascii="Arial" w:cs="Arial" w:eastAsia="Arial" w:hAnsi="Arial"/>
                <w:sz w:val="20"/>
                <w:szCs w:val="20"/>
                <w:b w:val="1"/>
                <w:bCs w:val="1"/>
                <w:color w:val="auto"/>
                <w:w w:val="93"/>
              </w:rPr>
              <w:t>(B)</w:t>
            </w:r>
          </w:p>
        </w:tc>
        <w:tc>
          <w:tcPr>
            <w:tcW w:w="800" w:type="dxa"/>
            <w:vAlign w:val="bottom"/>
          </w:tcPr>
          <w:p>
            <w:pPr>
              <w:spacing w:after="0"/>
              <w:rPr>
                <w:sz w:val="22"/>
                <w:szCs w:val="22"/>
                <w:color w:val="auto"/>
              </w:rPr>
            </w:pPr>
          </w:p>
        </w:tc>
        <w:tc>
          <w:tcPr>
            <w:tcW w:w="1420" w:type="dxa"/>
            <w:vAlign w:val="bottom"/>
          </w:tcPr>
          <w:p>
            <w:pPr>
              <w:jc w:val="right"/>
              <w:ind w:right="801"/>
              <w:spacing w:after="0"/>
              <w:rPr>
                <w:sz w:val="20"/>
                <w:szCs w:val="20"/>
                <w:color w:val="auto"/>
              </w:rPr>
            </w:pPr>
            <w:r>
              <w:rPr>
                <w:rFonts w:ascii="Arial" w:cs="Arial" w:eastAsia="Arial" w:hAnsi="Arial"/>
                <w:sz w:val="20"/>
                <w:szCs w:val="20"/>
                <w:b w:val="1"/>
                <w:bCs w:val="1"/>
                <w:color w:val="auto"/>
              </w:rPr>
              <w:t>Total</w:t>
            </w:r>
          </w:p>
        </w:tc>
      </w:tr>
      <w:tr>
        <w:trPr>
          <w:trHeight w:val="23"/>
        </w:trPr>
        <w:tc>
          <w:tcPr>
            <w:tcW w:w="1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Daniel S. Jaffee</w:t>
            </w:r>
          </w:p>
        </w:tc>
        <w:tc>
          <w:tcPr>
            <w:tcW w:w="54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420,913</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248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20"/>
                <w:szCs w:val="20"/>
                <w:color w:val="auto"/>
              </w:rPr>
              <w:t>12,195</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433,108</w:t>
            </w:r>
          </w:p>
        </w:tc>
      </w:tr>
      <w:tr>
        <w:trPr>
          <w:trHeight w:val="261"/>
        </w:trPr>
        <w:tc>
          <w:tcPr>
            <w:tcW w:w="2260" w:type="dxa"/>
            <w:vAlign w:val="bottom"/>
            <w:gridSpan w:val="2"/>
          </w:tcPr>
          <w:p>
            <w:pPr>
              <w:ind w:left="20"/>
              <w:spacing w:after="0"/>
              <w:rPr>
                <w:sz w:val="20"/>
                <w:szCs w:val="20"/>
                <w:color w:val="auto"/>
              </w:rPr>
            </w:pPr>
            <w:r>
              <w:rPr>
                <w:rFonts w:ascii="Arial" w:cs="Arial" w:eastAsia="Arial" w:hAnsi="Arial"/>
                <w:sz w:val="20"/>
                <w:szCs w:val="20"/>
                <w:color w:val="auto"/>
              </w:rPr>
              <w:t>Daniel T. Smith</w:t>
            </w:r>
          </w:p>
        </w:tc>
        <w:tc>
          <w:tcPr>
            <w:tcW w:w="540" w:type="dxa"/>
            <w:vAlign w:val="bottom"/>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105,570</w:t>
            </w:r>
          </w:p>
        </w:tc>
        <w:tc>
          <w:tcPr>
            <w:tcW w:w="3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10,864</w:t>
            </w:r>
          </w:p>
        </w:tc>
        <w:tc>
          <w:tcPr>
            <w:tcW w:w="300" w:type="dxa"/>
            <w:vAlign w:val="bottom"/>
          </w:tcPr>
          <w:p>
            <w:pPr>
              <w:spacing w:after="0"/>
              <w:rPr>
                <w:sz w:val="22"/>
                <w:szCs w:val="22"/>
                <w:color w:val="auto"/>
              </w:rPr>
            </w:pPr>
          </w:p>
        </w:tc>
        <w:tc>
          <w:tcPr>
            <w:tcW w:w="800" w:type="dxa"/>
            <w:vAlign w:val="bottom"/>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116,434</w:t>
            </w:r>
          </w:p>
        </w:tc>
      </w:tr>
      <w:tr>
        <w:trPr>
          <w:trHeight w:val="2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Thomas F. Cofsky</w:t>
            </w:r>
          </w:p>
        </w:tc>
        <w:tc>
          <w:tcPr>
            <w:tcW w:w="54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137,608</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248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20"/>
                <w:szCs w:val="20"/>
                <w:color w:val="auto"/>
              </w:rPr>
              <w:t>13,020</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150,628</w:t>
            </w:r>
          </w:p>
        </w:tc>
      </w:tr>
      <w:tr>
        <w:trPr>
          <w:trHeight w:val="261"/>
        </w:trPr>
        <w:tc>
          <w:tcPr>
            <w:tcW w:w="2260" w:type="dxa"/>
            <w:vAlign w:val="bottom"/>
            <w:gridSpan w:val="2"/>
          </w:tcPr>
          <w:p>
            <w:pPr>
              <w:ind w:left="20"/>
              <w:spacing w:after="0"/>
              <w:rPr>
                <w:sz w:val="20"/>
                <w:szCs w:val="20"/>
                <w:color w:val="auto"/>
              </w:rPr>
            </w:pPr>
            <w:r>
              <w:rPr>
                <w:rFonts w:ascii="Arial" w:cs="Arial" w:eastAsia="Arial" w:hAnsi="Arial"/>
                <w:sz w:val="20"/>
                <w:szCs w:val="20"/>
                <w:color w:val="auto"/>
              </w:rPr>
              <w:t>Douglas A. Graham</w:t>
            </w:r>
          </w:p>
        </w:tc>
        <w:tc>
          <w:tcPr>
            <w:tcW w:w="540" w:type="dxa"/>
            <w:vAlign w:val="bottom"/>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44,343</w:t>
            </w:r>
          </w:p>
        </w:tc>
        <w:tc>
          <w:tcPr>
            <w:tcW w:w="3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1,957</w:t>
            </w:r>
          </w:p>
        </w:tc>
        <w:tc>
          <w:tcPr>
            <w:tcW w:w="300" w:type="dxa"/>
            <w:vAlign w:val="bottom"/>
          </w:tcPr>
          <w:p>
            <w:pPr>
              <w:spacing w:after="0"/>
              <w:rPr>
                <w:sz w:val="22"/>
                <w:szCs w:val="22"/>
                <w:color w:val="auto"/>
              </w:rPr>
            </w:pPr>
          </w:p>
        </w:tc>
        <w:tc>
          <w:tcPr>
            <w:tcW w:w="800" w:type="dxa"/>
            <w:vAlign w:val="bottom"/>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46,300</w:t>
            </w:r>
          </w:p>
        </w:tc>
      </w:tr>
      <w:tr>
        <w:trPr>
          <w:trHeight w:val="2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1"/>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Mark E. Lewry</w:t>
            </w:r>
          </w:p>
        </w:tc>
        <w:tc>
          <w:tcPr>
            <w:tcW w:w="540" w:type="dxa"/>
            <w:vAlign w:val="bottom"/>
            <w:shd w:val="clear" w:color="auto" w:fill="CCEEFF"/>
          </w:tcPr>
          <w:p>
            <w:pPr>
              <w:jc w:val="right"/>
              <w:ind w:right="321"/>
              <w:spacing w:after="0"/>
              <w:rPr>
                <w:sz w:val="20"/>
                <w:szCs w:val="20"/>
                <w:color w:val="auto"/>
              </w:rPr>
            </w:pPr>
            <w:r>
              <w:rPr>
                <w:rFonts w:ascii="Arial" w:cs="Arial" w:eastAsia="Arial" w:hAnsi="Arial"/>
                <w:sz w:val="20"/>
                <w:szCs w:val="20"/>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40,704</w:t>
            </w: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2480" w:type="dxa"/>
            <w:vAlign w:val="bottom"/>
            <w:shd w:val="clear" w:color="auto" w:fill="CCEEFF"/>
          </w:tcPr>
          <w:p>
            <w:pPr>
              <w:jc w:val="right"/>
              <w:ind w:right="501"/>
              <w:spacing w:after="0"/>
              <w:rPr>
                <w:sz w:val="20"/>
                <w:szCs w:val="20"/>
                <w:color w:val="auto"/>
              </w:rPr>
            </w:pPr>
            <w:r>
              <w:rPr>
                <w:rFonts w:ascii="Arial" w:cs="Arial" w:eastAsia="Arial" w:hAnsi="Arial"/>
                <w:sz w:val="20"/>
                <w:szCs w:val="20"/>
                <w:color w:val="auto"/>
              </w:rPr>
              <w:t>1,488</w:t>
            </w: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42,192</w:t>
            </w:r>
          </w:p>
        </w:tc>
      </w:tr>
      <w:tr>
        <w:trPr>
          <w:trHeight w:val="23"/>
        </w:trPr>
        <w:tc>
          <w:tcPr>
            <w:tcW w:w="1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68" w:lineRule="exact"/>
        <w:rPr>
          <w:sz w:val="20"/>
          <w:szCs w:val="20"/>
          <w:color w:val="auto"/>
        </w:rPr>
      </w:pPr>
    </w:p>
    <w:p>
      <w:pPr>
        <w:jc w:val="both"/>
        <w:ind w:left="660" w:right="20" w:hanging="4"/>
        <w:spacing w:after="0" w:line="253" w:lineRule="auto"/>
        <w:tabs>
          <w:tab w:leader="none" w:pos="1234"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amounts shown include the change in the actuarial present value of benefits under our pension plan during the fiscal year. For Messrs. Jaffee and Lewry, the amounts shown also include the change in the actuarial present value of benefits under our SERP.</w:t>
      </w:r>
    </w:p>
    <w:p>
      <w:pPr>
        <w:spacing w:after="0" w:line="320" w:lineRule="exact"/>
        <w:rPr>
          <w:rFonts w:ascii="Arial" w:cs="Arial" w:eastAsia="Arial" w:hAnsi="Arial"/>
          <w:sz w:val="22"/>
          <w:szCs w:val="22"/>
          <w:color w:val="auto"/>
        </w:rPr>
      </w:pPr>
    </w:p>
    <w:p>
      <w:pPr>
        <w:jc w:val="both"/>
        <w:ind w:left="660" w:hanging="4"/>
        <w:spacing w:after="0" w:line="250" w:lineRule="auto"/>
        <w:tabs>
          <w:tab w:leader="none" w:pos="1317"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amount shown for Messrs. Jaffee, Cofsky and Lewry each represent earnings from our executive deferred compensation plan that exceed 120% of the applicable federal rate. The amounts shown for Messrs. Smith and Graham each represent earnings from our executive deferred compensation plan and the executive deferred bonus portion of our annual incentive plan that exceed 120% of the applicable federal rate.</w:t>
      </w:r>
    </w:p>
    <w:p>
      <w:pPr>
        <w:spacing w:after="0" w:line="147" w:lineRule="exact"/>
        <w:rPr>
          <w:rFonts w:ascii="Arial" w:cs="Arial" w:eastAsia="Arial" w:hAnsi="Arial"/>
          <w:sz w:val="22"/>
          <w:szCs w:val="22"/>
          <w:color w:val="auto"/>
        </w:rPr>
      </w:pPr>
    </w:p>
    <w:p>
      <w:pPr>
        <w:ind w:left="480" w:hanging="472"/>
        <w:spacing w:after="0"/>
        <w:tabs>
          <w:tab w:leader="none" w:pos="4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amounts shown in this column for fiscal 2016 are described in the following table:</w:t>
      </w:r>
    </w:p>
    <w:p>
      <w:pPr>
        <w:spacing w:after="0" w:line="33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All Other Compensation Table</w:t>
      </w:r>
    </w:p>
    <w:p>
      <w:pPr>
        <w:spacing w:after="0" w:line="68"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Dividends 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Unvested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Interest Earned</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401(k) Plan</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Restricted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on Executive</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Company</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Perquisites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Deferred Bonus</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Matching</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Post-Termination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3"/>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Contributions</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c>
          <w:tcPr>
            <w:tcW w:w="22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r>
      <w:tr>
        <w:trPr>
          <w:trHeight w:val="210"/>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(A)</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(B)</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 (D)</w:t>
            </w:r>
          </w:p>
        </w:tc>
        <w:tc>
          <w:tcPr>
            <w:tcW w:w="160" w:type="dxa"/>
            <w:vAlign w:val="bottom"/>
          </w:tcPr>
          <w:p>
            <w:pPr>
              <w:spacing w:after="0"/>
              <w:rPr>
                <w:sz w:val="18"/>
                <w:szCs w:val="18"/>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r>
      <w:tr>
        <w:trPr>
          <w:trHeight w:val="33"/>
        </w:trPr>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10,832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88,384</w:t>
            </w:r>
          </w:p>
        </w:tc>
      </w:tr>
      <w:tr>
        <w:trPr>
          <w:trHeight w:val="243"/>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Daniel T. Smith</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16,638</w:t>
            </w: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F. Cofsky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19,963</w:t>
            </w:r>
          </w:p>
        </w:tc>
      </w:tr>
      <w:tr>
        <w:trPr>
          <w:trHeight w:val="243"/>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Douglas A. Graham</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14,049</w:t>
            </w: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E. Lewry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5,876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23,011</w:t>
            </w: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68" w:lineRule="exact"/>
        <w:rPr>
          <w:sz w:val="20"/>
          <w:szCs w:val="20"/>
          <w:color w:val="auto"/>
        </w:rPr>
      </w:pPr>
    </w:p>
    <w:p>
      <w:pPr>
        <w:jc w:val="both"/>
        <w:ind w:left="660" w:hanging="4"/>
        <w:spacing w:after="0" w:line="247" w:lineRule="auto"/>
        <w:tabs>
          <w:tab w:leader="none" w:pos="1182" w:val="left"/>
        </w:tabs>
        <w:numPr>
          <w:ilvl w:val="0"/>
          <w:numId w:val="51"/>
        </w:numPr>
        <w:rPr>
          <w:rFonts w:ascii="Arial" w:cs="Arial" w:eastAsia="Arial" w:hAnsi="Arial"/>
          <w:sz w:val="22"/>
          <w:szCs w:val="22"/>
          <w:color w:val="auto"/>
        </w:rPr>
      </w:pPr>
      <w:r>
        <w:rPr>
          <w:rFonts w:ascii="Arial" w:cs="Arial" w:eastAsia="Arial" w:hAnsi="Arial"/>
          <w:sz w:val="22"/>
          <w:szCs w:val="22"/>
          <w:color w:val="auto"/>
        </w:rPr>
        <w:t>Perquisites for the named executive officers generally consist of auto allowances, paid parking, remote Internet access costs and periodical subscriptions. The amounts shown reflect the actual cost to us for providing these perquisites. The perquisites received by Mr. Jaffee consisted of the following which were paid by the Company: $6,300 auto allowance, $4,226 for parking, remote Internet access and related fees and periodical subscriptions. The perquisites received by Mr. Cofsky consisted of the following which were paid by the Company: $6,300 auto allowance, $4,992 for parking and remote Internet access.</w:t>
      </w:r>
    </w:p>
    <w:p>
      <w:pPr>
        <w:spacing w:after="0" w:line="328" w:lineRule="exact"/>
        <w:rPr>
          <w:rFonts w:ascii="Arial" w:cs="Arial" w:eastAsia="Arial" w:hAnsi="Arial"/>
          <w:sz w:val="22"/>
          <w:szCs w:val="22"/>
          <w:color w:val="auto"/>
        </w:rPr>
      </w:pPr>
    </w:p>
    <w:p>
      <w:pPr>
        <w:ind w:left="660" w:hanging="4"/>
        <w:spacing w:after="0" w:line="263" w:lineRule="auto"/>
        <w:tabs>
          <w:tab w:leader="none" w:pos="1257" w:val="left"/>
        </w:tabs>
        <w:numPr>
          <w:ilvl w:val="0"/>
          <w:numId w:val="51"/>
        </w:numPr>
        <w:rPr>
          <w:rFonts w:ascii="Arial" w:cs="Arial" w:eastAsia="Arial" w:hAnsi="Arial"/>
          <w:sz w:val="22"/>
          <w:szCs w:val="22"/>
          <w:color w:val="auto"/>
        </w:rPr>
      </w:pPr>
      <w:r>
        <w:rPr>
          <w:rFonts w:ascii="Arial" w:cs="Arial" w:eastAsia="Arial" w:hAnsi="Arial"/>
          <w:sz w:val="22"/>
          <w:szCs w:val="22"/>
          <w:color w:val="auto"/>
        </w:rPr>
        <w:t>Amounts shown represent dividend payments on unvested shares of restricted stock held by the named executive officers that are reportable as either dividend or ordinary income.</w:t>
      </w:r>
    </w:p>
    <w:p>
      <w:pPr>
        <w:sectPr>
          <w:pgSz w:w="11900" w:h="16838" w:orient="portrait"/>
          <w:cols w:equalWidth="0" w:num="1">
            <w:col w:w="11420"/>
          </w:cols>
          <w:pgMar w:left="240" w:top="927" w:right="239" w:bottom="1440" w:gutter="0" w:footer="0" w:header="0"/>
        </w:sectPr>
      </w:pPr>
    </w:p>
    <w:bookmarkStart w:id="43" w:name="page44"/>
    <w:bookmarkEnd w:id="43"/>
    <w:p>
      <w:pPr>
        <w:jc w:val="both"/>
        <w:ind w:left="660" w:hanging="4"/>
        <w:spacing w:after="0" w:line="261" w:lineRule="auto"/>
        <w:tabs>
          <w:tab w:leader="none" w:pos="1172" w:val="left"/>
        </w:tabs>
        <w:numPr>
          <w:ilvl w:val="1"/>
          <w:numId w:val="52"/>
        </w:numPr>
        <w:rPr>
          <w:rFonts w:ascii="Arial" w:cs="Arial" w:eastAsia="Arial" w:hAnsi="Arial"/>
          <w:sz w:val="21"/>
          <w:szCs w:val="21"/>
          <w:color w:val="auto"/>
        </w:rPr>
      </w:pPr>
      <w:r>
        <w:rPr>
          <w:rFonts w:ascii="Arial" w:cs="Arial" w:eastAsia="Arial" w:hAnsi="Arial"/>
          <w:sz w:val="21"/>
          <w:szCs w:val="21"/>
          <w:color w:val="auto"/>
        </w:rPr>
        <w:t>Executive deferred bonuses awarded under our annual incentive plan earn interest at a rate equal to our long-term cost of borrowing plus 1% as described above under “Compensation Discussion and Analysis – Annual and Deferred Incentive Compensation.” The amounts shown are the interest earned on all unvested executive deferred bonus awards that do not exceed 120% of the applicable federal rate, regardless of the fiscal year in which the awards were earned. For earnings that exceed 120% of the applicable federal rate, see the column titled “Nonqualified Deferred Compensation Earnings” in the table to footnote (3) of this Summary Compensation Table.</w:t>
      </w:r>
    </w:p>
    <w:p>
      <w:pPr>
        <w:spacing w:after="0" w:line="315" w:lineRule="exact"/>
        <w:rPr>
          <w:rFonts w:ascii="Arial" w:cs="Arial" w:eastAsia="Arial" w:hAnsi="Arial"/>
          <w:sz w:val="21"/>
          <w:szCs w:val="21"/>
          <w:color w:val="auto"/>
        </w:rPr>
      </w:pPr>
    </w:p>
    <w:p>
      <w:pPr>
        <w:jc w:val="both"/>
        <w:ind w:left="660" w:hanging="4"/>
        <w:spacing w:after="0" w:line="250" w:lineRule="auto"/>
        <w:tabs>
          <w:tab w:leader="none" w:pos="1322"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amounts shown for Messrs. Jaffee and Cofsky are zero because they both requested to not be eligible for executive deferred bonus awards for fiscal 2013, which was the last fiscal year for which executive deferred bonuses were awarded. The amount shown for Mr. Lewry is zero because he was not awarded an executive deferred bonus under our annual incentive plan until fiscal 2016.</w:t>
      </w:r>
    </w:p>
    <w:p>
      <w:pPr>
        <w:spacing w:after="0" w:line="147" w:lineRule="exact"/>
        <w:rPr>
          <w:rFonts w:ascii="Arial" w:cs="Arial" w:eastAsia="Arial" w:hAnsi="Arial"/>
          <w:sz w:val="22"/>
          <w:szCs w:val="22"/>
          <w:color w:val="auto"/>
        </w:rPr>
      </w:pPr>
    </w:p>
    <w:p>
      <w:pPr>
        <w:jc w:val="both"/>
        <w:ind w:firstLine="8"/>
        <w:spacing w:after="0" w:line="253" w:lineRule="auto"/>
        <w:tabs>
          <w:tab w:leader="none" w:pos="557" w:val="left"/>
        </w:tabs>
        <w:numPr>
          <w:ilvl w:val="0"/>
          <w:numId w:val="53"/>
        </w:numPr>
        <w:rPr>
          <w:rFonts w:ascii="Arial" w:cs="Arial" w:eastAsia="Arial" w:hAnsi="Arial"/>
          <w:sz w:val="22"/>
          <w:szCs w:val="22"/>
          <w:color w:val="auto"/>
        </w:rPr>
      </w:pPr>
      <w:r>
        <w:rPr>
          <w:rFonts w:ascii="Arial" w:cs="Arial" w:eastAsia="Arial" w:hAnsi="Arial"/>
          <w:sz w:val="22"/>
          <w:szCs w:val="22"/>
          <w:color w:val="auto"/>
        </w:rPr>
        <w:t>Mr. Lewry joined the Company on March 31, 2014. Upon joining the Company, Mr. Lewry received an award of 12,000 restricted shares of Common Stock, all of which will “cliff” vest on April 7, 2019, provided that Mr. Lewry is employed by the Company on that date.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Grants of Plan-Based Awards during Fiscal 2016</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table discloses certain information regarding grants of plan-based awards to the named executive officers during fiscal 2016.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16"/>
          </w:tcPr>
          <w:p>
            <w:pPr>
              <w:jc w:val="right"/>
              <w:ind w:right="602"/>
              <w:spacing w:after="0"/>
              <w:rPr>
                <w:sz w:val="20"/>
                <w:szCs w:val="20"/>
                <w:color w:val="auto"/>
              </w:rPr>
            </w:pPr>
            <w:r>
              <w:rPr>
                <w:rFonts w:ascii="Arial" w:cs="Arial" w:eastAsia="Arial" w:hAnsi="Arial"/>
                <w:sz w:val="14"/>
                <w:szCs w:val="14"/>
                <w:b w:val="1"/>
                <w:bCs w:val="1"/>
                <w:color w:val="auto"/>
                <w:w w:val="94"/>
              </w:rPr>
              <w:t>Estimated Future Payouts Under Non-Equity Incentive Plan Awards (1)</w:t>
            </w: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Equity Plan Awards (2)</w:t>
            </w: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Target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5"/>
          </w:tcPr>
          <w:p>
            <w:pPr>
              <w:ind w:left="460"/>
              <w:spacing w:after="0"/>
              <w:rPr>
                <w:sz w:val="20"/>
                <w:szCs w:val="20"/>
                <w:color w:val="auto"/>
              </w:rPr>
            </w:pPr>
            <w:r>
              <w:rPr>
                <w:rFonts w:ascii="Arial" w:cs="Arial" w:eastAsia="Arial" w:hAnsi="Arial"/>
                <w:sz w:val="14"/>
                <w:szCs w:val="14"/>
                <w:b w:val="1"/>
                <w:bCs w:val="1"/>
                <w:color w:val="auto"/>
              </w:rPr>
              <w:t>Maximum</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2"/>
                <w:szCs w:val="12"/>
                <w:color w:val="auto"/>
              </w:rPr>
            </w:pPr>
          </w:p>
        </w:tc>
        <w:tc>
          <w:tcPr>
            <w:tcW w:w="980" w:type="dxa"/>
            <w:vAlign w:val="bottom"/>
          </w:tcPr>
          <w:p>
            <w:pPr>
              <w:jc w:val="center"/>
              <w:ind w:right="184"/>
              <w:spacing w:after="0" w:line="139" w:lineRule="exact"/>
              <w:rPr>
                <w:sz w:val="20"/>
                <w:szCs w:val="20"/>
                <w:color w:val="auto"/>
              </w:rPr>
            </w:pPr>
            <w:r>
              <w:rPr>
                <w:rFonts w:ascii="Arial" w:cs="Arial" w:eastAsia="Arial" w:hAnsi="Arial"/>
                <w:sz w:val="14"/>
                <w:szCs w:val="14"/>
                <w:b w:val="1"/>
                <w:bCs w:val="1"/>
                <w:color w:val="auto"/>
                <w:w w:val="94"/>
              </w:rPr>
              <w:t>Grant Date</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200" w:type="dxa"/>
            <w:vAlign w:val="bottom"/>
          </w:tcPr>
          <w:p>
            <w:pPr>
              <w:spacing w:after="0"/>
              <w:rPr>
                <w:sz w:val="12"/>
                <w:szCs w:val="12"/>
                <w:color w:val="auto"/>
              </w:rPr>
            </w:pPr>
          </w:p>
        </w:tc>
        <w:tc>
          <w:tcPr>
            <w:tcW w:w="98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Deferred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Deferred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98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6"/>
              </w:rPr>
              <w:t>of Stock</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Cash Bonus</w:t>
            </w:r>
          </w:p>
        </w:tc>
        <w:tc>
          <w:tcPr>
            <w:tcW w:w="900" w:type="dxa"/>
            <w:vAlign w:val="bottom"/>
            <w:gridSpan w:val="2"/>
            <w:vMerge w:val="continue"/>
          </w:tcPr>
          <w:p>
            <w:pPr>
              <w:spacing w:after="0"/>
              <w:rPr>
                <w:sz w:val="12"/>
                <w:szCs w:val="12"/>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Cash Bonus</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Cash Bonus</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of</w:t>
            </w:r>
          </w:p>
        </w:tc>
        <w:tc>
          <w:tcPr>
            <w:tcW w:w="200" w:type="dxa"/>
            <w:vAlign w:val="bottom"/>
          </w:tcPr>
          <w:p>
            <w:pPr>
              <w:spacing w:after="0"/>
              <w:rPr>
                <w:sz w:val="12"/>
                <w:szCs w:val="12"/>
                <w:color w:val="auto"/>
              </w:rPr>
            </w:pPr>
          </w:p>
        </w:tc>
        <w:tc>
          <w:tcPr>
            <w:tcW w:w="98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3"/>
              </w:rPr>
              <w:t>Award</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Bonus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Bonus</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Bonus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98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3"/>
              </w:rPr>
              <w:t>(3)</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74,385</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297,540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595,080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9/9/2015</w:t>
            </w:r>
          </w:p>
        </w:tc>
        <w:tc>
          <w:tcPr>
            <w:tcW w:w="1200" w:type="dxa"/>
            <w:vAlign w:val="bottom"/>
            <w:tcBorders>
              <w:bottom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3,585,250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Daniel T. Smith</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21,729</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37,250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86,917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49,667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173,833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99,333</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9/9/2015</w:t>
            </w:r>
          </w:p>
        </w:tc>
        <w:tc>
          <w:tcPr>
            <w:tcW w:w="1200" w:type="dxa"/>
            <w:vAlign w:val="bottom"/>
            <w:gridSpan w:val="3"/>
          </w:tcPr>
          <w:p>
            <w:pPr>
              <w:jc w:val="right"/>
              <w:ind w:right="47"/>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4"/>
              <w:spacing w:after="0"/>
              <w:rPr>
                <w:sz w:val="20"/>
                <w:szCs w:val="20"/>
                <w:color w:val="auto"/>
              </w:rPr>
            </w:pPr>
            <w:r>
              <w:rPr>
                <w:rFonts w:ascii="Arial" w:cs="Arial" w:eastAsia="Arial" w:hAnsi="Arial"/>
                <w:sz w:val="16"/>
                <w:szCs w:val="16"/>
                <w:color w:val="auto"/>
              </w:rPr>
              <w:t>177,975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F. Cofsky</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25,608</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102,433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204,866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102,433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9/9/2015</w:t>
            </w:r>
          </w:p>
        </w:tc>
        <w:tc>
          <w:tcPr>
            <w:tcW w:w="1200" w:type="dxa"/>
            <w:vAlign w:val="bottom"/>
            <w:tcBorders>
              <w:bottom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23,730</w:t>
            </w: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Douglas A. Graham</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21,438</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22,050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85,750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29,400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171,500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58,800</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9/9/2015</w:t>
            </w:r>
          </w:p>
        </w:tc>
        <w:tc>
          <w:tcPr>
            <w:tcW w:w="1200" w:type="dxa"/>
            <w:vAlign w:val="bottom"/>
            <w:gridSpan w:val="3"/>
          </w:tcPr>
          <w:p>
            <w:pPr>
              <w:jc w:val="right"/>
              <w:ind w:right="47"/>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84"/>
              <w:spacing w:after="0"/>
              <w:rPr>
                <w:sz w:val="20"/>
                <w:szCs w:val="20"/>
                <w:color w:val="auto"/>
              </w:rPr>
            </w:pPr>
            <w:r>
              <w:rPr>
                <w:rFonts w:ascii="Arial" w:cs="Arial" w:eastAsia="Arial" w:hAnsi="Arial"/>
                <w:sz w:val="16"/>
                <w:szCs w:val="16"/>
                <w:color w:val="auto"/>
              </w:rPr>
              <w:t>11,865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 E. Lewry</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36,000</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144,000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288,000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144,000</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8"/>
        <w:spacing w:after="0" w:line="263" w:lineRule="auto"/>
        <w:tabs>
          <w:tab w:leader="none" w:pos="479"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amounts represent the potential range of cash bonus awards and executive deferred bonus awards targeted for fiscal 2016 performance under our annual incentive plan. The actual amounts of cash and executive deferred bonuses awarded for fiscal 2016 are disclosed in the Summary Compensation Table in the column captioned “Non-Equity Incentive Plan Compensation.” For a discussion of the performance metrics applicable to these awards, see “Compensation Discussion and Analysis – Annual and Deferred Incentive Compensation – Operation of the Annual Incentive Plan” above.</w:t>
      </w:r>
    </w:p>
    <w:p>
      <w:pPr>
        <w:spacing w:after="0" w:line="311" w:lineRule="exact"/>
        <w:rPr>
          <w:rFonts w:ascii="Arial" w:cs="Arial" w:eastAsia="Arial" w:hAnsi="Arial"/>
          <w:sz w:val="21"/>
          <w:szCs w:val="21"/>
          <w:color w:val="auto"/>
        </w:rPr>
      </w:pPr>
    </w:p>
    <w:p>
      <w:pPr>
        <w:ind w:right="20" w:firstLine="8"/>
        <w:spacing w:after="0" w:line="263" w:lineRule="auto"/>
        <w:tabs>
          <w:tab w:leader="none" w:pos="484" w:val="left"/>
        </w:tabs>
        <w:numPr>
          <w:ilvl w:val="0"/>
          <w:numId w:val="54"/>
        </w:numPr>
        <w:rPr>
          <w:rFonts w:ascii="Arial" w:cs="Arial" w:eastAsia="Arial" w:hAnsi="Arial"/>
          <w:sz w:val="22"/>
          <w:szCs w:val="22"/>
          <w:color w:val="auto"/>
        </w:rPr>
      </w:pPr>
      <w:r>
        <w:rPr>
          <w:rFonts w:ascii="Arial" w:cs="Arial" w:eastAsia="Arial" w:hAnsi="Arial"/>
          <w:sz w:val="22"/>
          <w:szCs w:val="22"/>
          <w:color w:val="auto"/>
        </w:rPr>
        <w:t>Granted by our Compensation Committee under our Incentive Plan as described in “Compensation Discussion and Analysis - Long-Term Equity Incentives” above.</w:t>
      </w:r>
    </w:p>
    <w:p>
      <w:pPr>
        <w:spacing w:after="0" w:line="309" w:lineRule="exact"/>
        <w:rPr>
          <w:rFonts w:ascii="Arial" w:cs="Arial" w:eastAsia="Arial" w:hAnsi="Arial"/>
          <w:sz w:val="22"/>
          <w:szCs w:val="22"/>
          <w:color w:val="auto"/>
        </w:rPr>
      </w:pPr>
    </w:p>
    <w:p>
      <w:pPr>
        <w:ind w:left="460" w:hanging="452"/>
        <w:spacing w:after="0"/>
        <w:tabs>
          <w:tab w:leader="none" w:pos="4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Amount represents the total fair value of restricted stock granted in fiscal 2016 under ASC 718.</w:t>
      </w:r>
    </w:p>
    <w:p>
      <w:pPr>
        <w:spacing w:after="0" w:line="354" w:lineRule="exact"/>
        <w:rPr>
          <w:rFonts w:ascii="Arial" w:cs="Arial" w:eastAsia="Arial" w:hAnsi="Arial"/>
          <w:sz w:val="22"/>
          <w:szCs w:val="22"/>
          <w:color w:val="auto"/>
        </w:rPr>
      </w:pPr>
    </w:p>
    <w:p>
      <w:pPr>
        <w:ind w:left="500" w:hanging="492"/>
        <w:spacing w:after="0"/>
        <w:tabs>
          <w:tab w:leader="none" w:pos="5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25,000 of the shares valued as of the grant date of September 9, 2015, and the other 100,000 shares valued as of December 4,</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2015 which is the deemed grant date for accounting purposes due to amendments to the award agreement.</w:t>
      </w:r>
    </w:p>
    <w:p>
      <w:pPr>
        <w:sectPr>
          <w:pgSz w:w="11900" w:h="16838" w:orient="portrait"/>
          <w:cols w:equalWidth="0" w:num="1">
            <w:col w:w="11420"/>
          </w:cols>
          <w:pgMar w:left="240" w:top="95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955"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Outstanding Equity Awards at Fiscal 2016 Year End</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table provides information on the unexercised stock options and unvested restricted stock held by the named executive officers as of July 31, 2016.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right"/>
              <w:ind w:right="353"/>
              <w:spacing w:after="0"/>
              <w:rPr>
                <w:sz w:val="20"/>
                <w:szCs w:val="20"/>
                <w:color w:val="auto"/>
              </w:rPr>
            </w:pPr>
            <w:r>
              <w:rPr>
                <w:rFonts w:ascii="Arial" w:cs="Arial" w:eastAsia="Arial" w:hAnsi="Arial"/>
                <w:sz w:val="18"/>
                <w:szCs w:val="18"/>
                <w:b w:val="1"/>
                <w:bCs w:val="1"/>
                <w:color w:val="auto"/>
              </w:rPr>
              <w:t>Option Awards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0" w:type="dxa"/>
            <w:vAlign w:val="bottom"/>
            <w:gridSpan w:val="4"/>
          </w:tcPr>
          <w:p>
            <w:pPr>
              <w:jc w:val="right"/>
              <w:ind w:right="1015"/>
              <w:spacing w:after="0"/>
              <w:rPr>
                <w:sz w:val="20"/>
                <w:szCs w:val="20"/>
                <w:color w:val="auto"/>
              </w:rPr>
            </w:pPr>
            <w:r>
              <w:rPr>
                <w:rFonts w:ascii="Arial" w:cs="Arial" w:eastAsia="Arial" w:hAnsi="Arial"/>
                <w:sz w:val="18"/>
                <w:szCs w:val="18"/>
                <w:b w:val="1"/>
                <w:bCs w:val="1"/>
                <w:color w:val="auto"/>
                <w:w w:val="90"/>
              </w:rPr>
              <w:t>Stock Awards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5"/>
              <w:spacing w:after="0"/>
              <w:rPr>
                <w:sz w:val="20"/>
                <w:szCs w:val="20"/>
                <w:color w:val="auto"/>
              </w:rPr>
            </w:pPr>
            <w:r>
              <w:rPr>
                <w:rFonts w:ascii="Arial" w:cs="Arial" w:eastAsia="Arial" w:hAnsi="Arial"/>
                <w:sz w:val="16"/>
                <w:szCs w:val="16"/>
                <w:b w:val="1"/>
                <w:bCs w:val="1"/>
                <w:color w:val="auto"/>
                <w:w w:val="94"/>
              </w:rPr>
              <w:t>Market Value of</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95"/>
              <w:spacing w:after="0"/>
              <w:rPr>
                <w:sz w:val="20"/>
                <w:szCs w:val="20"/>
                <w:color w:val="auto"/>
              </w:rPr>
            </w:pPr>
            <w:r>
              <w:rPr>
                <w:rFonts w:ascii="Arial" w:cs="Arial" w:eastAsia="Arial" w:hAnsi="Arial"/>
                <w:sz w:val="16"/>
                <w:szCs w:val="16"/>
                <w:b w:val="1"/>
                <w:bCs w:val="1"/>
                <w:color w:val="auto"/>
                <w:w w:val="91"/>
              </w:rPr>
              <w:t>Shares or Units</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Number of Shares or</w:t>
            </w:r>
          </w:p>
        </w:tc>
        <w:tc>
          <w:tcPr>
            <w:tcW w:w="180" w:type="dxa"/>
            <w:vAlign w:val="bottom"/>
          </w:tcPr>
          <w:p>
            <w:pPr>
              <w:spacing w:after="0"/>
              <w:rPr>
                <w:sz w:val="17"/>
                <w:szCs w:val="17"/>
                <w:color w:val="auto"/>
              </w:rPr>
            </w:pPr>
          </w:p>
        </w:tc>
        <w:tc>
          <w:tcPr>
            <w:tcW w:w="142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of Stock That</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Unexercised Options</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Unexercised Options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16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Units of Stock That</w:t>
            </w:r>
          </w:p>
        </w:tc>
        <w:tc>
          <w:tcPr>
            <w:tcW w:w="180" w:type="dxa"/>
            <w:vAlign w:val="bottom"/>
          </w:tcPr>
          <w:p>
            <w:pPr>
              <w:spacing w:after="0"/>
              <w:rPr>
                <w:sz w:val="17"/>
                <w:szCs w:val="17"/>
                <w:color w:val="auto"/>
              </w:rPr>
            </w:pPr>
          </w:p>
        </w:tc>
        <w:tc>
          <w:tcPr>
            <w:tcW w:w="142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Have Not Vested</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Exercise Price</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Expiration</w:t>
            </w:r>
          </w:p>
        </w:tc>
        <w:tc>
          <w:tcPr>
            <w:tcW w:w="16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Have Not Vested</w:t>
            </w:r>
          </w:p>
        </w:tc>
        <w:tc>
          <w:tcPr>
            <w:tcW w:w="180" w:type="dxa"/>
            <w:vAlign w:val="bottom"/>
          </w:tcPr>
          <w:p>
            <w:pPr>
              <w:spacing w:after="0"/>
              <w:rPr>
                <w:sz w:val="17"/>
                <w:szCs w:val="17"/>
                <w:color w:val="auto"/>
              </w:rPr>
            </w:pPr>
          </w:p>
        </w:tc>
        <w:tc>
          <w:tcPr>
            <w:tcW w:w="1420" w:type="dxa"/>
            <w:vAlign w:val="bottom"/>
          </w:tcPr>
          <w:p>
            <w:pPr>
              <w:jc w:val="center"/>
              <w:ind w:right="95"/>
              <w:spacing w:after="0"/>
              <w:rPr>
                <w:sz w:val="20"/>
                <w:szCs w:val="20"/>
                <w:color w:val="auto"/>
              </w:rPr>
            </w:pPr>
            <w:r>
              <w:rPr>
                <w:rFonts w:ascii="Arial" w:cs="Arial" w:eastAsia="Arial" w:hAnsi="Arial"/>
                <w:sz w:val="16"/>
                <w:szCs w:val="16"/>
                <w:b w:val="1"/>
                <w:bCs w:val="1"/>
                <w:color w:val="auto"/>
              </w:rPr>
              <w:t>($)</w:t>
            </w:r>
          </w:p>
        </w:tc>
      </w:tr>
      <w:tr>
        <w:trPr>
          <w:trHeight w:val="210"/>
        </w:trPr>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Unexercisable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1080" w:type="dxa"/>
            <w:vAlign w:val="bottom"/>
          </w:tcPr>
          <w:p>
            <w:pPr>
              <w:jc w:val="center"/>
              <w:ind w:left="43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5"/>
              <w:spacing w:after="0"/>
              <w:rPr>
                <w:sz w:val="20"/>
                <w:szCs w:val="20"/>
                <w:color w:val="auto"/>
              </w:rPr>
            </w:pPr>
            <w:r>
              <w:rPr>
                <w:rFonts w:ascii="Arial" w:cs="Arial" w:eastAsia="Arial" w:hAnsi="Arial"/>
                <w:sz w:val="16"/>
                <w:szCs w:val="16"/>
                <w:b w:val="1"/>
                <w:bCs w:val="1"/>
                <w:color w:val="auto"/>
              </w:rPr>
              <w:t>(1)</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4,681,250</w:t>
            </w:r>
          </w:p>
        </w:tc>
      </w:tr>
      <w:tr>
        <w:trPr>
          <w:trHeight w:val="32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T. Smith</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280,875</w:t>
            </w:r>
          </w:p>
        </w:tc>
      </w:tr>
      <w:tr>
        <w:trPr>
          <w:trHeight w:val="32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F. Cofsky</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37,450</w:t>
            </w:r>
          </w:p>
        </w:tc>
      </w:tr>
      <w:tr>
        <w:trPr>
          <w:trHeight w:val="32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Douglas A. Graham</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18,725</w:t>
            </w:r>
          </w:p>
        </w:tc>
      </w:tr>
      <w:tr>
        <w:trPr>
          <w:trHeight w:val="32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 E. Lewry</w:t>
            </w:r>
          </w:p>
        </w:tc>
        <w:tc>
          <w:tcPr>
            <w:tcW w:w="16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449,400</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68" w:lineRule="exact"/>
        <w:rPr>
          <w:sz w:val="20"/>
          <w:szCs w:val="20"/>
          <w:color w:val="auto"/>
        </w:rPr>
      </w:pPr>
    </w:p>
    <w:p>
      <w:pPr>
        <w:ind w:firstLine="8"/>
        <w:spacing w:after="0" w:line="263" w:lineRule="auto"/>
        <w:tabs>
          <w:tab w:leader="none" w:pos="479" w:val="left"/>
        </w:tabs>
        <w:numPr>
          <w:ilvl w:val="0"/>
          <w:numId w:val="55"/>
        </w:numPr>
        <w:rPr>
          <w:rFonts w:ascii="Arial" w:cs="Arial" w:eastAsia="Arial" w:hAnsi="Arial"/>
          <w:sz w:val="22"/>
          <w:szCs w:val="22"/>
          <w:color w:val="auto"/>
        </w:rPr>
      </w:pPr>
      <w:r>
        <w:rPr>
          <w:rFonts w:ascii="Arial" w:cs="Arial" w:eastAsia="Arial" w:hAnsi="Arial"/>
          <w:sz w:val="22"/>
          <w:szCs w:val="22"/>
          <w:color w:val="auto"/>
        </w:rPr>
        <w:t>Market value of our Class B Stock and Common Stock has been calculated using the closing sale price of our Common Stock on July 29, 2016, the last trading day of fiscal 2016, which was $37.45.</w:t>
      </w:r>
    </w:p>
    <w:p>
      <w:pPr>
        <w:spacing w:after="0" w:line="134" w:lineRule="exact"/>
        <w:rPr>
          <w:rFonts w:ascii="Arial" w:cs="Arial" w:eastAsia="Arial" w:hAnsi="Arial"/>
          <w:sz w:val="22"/>
          <w:szCs w:val="22"/>
          <w:color w:val="auto"/>
        </w:rPr>
      </w:pPr>
    </w:p>
    <w:p>
      <w:pPr>
        <w:jc w:val="both"/>
        <w:ind w:firstLine="8"/>
        <w:spacing w:after="0" w:line="253" w:lineRule="auto"/>
        <w:tabs>
          <w:tab w:leader="none" w:pos="59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Restricted shares of Class B Stock awarded on September 9, 2015, of which 20% vested on October 19, 2016, and the remaining 100,000 of these shares will vest in 25,000 share increments subject to performance restrictions no earlier than on each of the four subsequent anniversaries of October 19, 2016.</w:t>
      </w:r>
    </w:p>
    <w:p>
      <w:pPr>
        <w:spacing w:after="0" w:line="145" w:lineRule="exact"/>
        <w:rPr>
          <w:rFonts w:ascii="Arial" w:cs="Arial" w:eastAsia="Arial" w:hAnsi="Arial"/>
          <w:sz w:val="22"/>
          <w:szCs w:val="22"/>
          <w:color w:val="auto"/>
        </w:rPr>
      </w:pPr>
    </w:p>
    <w:p>
      <w:pPr>
        <w:ind w:left="480" w:hanging="472"/>
        <w:spacing w:after="0"/>
        <w:tabs>
          <w:tab w:leader="none" w:pos="4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Restricted shares of Common Stock awarded on September 9, 2015, scheduled to vest on October 19, 2020.</w:t>
      </w:r>
    </w:p>
    <w:p>
      <w:pPr>
        <w:spacing w:after="0" w:line="179" w:lineRule="exact"/>
        <w:rPr>
          <w:rFonts w:ascii="Arial" w:cs="Arial" w:eastAsia="Arial" w:hAnsi="Arial"/>
          <w:sz w:val="22"/>
          <w:szCs w:val="22"/>
          <w:color w:val="auto"/>
        </w:rPr>
      </w:pPr>
    </w:p>
    <w:p>
      <w:pPr>
        <w:ind w:left="480" w:hanging="472"/>
        <w:spacing w:after="0"/>
        <w:tabs>
          <w:tab w:leader="none" w:pos="4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Restricted shares of Class B Stock awarded on September 9, 2015, scheduled to vest on October 19, 2018.</w:t>
      </w:r>
    </w:p>
    <w:p>
      <w:pPr>
        <w:spacing w:after="0" w:line="179" w:lineRule="exact"/>
        <w:rPr>
          <w:rFonts w:ascii="Arial" w:cs="Arial" w:eastAsia="Arial" w:hAnsi="Arial"/>
          <w:sz w:val="22"/>
          <w:szCs w:val="22"/>
          <w:color w:val="auto"/>
        </w:rPr>
      </w:pPr>
    </w:p>
    <w:p>
      <w:pPr>
        <w:ind w:left="480" w:hanging="472"/>
        <w:spacing w:after="0"/>
        <w:tabs>
          <w:tab w:leader="none" w:pos="4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Restricted shares of Common Stock awarded on September 9, 2015, scheduled to vest on October 19, 2018.</w:t>
      </w:r>
    </w:p>
    <w:p>
      <w:pPr>
        <w:spacing w:after="0" w:line="179" w:lineRule="exact"/>
        <w:rPr>
          <w:rFonts w:ascii="Arial" w:cs="Arial" w:eastAsia="Arial" w:hAnsi="Arial"/>
          <w:sz w:val="22"/>
          <w:szCs w:val="22"/>
          <w:color w:val="auto"/>
        </w:rPr>
      </w:pPr>
    </w:p>
    <w:p>
      <w:pPr>
        <w:ind w:left="480" w:hanging="472"/>
        <w:spacing w:after="0"/>
        <w:tabs>
          <w:tab w:leader="none" w:pos="4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Restricted shares of Common Stock awarded on April 7, 2014, scheduled to vest on April 7, 2019.</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Exercises and Stock Vested for Fiscal 2016</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table provides information for the named executive officers regarding the number of restricted shares of the Company’s stock that vested and the value received upon vesting during fiscal 2016.</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shares acquired and vested by Messrs. Jaffee and Cofsky were shares of Class B Stock. The shares acquired and vested by Mr. Graham were shares of Common Stock. None of the Company’s named executive officers exercised stock options during fiscal 2016.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6"/>
        </w:trPr>
        <w:tc>
          <w:tcPr>
            <w:tcW w:w="3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Arial" w:cs="Arial" w:eastAsia="Arial" w:hAnsi="Arial"/>
                <w:sz w:val="20"/>
                <w:szCs w:val="20"/>
                <w:b w:val="1"/>
                <w:bCs w:val="1"/>
                <w:color w:val="auto"/>
              </w:rPr>
              <w:t>Stock Awards</w:t>
            </w:r>
          </w:p>
        </w:tc>
        <w:tc>
          <w:tcPr>
            <w:tcW w:w="2900" w:type="dxa"/>
            <w:vAlign w:val="bottom"/>
          </w:tcPr>
          <w:p>
            <w:pPr>
              <w:spacing w:after="0"/>
              <w:rPr>
                <w:sz w:val="22"/>
                <w:szCs w:val="22"/>
                <w:color w:val="auto"/>
              </w:rPr>
            </w:pPr>
          </w:p>
        </w:tc>
      </w:tr>
      <w:tr>
        <w:trPr>
          <w:trHeight w:val="23"/>
        </w:trPr>
        <w:tc>
          <w:tcPr>
            <w:tcW w:w="3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7"/>
        </w:trPr>
        <w:tc>
          <w:tcPr>
            <w:tcW w:w="3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80" w:type="dxa"/>
            <w:vAlign w:val="bottom"/>
          </w:tcPr>
          <w:p>
            <w:pPr>
              <w:jc w:val="center"/>
              <w:ind w:left="661"/>
              <w:spacing w:after="0" w:line="228" w:lineRule="exact"/>
              <w:rPr>
                <w:sz w:val="20"/>
                <w:szCs w:val="20"/>
                <w:color w:val="auto"/>
              </w:rPr>
            </w:pPr>
            <w:r>
              <w:rPr>
                <w:rFonts w:ascii="Arial" w:cs="Arial" w:eastAsia="Arial" w:hAnsi="Arial"/>
                <w:sz w:val="20"/>
                <w:szCs w:val="20"/>
                <w:b w:val="1"/>
                <w:bCs w:val="1"/>
                <w:color w:val="auto"/>
                <w:w w:val="89"/>
              </w:rPr>
              <w:t>Number of Shares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00" w:type="dxa"/>
            <w:vAlign w:val="bottom"/>
          </w:tcPr>
          <w:p>
            <w:pPr>
              <w:jc w:val="right"/>
              <w:ind w:right="495"/>
              <w:spacing w:after="0" w:line="228" w:lineRule="exact"/>
              <w:rPr>
                <w:sz w:val="20"/>
                <w:szCs w:val="20"/>
                <w:color w:val="auto"/>
              </w:rPr>
            </w:pPr>
            <w:r>
              <w:rPr>
                <w:rFonts w:ascii="Arial" w:cs="Arial" w:eastAsia="Arial" w:hAnsi="Arial"/>
                <w:sz w:val="20"/>
                <w:szCs w:val="20"/>
                <w:b w:val="1"/>
                <w:bCs w:val="1"/>
                <w:color w:val="auto"/>
                <w:w w:val="91"/>
              </w:rPr>
              <w:t>Value Realized on Vesting</w:t>
            </w:r>
          </w:p>
        </w:tc>
      </w:tr>
      <w:tr>
        <w:trPr>
          <w:trHeight w:val="230"/>
        </w:trPr>
        <w:tc>
          <w:tcPr>
            <w:tcW w:w="3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80" w:type="dxa"/>
            <w:vAlign w:val="bottom"/>
          </w:tcPr>
          <w:p>
            <w:pPr>
              <w:jc w:val="center"/>
              <w:ind w:left="681"/>
              <w:spacing w:after="0"/>
              <w:rPr>
                <w:sz w:val="20"/>
                <w:szCs w:val="20"/>
                <w:color w:val="auto"/>
              </w:rPr>
            </w:pPr>
            <w:r>
              <w:rPr>
                <w:rFonts w:ascii="Arial" w:cs="Arial" w:eastAsia="Arial" w:hAnsi="Arial"/>
                <w:sz w:val="20"/>
                <w:szCs w:val="20"/>
                <w:b w:val="1"/>
                <w:bCs w:val="1"/>
                <w:color w:val="auto"/>
                <w:w w:val="88"/>
              </w:rPr>
              <w:t>Acquired on Vesting</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00" w:type="dxa"/>
            <w:vAlign w:val="bottom"/>
          </w:tcPr>
          <w:p>
            <w:pPr>
              <w:jc w:val="right"/>
              <w:ind w:right="1475"/>
              <w:spacing w:after="0"/>
              <w:rPr>
                <w:sz w:val="20"/>
                <w:szCs w:val="20"/>
                <w:color w:val="auto"/>
              </w:rPr>
            </w:pPr>
            <w:r>
              <w:rPr>
                <w:rFonts w:ascii="Arial" w:cs="Arial" w:eastAsia="Arial" w:hAnsi="Arial"/>
                <w:sz w:val="20"/>
                <w:szCs w:val="20"/>
                <w:b w:val="1"/>
                <w:bCs w:val="1"/>
                <w:color w:val="auto"/>
              </w:rPr>
              <w:t>($)</w:t>
            </w:r>
          </w:p>
        </w:tc>
      </w:tr>
      <w:tr>
        <w:trPr>
          <w:trHeight w:val="256"/>
        </w:trPr>
        <w:tc>
          <w:tcPr>
            <w:tcW w:w="406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2580" w:type="dxa"/>
            <w:vAlign w:val="bottom"/>
          </w:tcPr>
          <w:p>
            <w:pPr>
              <w:jc w:val="center"/>
              <w:ind w:left="661"/>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900" w:type="dxa"/>
            <w:vAlign w:val="bottom"/>
          </w:tcPr>
          <w:p>
            <w:pPr>
              <w:jc w:val="right"/>
              <w:ind w:right="1475"/>
              <w:spacing w:after="0"/>
              <w:rPr>
                <w:sz w:val="20"/>
                <w:szCs w:val="20"/>
                <w:color w:val="auto"/>
              </w:rPr>
            </w:pPr>
            <w:r>
              <w:rPr>
                <w:rFonts w:ascii="Arial" w:cs="Arial" w:eastAsia="Arial" w:hAnsi="Arial"/>
                <w:sz w:val="20"/>
                <w:szCs w:val="20"/>
                <w:b w:val="1"/>
                <w:bCs w:val="1"/>
                <w:color w:val="auto"/>
              </w:rPr>
              <w:t>(1)</w:t>
            </w:r>
          </w:p>
        </w:tc>
      </w:tr>
      <w:tr>
        <w:trPr>
          <w:trHeight w:val="23"/>
        </w:trPr>
        <w:tc>
          <w:tcPr>
            <w:tcW w:w="36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91"/>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25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5"/>
              </w:rPr>
              <w:t>31,390</w:t>
            </w:r>
          </w:p>
        </w:tc>
        <w:tc>
          <w:tcPr>
            <w:tcW w:w="4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819,556</w:t>
            </w:r>
          </w:p>
        </w:tc>
      </w:tr>
      <w:tr>
        <w:trPr>
          <w:trHeight w:val="289"/>
        </w:trPr>
        <w:tc>
          <w:tcPr>
            <w:tcW w:w="406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258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22"/>
                <w:szCs w:val="22"/>
                <w:color w:val="auto"/>
              </w:rPr>
              <w:t>—</w:t>
            </w:r>
          </w:p>
        </w:tc>
        <w:tc>
          <w:tcPr>
            <w:tcW w:w="48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tcPr>
          <w:p>
            <w:pPr>
              <w:jc w:val="right"/>
              <w:ind w:right="15"/>
              <w:spacing w:after="0"/>
              <w:rPr>
                <w:sz w:val="20"/>
                <w:szCs w:val="20"/>
                <w:color w:val="auto"/>
              </w:rPr>
            </w:pPr>
            <w:r>
              <w:rPr>
                <w:rFonts w:ascii="Arial" w:cs="Arial" w:eastAsia="Arial" w:hAnsi="Arial"/>
                <w:sz w:val="22"/>
                <w:szCs w:val="22"/>
                <w:color w:val="auto"/>
              </w:rPr>
              <w:t>—</w:t>
            </w:r>
          </w:p>
        </w:tc>
      </w:tr>
      <w:tr>
        <w:trPr>
          <w:trHeight w:val="30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w:t>
            </w:r>
          </w:p>
        </w:tc>
        <w:tc>
          <w:tcPr>
            <w:tcW w:w="25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3,791</w:t>
            </w:r>
          </w:p>
        </w:tc>
        <w:tc>
          <w:tcPr>
            <w:tcW w:w="4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141,973</w:t>
            </w:r>
          </w:p>
        </w:tc>
      </w:tr>
      <w:tr>
        <w:trPr>
          <w:trHeight w:val="289"/>
        </w:trPr>
        <w:tc>
          <w:tcPr>
            <w:tcW w:w="406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2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1,000</w:t>
            </w:r>
          </w:p>
        </w:tc>
        <w:tc>
          <w:tcPr>
            <w:tcW w:w="460" w:type="dxa"/>
            <w:vAlign w:val="bottom"/>
          </w:tcPr>
          <w:p>
            <w:pPr>
              <w:spacing w:after="0"/>
              <w:rPr>
                <w:sz w:val="24"/>
                <w:szCs w:val="24"/>
                <w:color w:val="auto"/>
              </w:rPr>
            </w:pPr>
          </w:p>
        </w:tc>
        <w:tc>
          <w:tcPr>
            <w:tcW w:w="48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tcPr>
          <w:p>
            <w:pPr>
              <w:jc w:val="right"/>
              <w:ind w:right="15"/>
              <w:spacing w:after="0"/>
              <w:rPr>
                <w:sz w:val="20"/>
                <w:szCs w:val="20"/>
                <w:color w:val="auto"/>
              </w:rPr>
            </w:pPr>
            <w:r>
              <w:rPr>
                <w:rFonts w:ascii="Arial" w:cs="Arial" w:eastAsia="Arial" w:hAnsi="Arial"/>
                <w:sz w:val="22"/>
                <w:szCs w:val="22"/>
                <w:color w:val="auto"/>
              </w:rPr>
              <w:t>34,000</w:t>
            </w:r>
          </w:p>
        </w:tc>
      </w:tr>
      <w:tr>
        <w:trPr>
          <w:trHeight w:val="30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25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22"/>
                <w:szCs w:val="22"/>
                <w:color w:val="auto"/>
              </w:rPr>
              <w:t>—</w:t>
            </w: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w:t>
            </w:r>
          </w:p>
        </w:tc>
      </w:tr>
    </w:tbl>
    <w:p>
      <w:pPr>
        <w:spacing w:after="0" w:line="168" w:lineRule="exact"/>
        <w:rPr>
          <w:sz w:val="20"/>
          <w:szCs w:val="20"/>
          <w:color w:val="auto"/>
        </w:rPr>
      </w:pPr>
    </w:p>
    <w:p>
      <w:pPr>
        <w:ind w:right="20" w:firstLine="8"/>
        <w:spacing w:after="0" w:line="263" w:lineRule="auto"/>
        <w:tabs>
          <w:tab w:leader="none" w:pos="54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Value Realized on Vesting represents the market price of our Common Stock on the date of vesting multiplied by the number of shares vested.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Pension Benefits for Fiscal 2016</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 xml:space="preserve">Defined benefit pension plan: </w:t>
      </w:r>
      <w:r>
        <w:rPr>
          <w:rFonts w:ascii="Arial" w:cs="Arial" w:eastAsia="Arial" w:hAnsi="Arial"/>
          <w:sz w:val="21"/>
          <w:szCs w:val="21"/>
          <w:color w:val="auto"/>
        </w:rPr>
        <w:t>All U.S.-based employees participate in our non-contributory, tax-qualified, defined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pension plan commencing on the first February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or August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that follows the date when an employee achieves one year of service and age 21. For salaried employees, including the named executive officers, the pension plan provides for pensions based on credited years of service (capped at 30 years) and Final Average Compensation.</w:t>
      </w:r>
    </w:p>
    <w:p>
      <w:pPr>
        <w:spacing w:after="0" w:line="1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spacing w:after="0" w:line="200" w:lineRule="exact"/>
        <w:rPr>
          <w:sz w:val="20"/>
          <w:szCs w:val="20"/>
          <w:color w:val="auto"/>
        </w:rPr>
      </w:pPr>
    </w:p>
    <w:p>
      <w:pPr>
        <w:spacing w:after="0" w:line="298"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0.55% of Final Average Compensation</w:t>
      </w:r>
    </w:p>
    <w:p>
      <w:pPr>
        <w:spacing w:after="0" w:line="44"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0.55% of Final Average Compensation that exceeds</w:t>
      </w:r>
    </w:p>
    <w:p>
      <w:pPr>
        <w:spacing w:after="0" w:line="8" w:lineRule="exact"/>
        <w:rPr>
          <w:sz w:val="20"/>
          <w:szCs w:val="20"/>
          <w:color w:val="auto"/>
        </w:rPr>
      </w:pPr>
    </w:p>
    <w:p>
      <w:pPr>
        <w:ind w:left="2960" w:right="4160" w:hanging="170"/>
        <w:spacing w:after="0" w:line="368" w:lineRule="auto"/>
        <w:tabs>
          <w:tab w:leader="none" w:pos="3851" w:val="left"/>
        </w:tabs>
        <w:numPr>
          <w:ilvl w:val="0"/>
          <w:numId w:val="57"/>
        </w:numPr>
        <w:rPr>
          <w:rFonts w:ascii="Arial" w:cs="Arial" w:eastAsia="Arial" w:hAnsi="Arial"/>
          <w:sz w:val="19"/>
          <w:szCs w:val="19"/>
          <w:color w:val="auto"/>
        </w:rPr>
      </w:pPr>
      <w:r>
        <w:rPr>
          <w:rFonts w:ascii="Arial" w:cs="Arial" w:eastAsia="Arial" w:hAnsi="Arial"/>
          <w:sz w:val="19"/>
          <w:szCs w:val="19"/>
          <w:color w:val="auto"/>
        </w:rPr>
        <w:t>Social Security Covered Compensation Multiplied by years of credited service</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participant’s right to an accrued benefit becomes non-forfeitable after five years of vesting service. Normal retirement age under the plan is age 65, or the date a participant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27" w:right="239" w:bottom="1440" w:gutter="0" w:footer="0" w:header="0"/>
        </w:sectPr>
      </w:pPr>
    </w:p>
    <w:bookmarkStart w:id="46" w:name="page47"/>
    <w:bookmarkEnd w:id="46"/>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SERP: </w:t>
      </w:r>
      <w:r>
        <w:rPr>
          <w:rFonts w:ascii="Arial" w:cs="Arial" w:eastAsia="Arial" w:hAnsi="Arial"/>
          <w:sz w:val="21"/>
          <w:szCs w:val="21"/>
          <w:color w:val="auto"/>
        </w:rPr>
        <w:t>Our SERP provides benefits that would have been provided under our pension plan absent Code limitations on</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and on compensation for purposes of calculating benefits, offset by the actual pension benefits. All employees whose pension plan benefits are limited by those Code limitations may participate in the SERP. Currently, Daniel S. Jaffee, our CEO, and Mark E. Lewry, our COO, are the only participants; however, Mr. Lewry will not be vested in the plan until March 31, 2019.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as soon as administratively feasible after the first day of the calendar month that follows six months of separation from service.</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shows the present value of the accumulated benefits under the pension plan and under the SERP for each of the named executive officers. No payments were made to any named executive officer under the pension plan or the SERP during fiscal 2016.</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Number of Years of</w:t>
            </w:r>
          </w:p>
        </w:tc>
        <w:tc>
          <w:tcPr>
            <w:tcW w:w="280" w:type="dxa"/>
            <w:vAlign w:val="bottom"/>
          </w:tcPr>
          <w:p>
            <w:pPr>
              <w:spacing w:after="0"/>
              <w:rPr>
                <w:sz w:val="19"/>
                <w:szCs w:val="19"/>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8"/>
              </w:rPr>
              <w:t>Present Value of</w:t>
            </w:r>
          </w:p>
        </w:tc>
      </w:t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Credited Service</w:t>
            </w:r>
          </w:p>
        </w:tc>
        <w:tc>
          <w:tcPr>
            <w:tcW w:w="280" w:type="dxa"/>
            <w:vAlign w:val="bottom"/>
          </w:tcPr>
          <w:p>
            <w:pPr>
              <w:spacing w:after="0"/>
              <w:rPr>
                <w:sz w:val="19"/>
                <w:szCs w:val="19"/>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8"/>
              </w:rPr>
              <w:t>Accumulated Benefits</w:t>
            </w:r>
          </w:p>
        </w:tc>
      </w:t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9"/>
              </w:rPr>
              <w:t>($)</w:t>
            </w:r>
          </w:p>
        </w:tc>
      </w:tr>
      <w:tr>
        <w:trPr>
          <w:trHeight w:val="256"/>
        </w:trPr>
        <w:tc>
          <w:tcPr>
            <w:tcW w:w="274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29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Plan Name</w:t>
            </w:r>
          </w:p>
        </w:tc>
        <w:tc>
          <w:tcPr>
            <w:tcW w:w="2740" w:type="dxa"/>
            <w:vAlign w:val="bottom"/>
          </w:tcPr>
          <w:p>
            <w:pPr>
              <w:jc w:val="center"/>
              <w:spacing w:after="0"/>
              <w:rPr>
                <w:sz w:val="20"/>
                <w:szCs w:val="20"/>
                <w:color w:val="auto"/>
              </w:rPr>
            </w:pPr>
            <w:r>
              <w:rPr>
                <w:rFonts w:ascii="Arial" w:cs="Arial" w:eastAsia="Arial" w:hAnsi="Arial"/>
                <w:sz w:val="20"/>
                <w:szCs w:val="20"/>
                <w:b w:val="1"/>
                <w:bCs w:val="1"/>
                <w:color w:val="auto"/>
                <w:w w:val="89"/>
              </w:rPr>
              <w:t>(1)</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9"/>
              </w:rPr>
              <w:t>(2)</w:t>
            </w:r>
          </w:p>
        </w:tc>
      </w:tr>
      <w:tr>
        <w:trPr>
          <w:trHeight w:val="23"/>
        </w:trPr>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91"/>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0"/>
              </w:rPr>
              <w:t>28.75</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609,153</w:t>
            </w:r>
          </w:p>
        </w:tc>
      </w:tr>
      <w:tr>
        <w:trPr>
          <w:trHeight w:val="289"/>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SERP</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28.75</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878,198</w:t>
            </w:r>
          </w:p>
        </w:tc>
      </w:tr>
      <w:tr>
        <w:trPr>
          <w:trHeight w:val="306"/>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T. Smith</w:t>
            </w: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0"/>
              </w:rPr>
              <w:t>15.79</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270,741</w:t>
            </w:r>
          </w:p>
        </w:tc>
      </w:tr>
      <w:tr>
        <w:trPr>
          <w:trHeight w:val="289"/>
        </w:trPr>
        <w:tc>
          <w:tcPr>
            <w:tcW w:w="2740" w:type="dxa"/>
            <w:vAlign w:val="bottom"/>
            <w:gridSpan w:val="2"/>
          </w:tcPr>
          <w:p>
            <w:pPr>
              <w:ind w:left="40"/>
              <w:spacing w:after="0"/>
              <w:rPr>
                <w:sz w:val="20"/>
                <w:szCs w:val="20"/>
                <w:color w:val="auto"/>
              </w:rPr>
            </w:pPr>
            <w:r>
              <w:rPr>
                <w:rFonts w:ascii="Arial" w:cs="Arial" w:eastAsia="Arial" w:hAnsi="Arial"/>
                <w:sz w:val="22"/>
                <w:szCs w:val="22"/>
                <w:color w:val="auto"/>
              </w:rPr>
              <w:t>Thomas F. Cofsky</w:t>
            </w: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29.33</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592,737</w:t>
            </w:r>
          </w:p>
        </w:tc>
      </w:tr>
      <w:tr>
        <w:trPr>
          <w:trHeight w:val="306"/>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Douglas A. Graham</w:t>
            </w: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8"/>
              </w:rPr>
              <w:t>5.48</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95,062</w:t>
            </w:r>
          </w:p>
        </w:tc>
      </w:tr>
      <w:tr>
        <w:trPr>
          <w:trHeight w:val="289"/>
        </w:trPr>
        <w:tc>
          <w:tcPr>
            <w:tcW w:w="2740" w:type="dxa"/>
            <w:vAlign w:val="bottom"/>
            <w:gridSpan w:val="2"/>
          </w:tcPr>
          <w:p>
            <w:pPr>
              <w:ind w:left="40"/>
              <w:spacing w:after="0"/>
              <w:rPr>
                <w:sz w:val="20"/>
                <w:szCs w:val="20"/>
                <w:color w:val="auto"/>
              </w:rPr>
            </w:pPr>
            <w:r>
              <w:rPr>
                <w:rFonts w:ascii="Arial" w:cs="Arial" w:eastAsia="Arial" w:hAnsi="Arial"/>
                <w:sz w:val="22"/>
                <w:szCs w:val="22"/>
                <w:color w:val="auto"/>
              </w:rPr>
              <w:t>Mark E. Lewry</w:t>
            </w: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tcPr>
          <w:p>
            <w:pPr>
              <w:jc w:val="center"/>
              <w:spacing w:after="0"/>
              <w:rPr>
                <w:sz w:val="20"/>
                <w:szCs w:val="20"/>
                <w:color w:val="auto"/>
              </w:rPr>
            </w:pPr>
            <w:r>
              <w:rPr>
                <w:rFonts w:ascii="Arial" w:cs="Arial" w:eastAsia="Arial" w:hAnsi="Arial"/>
                <w:sz w:val="22"/>
                <w:szCs w:val="22"/>
                <w:color w:val="auto"/>
                <w:w w:val="88"/>
              </w:rPr>
              <w:t>2.33</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47,824</w:t>
            </w:r>
          </w:p>
        </w:tc>
      </w:tr>
      <w:tr>
        <w:trPr>
          <w:trHeight w:val="306"/>
        </w:trPr>
        <w:tc>
          <w:tcPr>
            <w:tcW w:w="2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SERP</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8"/>
              </w:rPr>
              <w:t>2.33</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18,289</w:t>
            </w:r>
          </w:p>
        </w:tc>
      </w:tr>
    </w:tbl>
    <w:p>
      <w:pPr>
        <w:spacing w:after="0" w:line="168" w:lineRule="exact"/>
        <w:rPr>
          <w:sz w:val="20"/>
          <w:szCs w:val="20"/>
          <w:color w:val="auto"/>
        </w:rPr>
      </w:pPr>
    </w:p>
    <w:p>
      <w:pPr>
        <w:ind w:left="480" w:hanging="472"/>
        <w:spacing w:after="0"/>
        <w:tabs>
          <w:tab w:leader="none" w:pos="4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Credited service is actual years of employment with the Company.</w:t>
      </w:r>
    </w:p>
    <w:p>
      <w:pPr>
        <w:spacing w:after="0" w:line="179" w:lineRule="exact"/>
        <w:rPr>
          <w:rFonts w:ascii="Arial" w:cs="Arial" w:eastAsia="Arial" w:hAnsi="Arial"/>
          <w:sz w:val="22"/>
          <w:szCs w:val="22"/>
          <w:color w:val="auto"/>
        </w:rPr>
      </w:pPr>
    </w:p>
    <w:p>
      <w:pPr>
        <w:jc w:val="both"/>
        <w:ind w:firstLine="8"/>
        <w:spacing w:after="0" w:line="265" w:lineRule="auto"/>
        <w:tabs>
          <w:tab w:leader="none" w:pos="567"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assumed retirement age used to calculate the actuarial present value for each named executive officer’s accumulated benefits is age 65, the age at which each named executive officer would be eligible to receive unreduced benefits. The other assumptions used are the same as those used to prepare the pension disclosures in the notes to our audited consolidated financial statements included in our Annual Report on Form 10-K for fiscal year ended July 31, 2016.</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Deferred Compensation for Fiscal 2016</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74" w:right="239" w:bottom="1440" w:gutter="0" w:footer="0" w:header="0"/>
        </w:sectPr>
      </w:pPr>
    </w:p>
    <w:bookmarkStart w:id="47" w:name="page48"/>
    <w:bookmarkEnd w:id="47"/>
    <w:p>
      <w:pPr>
        <w:ind w:right="20"/>
        <w:spacing w:after="0" w:line="263" w:lineRule="auto"/>
        <w:rPr>
          <w:sz w:val="20"/>
          <w:szCs w:val="20"/>
          <w:color w:val="auto"/>
        </w:rPr>
      </w:pPr>
      <w:r>
        <w:rPr>
          <w:rFonts w:ascii="Arial" w:cs="Arial" w:eastAsia="Arial" w:hAnsi="Arial"/>
          <w:sz w:val="22"/>
          <w:szCs w:val="22"/>
          <w:color w:val="auto"/>
        </w:rPr>
        <w:t>control, or as soon as possible following a change in control, each participant will be paid his account balance. Our executive deferred compensation plan is unfunded and subject to the claims of our creditors.</w:t>
      </w:r>
    </w:p>
    <w:p>
      <w:pPr>
        <w:spacing w:after="0" w:line="13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table shows contributions, earnings and balances in our executive deferred compensation plan for the named executive officers during fiscal 2016.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6"/>
              </w:rPr>
              <w:t>Aggregate</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7"/>
              </w:rPr>
              <w:t>Executive</w:t>
            </w:r>
          </w:p>
        </w:tc>
        <w:tc>
          <w:tcPr>
            <w:tcW w:w="1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8"/>
              </w:rPr>
              <w:t>Registrant</w:t>
            </w: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1"/>
              </w:rPr>
              <w:t>Earnings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0"/>
              </w:rPr>
              <w:t>Contributions in</w:t>
            </w:r>
          </w:p>
        </w:tc>
        <w:tc>
          <w:tcPr>
            <w:tcW w:w="1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90"/>
              </w:rPr>
              <w:t>Contributions in</w:t>
            </w: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9"/>
              </w:rPr>
              <w:t>in Last</w:t>
            </w: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6"/>
              </w:rPr>
              <w:t>Aggregate</w:t>
            </w:r>
          </w:p>
        </w:tc>
        <w:tc>
          <w:tcPr>
            <w:tcW w:w="220" w:type="dxa"/>
            <w:vAlign w:val="bottom"/>
          </w:tcPr>
          <w:p>
            <w:pPr>
              <w:spacing w:after="0"/>
              <w:rPr>
                <w:sz w:val="19"/>
                <w:szCs w:val="19"/>
                <w:color w:val="auto"/>
              </w:rPr>
            </w:pPr>
          </w:p>
        </w:tc>
        <w:tc>
          <w:tcPr>
            <w:tcW w:w="1260" w:type="dxa"/>
            <w:vAlign w:val="bottom"/>
          </w:tcPr>
          <w:p>
            <w:pPr>
              <w:jc w:val="center"/>
              <w:ind w:right="95"/>
              <w:spacing w:after="0"/>
              <w:rPr>
                <w:sz w:val="20"/>
                <w:szCs w:val="20"/>
                <w:color w:val="auto"/>
              </w:rPr>
            </w:pPr>
            <w:r>
              <w:rPr>
                <w:rFonts w:ascii="Arial" w:cs="Arial" w:eastAsia="Arial" w:hAnsi="Arial"/>
                <w:sz w:val="20"/>
                <w:szCs w:val="20"/>
                <w:b w:val="1"/>
                <w:bCs w:val="1"/>
                <w:color w:val="auto"/>
                <w:w w:val="86"/>
              </w:rPr>
              <w:t>Aggregate</w:t>
            </w: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9"/>
              </w:rPr>
              <w:t>Last Fiscal Year</w:t>
            </w:r>
          </w:p>
        </w:tc>
        <w:tc>
          <w:tcPr>
            <w:tcW w:w="1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9"/>
              </w:rPr>
              <w:t>Last Fiscal Year</w:t>
            </w: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8"/>
              </w:rPr>
              <w:t>Fiscal Year</w:t>
            </w: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2"/>
              </w:rPr>
              <w:t>Withdrawals/</w:t>
            </w:r>
          </w:p>
        </w:tc>
        <w:tc>
          <w:tcPr>
            <w:tcW w:w="14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Balance at Last</w:t>
            </w: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56"/>
              <w:spacing w:after="0"/>
              <w:rPr>
                <w:sz w:val="20"/>
                <w:szCs w:val="20"/>
                <w:color w:val="auto"/>
              </w:rPr>
            </w:pPr>
            <w:r>
              <w:rPr>
                <w:rFonts w:ascii="Arial" w:cs="Arial" w:eastAsia="Arial" w:hAnsi="Arial"/>
                <w:sz w:val="20"/>
                <w:szCs w:val="20"/>
                <w:b w:val="1"/>
                <w:bCs w:val="1"/>
                <w:color w:val="auto"/>
                <w:w w:val="97"/>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center"/>
              <w:ind w:right="36"/>
              <w:spacing w:after="0"/>
              <w:rPr>
                <w:sz w:val="20"/>
                <w:szCs w:val="20"/>
                <w:color w:val="auto"/>
              </w:rPr>
            </w:pPr>
            <w:r>
              <w:rPr>
                <w:rFonts w:ascii="Arial" w:cs="Arial" w:eastAsia="Arial" w:hAnsi="Arial"/>
                <w:sz w:val="20"/>
                <w:szCs w:val="20"/>
                <w:b w:val="1"/>
                <w:bCs w:val="1"/>
                <w:color w:val="auto"/>
                <w:w w:val="97"/>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7"/>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9"/>
              </w:rPr>
              <w:t>Distributions</w:t>
            </w:r>
          </w:p>
        </w:tc>
        <w:tc>
          <w:tcPr>
            <w:tcW w:w="14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Fiscal Year End</w:t>
            </w:r>
          </w:p>
        </w:tc>
      </w:tr>
      <w:tr>
        <w:trPr>
          <w:trHeight w:val="256"/>
        </w:trPr>
        <w:tc>
          <w:tcPr>
            <w:tcW w:w="250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160" w:type="dxa"/>
            <w:vAlign w:val="bottom"/>
          </w:tcPr>
          <w:p>
            <w:pPr>
              <w:spacing w:after="0"/>
              <w:rPr>
                <w:sz w:val="22"/>
                <w:szCs w:val="22"/>
                <w:color w:val="auto"/>
              </w:rPr>
            </w:pPr>
          </w:p>
        </w:tc>
        <w:tc>
          <w:tcPr>
            <w:tcW w:w="1560" w:type="dxa"/>
            <w:vAlign w:val="bottom"/>
          </w:tcPr>
          <w:p>
            <w:pPr>
              <w:jc w:val="center"/>
              <w:ind w:right="56"/>
              <w:spacing w:after="0"/>
              <w:rPr>
                <w:sz w:val="20"/>
                <w:szCs w:val="20"/>
                <w:color w:val="auto"/>
              </w:rPr>
            </w:pPr>
            <w:r>
              <w:rPr>
                <w:rFonts w:ascii="Arial" w:cs="Arial" w:eastAsia="Arial" w:hAnsi="Arial"/>
                <w:sz w:val="20"/>
                <w:szCs w:val="20"/>
                <w:b w:val="1"/>
                <w:bCs w:val="1"/>
                <w:color w:val="auto"/>
                <w:w w:val="97"/>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center"/>
              <w:ind w:right="36"/>
              <w:spacing w:after="0"/>
              <w:rPr>
                <w:sz w:val="20"/>
                <w:szCs w:val="20"/>
                <w:color w:val="auto"/>
              </w:rPr>
            </w:pPr>
            <w:r>
              <w:rPr>
                <w:rFonts w:ascii="Arial" w:cs="Arial" w:eastAsia="Arial" w:hAnsi="Arial"/>
                <w:sz w:val="20"/>
                <w:szCs w:val="20"/>
                <w:b w:val="1"/>
                <w:bCs w:val="1"/>
                <w:color w:val="auto"/>
                <w:w w:val="97"/>
              </w:rPr>
              <w:t>(2)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center"/>
              <w:ind w:right="117"/>
              <w:spacing w:after="0"/>
              <w:rPr>
                <w:sz w:val="20"/>
                <w:szCs w:val="20"/>
                <w:color w:val="auto"/>
              </w:rPr>
            </w:pPr>
            <w:r>
              <w:rPr>
                <w:rFonts w:ascii="Arial" w:cs="Arial" w:eastAsia="Arial" w:hAnsi="Arial"/>
                <w:sz w:val="20"/>
                <w:szCs w:val="20"/>
                <w:b w:val="1"/>
                <w:bCs w:val="1"/>
                <w:color w:val="auto"/>
                <w:w w:val="89"/>
              </w:rPr>
              <w:t>(3)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center"/>
              <w:ind w:right="56"/>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center"/>
              <w:ind w:right="115"/>
              <w:spacing w:after="0"/>
              <w:rPr>
                <w:sz w:val="20"/>
                <w:szCs w:val="20"/>
                <w:color w:val="auto"/>
              </w:rPr>
            </w:pPr>
            <w:r>
              <w:rPr>
                <w:rFonts w:ascii="Arial" w:cs="Arial" w:eastAsia="Arial" w:hAnsi="Arial"/>
                <w:sz w:val="20"/>
                <w:szCs w:val="20"/>
                <w:b w:val="1"/>
                <w:bCs w:val="1"/>
                <w:color w:val="auto"/>
                <w:w w:val="97"/>
              </w:rPr>
              <w:t>($)</w:t>
            </w:r>
          </w:p>
        </w:tc>
      </w:tr>
      <w:tr>
        <w:trPr>
          <w:trHeight w:val="23"/>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22"/>
                <w:szCs w:val="22"/>
                <w:color w:val="auto"/>
              </w:rPr>
              <w:t>30,275</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60,941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615,832</w:t>
            </w:r>
          </w:p>
        </w:tc>
      </w:tr>
      <w:tr>
        <w:trPr>
          <w:trHeight w:val="289"/>
        </w:trPr>
        <w:tc>
          <w:tcPr>
            <w:tcW w:w="250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ind w:left="124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17"/>
              <w:spacing w:after="0"/>
              <w:rPr>
                <w:sz w:val="20"/>
                <w:szCs w:val="20"/>
                <w:color w:val="auto"/>
              </w:rPr>
            </w:pPr>
            <w:r>
              <w:rPr>
                <w:rFonts w:ascii="Arial" w:cs="Arial" w:eastAsia="Arial" w:hAnsi="Arial"/>
                <w:sz w:val="22"/>
                <w:szCs w:val="22"/>
                <w:color w:val="auto"/>
              </w:rPr>
              <w:t>22,516</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Pr>
          <w:p>
            <w:pPr>
              <w:jc w:val="right"/>
              <w:spacing w:after="0"/>
              <w:rPr>
                <w:sz w:val="20"/>
                <w:szCs w:val="20"/>
                <w:color w:val="auto"/>
              </w:rPr>
            </w:pPr>
            <w:r>
              <w:rPr>
                <w:rFonts w:ascii="Arial" w:cs="Arial" w:eastAsia="Arial" w:hAnsi="Arial"/>
                <w:sz w:val="22"/>
                <w:szCs w:val="22"/>
                <w:color w:val="auto"/>
              </w:rPr>
              <w:t>98,973</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426,260</w:t>
            </w:r>
          </w:p>
        </w:tc>
      </w:tr>
      <w:tr>
        <w:trPr>
          <w:trHeight w:val="306"/>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54,730</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22"/>
                <w:szCs w:val="22"/>
                <w:color w:val="auto"/>
              </w:rPr>
              <w:t>32,388</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57,922</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705,574</w:t>
            </w:r>
          </w:p>
        </w:tc>
      </w:tr>
      <w:tr>
        <w:trPr>
          <w:trHeight w:val="289"/>
        </w:trPr>
        <w:tc>
          <w:tcPr>
            <w:tcW w:w="250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ind w:left="124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17"/>
              <w:spacing w:after="0"/>
              <w:rPr>
                <w:sz w:val="20"/>
                <w:szCs w:val="20"/>
                <w:color w:val="auto"/>
              </w:rPr>
            </w:pPr>
            <w:r>
              <w:rPr>
                <w:rFonts w:ascii="Arial" w:cs="Arial" w:eastAsia="Arial" w:hAnsi="Arial"/>
                <w:sz w:val="22"/>
                <w:szCs w:val="22"/>
                <w:color w:val="auto"/>
              </w:rPr>
              <w:t>1,651</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34,782</w:t>
            </w:r>
          </w:p>
        </w:tc>
      </w:tr>
      <w:tr>
        <w:trPr>
          <w:trHeight w:val="306"/>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214,169</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22"/>
                <w:szCs w:val="22"/>
                <w:color w:val="auto"/>
              </w:rPr>
              <w:t>3,720</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314,488</w:t>
            </w:r>
          </w:p>
        </w:tc>
      </w:tr>
    </w:tbl>
    <w:p>
      <w:pPr>
        <w:spacing w:after="0" w:line="168"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amounts in this column are voluntary deductions from salary and cash incentive awards by the named executive officers.</w:t>
      </w:r>
    </w:p>
    <w:p>
      <w:pPr>
        <w:spacing w:after="0" w:line="213" w:lineRule="exact"/>
        <w:rPr>
          <w:rFonts w:ascii="Arial" w:cs="Arial" w:eastAsia="Arial" w:hAnsi="Arial"/>
          <w:sz w:val="19"/>
          <w:szCs w:val="19"/>
          <w:color w:val="auto"/>
        </w:rPr>
      </w:pPr>
    </w:p>
    <w:p>
      <w:pPr>
        <w:ind w:left="480" w:hanging="472"/>
        <w:spacing w:after="0"/>
        <w:tabs>
          <w:tab w:leader="none" w:pos="4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We make no contribution to the executive deferred compensation plan.</w:t>
      </w:r>
    </w:p>
    <w:p>
      <w:pPr>
        <w:spacing w:after="0" w:line="179" w:lineRule="exact"/>
        <w:rPr>
          <w:rFonts w:ascii="Arial" w:cs="Arial" w:eastAsia="Arial" w:hAnsi="Arial"/>
          <w:sz w:val="22"/>
          <w:szCs w:val="22"/>
          <w:color w:val="auto"/>
        </w:rPr>
      </w:pPr>
    </w:p>
    <w:p>
      <w:pPr>
        <w:ind w:left="520" w:hanging="512"/>
        <w:spacing w:after="0"/>
        <w:tabs>
          <w:tab w:leader="none" w:pos="5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We credit the accounts under the terms of the plan with an interest rate that is equal to our long-term cost of borrowing plus</w:t>
      </w:r>
    </w:p>
    <w:p>
      <w:pPr>
        <w:spacing w:after="0" w:line="56"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1%. The amounts shown include the following amounts exceeding 120% of the applicable federal rate and reported as compensation to the following named executive officers in the Summary Compensation Table: Mr. Jaffee $12,195, Mr. Smith $9,076, Mr. Cofsky $13,020, Mr. Graham $665 and Mr. Lewry $1,488.</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provides information about our equity compensation plans and stock that may be issued upon the exercise of options and rights that have been or may be granted to employees or members of our Board of Directors under those plans as of July 31,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of Stock</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Number of Shares of Stock to</w:t>
            </w:r>
          </w:p>
        </w:tc>
        <w:tc>
          <w:tcPr>
            <w:tcW w:w="12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 Average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87"/>
              </w:rPr>
              <w:t>be Issued Upon Exercise of</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Exercise Price of</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Plans (excluding those</w:t>
            </w:r>
          </w:p>
        </w:tc>
      </w:tr>
      <w:tr>
        <w:trPr>
          <w:trHeight w:val="234"/>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Outstanding Options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 Options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listed in the first column)</w:t>
            </w:r>
          </w:p>
        </w:tc>
      </w:tr>
      <w:tr>
        <w:trPr>
          <w:trHeight w:val="27"/>
        </w:trPr>
        <w:tc>
          <w:tcPr>
            <w:tcW w:w="2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2"/>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Equity Compensation Plan Approved</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3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 our Stockholders</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2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10,000  Common Stock</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(2)</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375,954 (3)</w:t>
            </w:r>
          </w:p>
        </w:tc>
      </w:tr>
      <w:tr>
        <w:trPr>
          <w:trHeight w:val="27"/>
        </w:trPr>
        <w:tc>
          <w:tcPr>
            <w:tcW w:w="2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168" w:lineRule="exact"/>
        <w:rPr>
          <w:sz w:val="20"/>
          <w:szCs w:val="20"/>
          <w:color w:val="auto"/>
        </w:rPr>
      </w:pPr>
    </w:p>
    <w:p>
      <w:pPr>
        <w:ind w:left="480" w:hanging="472"/>
        <w:spacing w:after="0"/>
        <w:tabs>
          <w:tab w:leader="none" w:pos="4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This plan is our 2006 Long Term Incentive Plan.</w:t>
      </w:r>
    </w:p>
    <w:p>
      <w:pPr>
        <w:spacing w:after="0" w:line="179" w:lineRule="exact"/>
        <w:rPr>
          <w:rFonts w:ascii="Arial" w:cs="Arial" w:eastAsia="Arial" w:hAnsi="Arial"/>
          <w:sz w:val="22"/>
          <w:szCs w:val="22"/>
          <w:color w:val="auto"/>
        </w:rPr>
      </w:pPr>
    </w:p>
    <w:p>
      <w:pPr>
        <w:jc w:val="both"/>
        <w:ind w:firstLine="8"/>
        <w:spacing w:after="0" w:line="253" w:lineRule="auto"/>
        <w:tabs>
          <w:tab w:leader="none" w:pos="510" w:val="left"/>
        </w:tabs>
        <w:numPr>
          <w:ilvl w:val="0"/>
          <w:numId w:val="60"/>
        </w:numPr>
        <w:rPr>
          <w:rFonts w:ascii="Arial" w:cs="Arial" w:eastAsia="Arial" w:hAnsi="Arial"/>
          <w:sz w:val="22"/>
          <w:szCs w:val="22"/>
          <w:color w:val="auto"/>
        </w:rPr>
      </w:pPr>
      <w:r>
        <w:rPr>
          <w:rFonts w:ascii="Arial" w:cs="Arial" w:eastAsia="Arial" w:hAnsi="Arial"/>
          <w:sz w:val="22"/>
          <w:szCs w:val="22"/>
          <w:color w:val="auto"/>
        </w:rPr>
        <w:t>Under this plan, awards made to members of the Jaffee family are for shares of Class B Stock. There were no awards to the Jaffee family outstanding as of July 31, 2016. Awards made to other employees or non-employee directors are for shares of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80" w:right="239" w:bottom="1440" w:gutter="0" w:footer="0" w:header="0"/>
        </w:sectPr>
      </w:pPr>
    </w:p>
    <w:bookmarkStart w:id="48" w:name="page49"/>
    <w:bookmarkEnd w:id="48"/>
    <w:p>
      <w:pPr>
        <w:jc w:val="both"/>
        <w:ind w:firstLine="8"/>
        <w:spacing w:after="0" w:line="253" w:lineRule="auto"/>
        <w:tabs>
          <w:tab w:leader="none" w:pos="468" w:val="left"/>
        </w:tabs>
        <w:numPr>
          <w:ilvl w:val="0"/>
          <w:numId w:val="61"/>
        </w:numPr>
        <w:rPr>
          <w:rFonts w:ascii="Arial" w:cs="Arial" w:eastAsia="Arial" w:hAnsi="Arial"/>
          <w:sz w:val="22"/>
          <w:szCs w:val="22"/>
          <w:color w:val="auto"/>
        </w:rPr>
      </w:pPr>
      <w:r>
        <w:rPr>
          <w:rFonts w:ascii="Arial" w:cs="Arial" w:eastAsia="Arial" w:hAnsi="Arial"/>
          <w:sz w:val="22"/>
          <w:szCs w:val="22"/>
          <w:color w:val="auto"/>
        </w:rPr>
        <w:t>Prior to issuance of awards under this plan, it is not possible to determine whether awards will be for shares of Common Stock or shares of Class B Stock. Awards made to members of the Jaffee family will be for shares of Class B Stock. Awards made to other employees or non-employee directors will be for shares of Common Stock.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Benefits upon Termination or Change in Control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We do not have a prospective severance plan that covers any of the named executive officers and generally have no employment or prospective severance agreements with the named executive officers.</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Our only other provisions for benefits upon termination of employment or change in control are in existing compensation plans and apply to all participants in those plans.</w:t>
      </w:r>
    </w:p>
    <w:p>
      <w:pPr>
        <w:spacing w:after="0" w:line="148" w:lineRule="exact"/>
        <w:rPr>
          <w:sz w:val="20"/>
          <w:szCs w:val="20"/>
          <w:color w:val="auto"/>
        </w:rPr>
      </w:pPr>
    </w:p>
    <w:p>
      <w:pPr>
        <w:jc w:val="both"/>
        <w:ind w:left="980" w:hanging="324"/>
        <w:spacing w:after="0" w:line="310" w:lineRule="auto"/>
        <w:tabs>
          <w:tab w:leader="none" w:pos="980" w:val="left"/>
        </w:tabs>
        <w:numPr>
          <w:ilvl w:val="0"/>
          <w:numId w:val="62"/>
        </w:numPr>
        <w:rPr>
          <w:rFonts w:ascii="Arial" w:cs="Arial" w:eastAsia="Arial" w:hAnsi="Arial"/>
          <w:sz w:val="23"/>
          <w:szCs w:val="23"/>
          <w:color w:val="auto"/>
        </w:rPr>
      </w:pPr>
      <w:r>
        <w:rPr>
          <w:rFonts w:ascii="Arial" w:cs="Arial" w:eastAsia="Arial" w:hAnsi="Arial"/>
          <w:sz w:val="20"/>
          <w:szCs w:val="20"/>
          <w:color w:val="auto"/>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spacing w:after="0" w:line="131" w:lineRule="exact"/>
        <w:rPr>
          <w:rFonts w:ascii="Arial" w:cs="Arial" w:eastAsia="Arial" w:hAnsi="Arial"/>
          <w:sz w:val="23"/>
          <w:szCs w:val="23"/>
          <w:color w:val="auto"/>
        </w:rPr>
      </w:pPr>
    </w:p>
    <w:p>
      <w:pPr>
        <w:jc w:val="both"/>
        <w:ind w:left="980" w:hanging="324"/>
        <w:spacing w:after="0" w:line="310" w:lineRule="auto"/>
        <w:tabs>
          <w:tab w:leader="none" w:pos="980" w:val="left"/>
        </w:tabs>
        <w:numPr>
          <w:ilvl w:val="0"/>
          <w:numId w:val="62"/>
        </w:numPr>
        <w:rPr>
          <w:rFonts w:ascii="Arial" w:cs="Arial" w:eastAsia="Arial" w:hAnsi="Arial"/>
          <w:sz w:val="23"/>
          <w:szCs w:val="23"/>
          <w:color w:val="auto"/>
        </w:rPr>
      </w:pPr>
      <w:r>
        <w:rPr>
          <w:rFonts w:ascii="Arial" w:cs="Arial" w:eastAsia="Arial" w:hAnsi="Arial"/>
          <w:sz w:val="20"/>
          <w:szCs w:val="20"/>
          <w:color w:val="auto"/>
        </w:rPr>
        <w:t>Our Incentive Plan and the agreements issued under it provide for immediate vesting of restricted stock and immediate vesting and exercisability of stock options upon a participant’s death, disability or a change in control of the Company. Upon retirement, all stock options become immediately vested and exercisable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 Upon any of these termination events, the participant, or his beneficiary in the case of the participant’s death, may exercise any outstanding stock options for a period of three years or until their expiration dates, whichever occurs first.</w:t>
      </w:r>
    </w:p>
    <w:p>
      <w:pPr>
        <w:spacing w:after="0" w:line="1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2016” above.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also does not include balances under our executive deferred compensation plan. Those balances and the circumstances under which the named executive officers may receive distributions from that plan are disclosed in the Nonqualified Deferred Compensation Table and the introduction to that table.</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noted, the amounts shown assume that each named executive officer’s employment terminated on July 31, 2016, the last day of our most recently completed fiscal year, and when applicable, the closing sale price of our Common Stock on July 29, 2016, the last trading day of fiscal 2016, which was $37.45.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8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53"/>
        </w:trPr>
        <w:tc>
          <w:tcPr>
            <w:tcW w:w="4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2"/>
          </w:tcPr>
          <w:p>
            <w:pPr>
              <w:jc w:val="center"/>
              <w:ind w:right="520"/>
              <w:spacing w:after="0"/>
              <w:rPr>
                <w:sz w:val="20"/>
                <w:szCs w:val="20"/>
                <w:color w:val="auto"/>
              </w:rPr>
            </w:pPr>
            <w:r>
              <w:rPr>
                <w:rFonts w:ascii="Arial" w:cs="Arial" w:eastAsia="Arial" w:hAnsi="Arial"/>
                <w:sz w:val="22"/>
                <w:szCs w:val="22"/>
                <w:b w:val="1"/>
                <w:bCs w:val="1"/>
                <w:color w:val="auto"/>
                <w:w w:val="90"/>
              </w:rPr>
              <w:t>Annual Incentive Plan</w:t>
            </w:r>
          </w:p>
        </w:tc>
        <w:tc>
          <w:tcPr>
            <w:tcW w:w="200" w:type="dxa"/>
            <w:vAlign w:val="bottom"/>
          </w:tcPr>
          <w:p>
            <w:pPr>
              <w:spacing w:after="0"/>
              <w:rPr>
                <w:sz w:val="21"/>
                <w:szCs w:val="21"/>
                <w:color w:val="auto"/>
              </w:rPr>
            </w:pPr>
          </w:p>
        </w:tc>
        <w:tc>
          <w:tcPr>
            <w:tcW w:w="2200" w:type="dxa"/>
            <w:vAlign w:val="bottom"/>
            <w:gridSpan w:val="2"/>
          </w:tcPr>
          <w:p>
            <w:pPr>
              <w:jc w:val="center"/>
              <w:ind w:right="560"/>
              <w:spacing w:after="0"/>
              <w:rPr>
                <w:sz w:val="20"/>
                <w:szCs w:val="20"/>
                <w:color w:val="auto"/>
              </w:rPr>
            </w:pPr>
            <w:r>
              <w:rPr>
                <w:rFonts w:ascii="Arial" w:cs="Arial" w:eastAsia="Arial" w:hAnsi="Arial"/>
                <w:sz w:val="22"/>
                <w:szCs w:val="22"/>
                <w:b w:val="1"/>
                <w:bCs w:val="1"/>
                <w:color w:val="auto"/>
                <w:w w:val="90"/>
              </w:rPr>
              <w:t>2006 Long Term</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3"/>
          </w:tcPr>
          <w:p>
            <w:pPr>
              <w:jc w:val="center"/>
              <w:ind w:right="360"/>
              <w:spacing w:after="0" w:line="243" w:lineRule="exact"/>
              <w:rPr>
                <w:sz w:val="20"/>
                <w:szCs w:val="20"/>
                <w:color w:val="auto"/>
              </w:rPr>
            </w:pPr>
            <w:r>
              <w:rPr>
                <w:rFonts w:ascii="Arial" w:cs="Arial" w:eastAsia="Arial" w:hAnsi="Arial"/>
                <w:sz w:val="22"/>
                <w:szCs w:val="22"/>
                <w:b w:val="1"/>
                <w:bCs w:val="1"/>
                <w:color w:val="auto"/>
                <w:w w:val="87"/>
              </w:rPr>
              <w:t>Deferred Bonus Account</w:t>
            </w:r>
          </w:p>
        </w:tc>
        <w:tc>
          <w:tcPr>
            <w:tcW w:w="200" w:type="dxa"/>
            <w:vAlign w:val="bottom"/>
          </w:tcPr>
          <w:p>
            <w:pPr>
              <w:spacing w:after="0"/>
              <w:rPr>
                <w:sz w:val="21"/>
                <w:szCs w:val="21"/>
                <w:color w:val="auto"/>
              </w:rPr>
            </w:pPr>
          </w:p>
        </w:tc>
        <w:tc>
          <w:tcPr>
            <w:tcW w:w="2200" w:type="dxa"/>
            <w:vAlign w:val="bottom"/>
            <w:gridSpan w:val="2"/>
          </w:tcPr>
          <w:p>
            <w:pPr>
              <w:jc w:val="center"/>
              <w:ind w:right="540"/>
              <w:spacing w:after="0" w:line="243" w:lineRule="exact"/>
              <w:rPr>
                <w:sz w:val="20"/>
                <w:szCs w:val="20"/>
                <w:color w:val="auto"/>
              </w:rPr>
            </w:pPr>
            <w:r>
              <w:rPr>
                <w:rFonts w:ascii="Arial" w:cs="Arial" w:eastAsia="Arial" w:hAnsi="Arial"/>
                <w:sz w:val="22"/>
                <w:szCs w:val="22"/>
                <w:b w:val="1"/>
                <w:bCs w:val="1"/>
                <w:color w:val="auto"/>
                <w:w w:val="90"/>
              </w:rPr>
              <w:t>Incentive Plan</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center"/>
              <w:ind w:right="7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center"/>
              <w:ind w:right="9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52"/>
              <w:spacing w:after="0" w:line="243" w:lineRule="exact"/>
              <w:rPr>
                <w:sz w:val="20"/>
                <w:szCs w:val="20"/>
                <w:color w:val="auto"/>
              </w:rPr>
            </w:pPr>
            <w:r>
              <w:rPr>
                <w:rFonts w:ascii="Arial" w:cs="Arial" w:eastAsia="Arial" w:hAnsi="Arial"/>
                <w:sz w:val="22"/>
                <w:szCs w:val="22"/>
                <w:b w:val="1"/>
                <w:bCs w:val="1"/>
                <w:color w:val="auto"/>
              </w:rPr>
              <w:t>Total</w:t>
            </w:r>
          </w:p>
        </w:tc>
      </w:tr>
      <w:tr>
        <w:trPr>
          <w:trHeight w:val="291"/>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96"/>
              </w:rPr>
              <w:t>(1)</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96"/>
              </w:rPr>
              <w:t>(2)</w:t>
            </w:r>
          </w:p>
        </w:tc>
        <w:tc>
          <w:tcPr>
            <w:tcW w:w="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w:t>
            </w:r>
          </w:p>
        </w:tc>
      </w:tr>
      <w:tr>
        <w:trPr>
          <w:trHeight w:val="297"/>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9"/>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66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ind w:right="12"/>
              <w:spacing w:after="0"/>
              <w:rPr>
                <w:sz w:val="20"/>
                <w:szCs w:val="20"/>
                <w:color w:val="auto"/>
              </w:rPr>
            </w:pPr>
            <w:r>
              <w:rPr>
                <w:rFonts w:ascii="Arial" w:cs="Arial" w:eastAsia="Arial" w:hAnsi="Arial"/>
                <w:sz w:val="22"/>
                <w:szCs w:val="22"/>
                <w:color w:val="auto"/>
              </w:rPr>
              <w:t>4,681,250</w:t>
            </w:r>
          </w:p>
        </w:tc>
        <w:tc>
          <w:tcPr>
            <w:tcW w:w="34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4,681,250</w:t>
            </w:r>
          </w:p>
        </w:tc>
      </w:tr>
      <w:tr>
        <w:trPr>
          <w:trHeight w:val="346"/>
        </w:trPr>
        <w:tc>
          <w:tcPr>
            <w:tcW w:w="4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9"/>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6"/>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74,500</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280,875</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355,375</w:t>
            </w:r>
          </w:p>
        </w:tc>
      </w:tr>
      <w:tr>
        <w:trPr>
          <w:trHeight w:val="338"/>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w:t>
            </w: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9"/>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320" w:type="dxa"/>
            <w:vAlign w:val="bottom"/>
          </w:tcPr>
          <w:p>
            <w:pPr>
              <w:jc w:val="right"/>
              <w:spacing w:after="0"/>
              <w:rPr>
                <w:sz w:val="20"/>
                <w:szCs w:val="20"/>
                <w:color w:val="auto"/>
              </w:rPr>
            </w:pPr>
            <w:r>
              <w:rPr>
                <w:rFonts w:ascii="Arial" w:cs="Arial" w:eastAsia="Arial" w:hAnsi="Arial"/>
                <w:sz w:val="22"/>
                <w:szCs w:val="22"/>
                <w:color w:val="auto"/>
              </w:rPr>
              <w:t>76,825</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ind w:right="12"/>
              <w:spacing w:after="0"/>
              <w:rPr>
                <w:sz w:val="20"/>
                <w:szCs w:val="20"/>
                <w:color w:val="auto"/>
              </w:rPr>
            </w:pPr>
            <w:r>
              <w:rPr>
                <w:rFonts w:ascii="Arial" w:cs="Arial" w:eastAsia="Arial" w:hAnsi="Arial"/>
                <w:sz w:val="22"/>
                <w:szCs w:val="22"/>
                <w:color w:val="auto"/>
              </w:rPr>
              <w:t>37,450</w:t>
            </w:r>
          </w:p>
        </w:tc>
        <w:tc>
          <w:tcPr>
            <w:tcW w:w="34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114,275</w:t>
            </w:r>
          </w:p>
        </w:tc>
      </w:tr>
      <w:tr>
        <w:trPr>
          <w:trHeight w:val="346"/>
        </w:trPr>
        <w:tc>
          <w:tcPr>
            <w:tcW w:w="4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9"/>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6"/>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44,100</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18,725</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62,825</w:t>
            </w:r>
          </w:p>
        </w:tc>
      </w:tr>
      <w:tr>
        <w:trPr>
          <w:trHeight w:val="338"/>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1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0"/>
        </w:trPr>
        <w:tc>
          <w:tcPr>
            <w:tcW w:w="454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320" w:type="dxa"/>
            <w:vAlign w:val="bottom"/>
          </w:tcPr>
          <w:p>
            <w:pPr>
              <w:jc w:val="right"/>
              <w:spacing w:after="0"/>
              <w:rPr>
                <w:sz w:val="20"/>
                <w:szCs w:val="20"/>
                <w:color w:val="auto"/>
              </w:rPr>
            </w:pPr>
            <w:r>
              <w:rPr>
                <w:rFonts w:ascii="Arial" w:cs="Arial" w:eastAsia="Arial" w:hAnsi="Arial"/>
                <w:sz w:val="22"/>
                <w:szCs w:val="22"/>
                <w:color w:val="auto"/>
              </w:rPr>
              <w:t>108,000</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ind w:right="12"/>
              <w:spacing w:after="0"/>
              <w:rPr>
                <w:sz w:val="20"/>
                <w:szCs w:val="20"/>
                <w:color w:val="auto"/>
              </w:rPr>
            </w:pPr>
            <w:r>
              <w:rPr>
                <w:rFonts w:ascii="Arial" w:cs="Arial" w:eastAsia="Arial" w:hAnsi="Arial"/>
                <w:sz w:val="22"/>
                <w:szCs w:val="22"/>
                <w:color w:val="auto"/>
              </w:rPr>
              <w:t>449,400</w:t>
            </w:r>
          </w:p>
        </w:tc>
        <w:tc>
          <w:tcPr>
            <w:tcW w:w="34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557,400</w:t>
            </w:r>
          </w:p>
        </w:tc>
      </w:tr>
    </w:tbl>
    <w:p>
      <w:pPr>
        <w:spacing w:after="0" w:line="185" w:lineRule="exact"/>
        <w:rPr>
          <w:sz w:val="20"/>
          <w:szCs w:val="20"/>
          <w:color w:val="auto"/>
        </w:rPr>
      </w:pPr>
    </w:p>
    <w:p>
      <w:pPr>
        <w:jc w:val="both"/>
        <w:ind w:firstLine="8"/>
        <w:spacing w:after="0" w:line="248" w:lineRule="auto"/>
        <w:tabs>
          <w:tab w:leader="none" w:pos="55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amounts shown reflect each named executive officer’s balance in his executive deferred bonus account of our annual incentive plan. The amounts include executive deferred bonuses awarded for fiscal 2016 that were approved subsequent to July 31, 2016.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151" w:lineRule="exact"/>
        <w:rPr>
          <w:rFonts w:ascii="Arial" w:cs="Arial" w:eastAsia="Arial" w:hAnsi="Arial"/>
          <w:sz w:val="22"/>
          <w:szCs w:val="22"/>
          <w:color w:val="auto"/>
        </w:rPr>
      </w:pPr>
    </w:p>
    <w:p>
      <w:pPr>
        <w:jc w:val="both"/>
        <w:ind w:firstLine="8"/>
        <w:spacing w:after="0" w:line="265" w:lineRule="auto"/>
        <w:tabs>
          <w:tab w:leader="none" w:pos="496"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amounts shown represent, as of July 31, 2016: (a) the market price of any unvested shares of restricted stock; and/or (b) the excess of the market price of the shares of stock underlying unvested stock options over the option exercise price. As of July 31, 2016, none of the named executive officers had any unvested stock options. As explained above, previously unvested shares of restricted stock and stock options become immediately vested upon the events listed.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91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STOCK OWNERSHIP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Stockholders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sets forth information as of October 17, 2016,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executive officers.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gridSpan w:val="6"/>
          </w:tcPr>
          <w:p>
            <w:pPr>
              <w:jc w:val="right"/>
              <w:ind w:right="950"/>
              <w:spacing w:after="0"/>
              <w:rPr>
                <w:sz w:val="20"/>
                <w:szCs w:val="20"/>
                <w:color w:val="auto"/>
              </w:rPr>
            </w:pPr>
            <w:r>
              <w:rPr>
                <w:rFonts w:ascii="Arial" w:cs="Arial" w:eastAsia="Arial" w:hAnsi="Arial"/>
                <w:sz w:val="18"/>
                <w:szCs w:val="18"/>
                <w:b w:val="1"/>
                <w:bCs w:val="1"/>
                <w:color w:val="auto"/>
              </w:rPr>
              <w:t>Amount and Nature of Beneficial Ownership (1)</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Number of Shares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Voting Power of</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Common Stock and</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and</w:t>
            </w:r>
          </w:p>
        </w:tc>
      </w:tr>
      <w:tr>
        <w:trPr>
          <w:trHeight w:val="234"/>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800" w:type="dxa"/>
            <w:vAlign w:val="bottom"/>
            <w:gridSpan w:val="2"/>
          </w:tcPr>
          <w:p>
            <w:pPr>
              <w:ind w:left="340"/>
              <w:spacing w:after="0"/>
              <w:rPr>
                <w:sz w:val="20"/>
                <w:szCs w:val="20"/>
                <w:color w:val="auto"/>
              </w:rPr>
            </w:pPr>
            <w:r>
              <w:rPr>
                <w:rFonts w:ascii="Arial" w:cs="Arial" w:eastAsia="Arial" w:hAnsi="Arial"/>
                <w:sz w:val="18"/>
                <w:szCs w:val="18"/>
                <w:b w:val="1"/>
                <w:bCs w:val="1"/>
                <w:color w:val="auto"/>
              </w:rPr>
              <w:t>Title of Class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Class B Stock</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Stock of Class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8"/>
              </w:rPr>
              <w:t>Class B Stock</w:t>
            </w:r>
          </w:p>
        </w:tc>
      </w:tr>
      <w:tr>
        <w:trPr>
          <w:trHeight w:val="27"/>
        </w:trPr>
        <w:tc>
          <w:tcPr>
            <w:tcW w:w="3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Jaffee (2)</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410 N. Michigan Avenue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409,558</w:t>
            </w:r>
          </w:p>
        </w:tc>
        <w:tc>
          <w:tcPr>
            <w:tcW w:w="900" w:type="dxa"/>
            <w:vAlign w:val="bottom"/>
          </w:tcPr>
          <w:p>
            <w:pPr>
              <w:ind w:left="14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Chicago, IL 60611</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97"/>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 (2)</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410 N. Michigan Avenue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390,895</w:t>
            </w:r>
          </w:p>
        </w:tc>
        <w:tc>
          <w:tcPr>
            <w:tcW w:w="900" w:type="dxa"/>
            <w:vAlign w:val="bottom"/>
          </w:tcPr>
          <w:p>
            <w:pPr>
              <w:ind w:left="1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Chicago, IL 60611</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97"/>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Jaffee Investment Partnership, L.P.</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410 N. Michigan Avenue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1,250,000</w:t>
            </w:r>
          </w:p>
        </w:tc>
        <w:tc>
          <w:tcPr>
            <w:tcW w:w="900" w:type="dxa"/>
            <w:vAlign w:val="bottom"/>
          </w:tcPr>
          <w:p>
            <w:pPr>
              <w:ind w:lef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46.37%</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Chicago, IL 60611</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97"/>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Dimensional Fund Advisors LP</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361,966</w:t>
            </w:r>
          </w:p>
        </w:tc>
        <w:tc>
          <w:tcPr>
            <w:tcW w:w="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3820" w:type="dxa"/>
            <w:vAlign w:val="bottom"/>
            <w:gridSpan w:val="2"/>
          </w:tcPr>
          <w:p>
            <w:pPr>
              <w:ind w:left="320"/>
              <w:spacing w:after="0"/>
              <w:rPr>
                <w:sz w:val="20"/>
                <w:szCs w:val="20"/>
                <w:color w:val="auto"/>
              </w:rPr>
            </w:pPr>
            <w:r>
              <w:rPr>
                <w:rFonts w:ascii="Arial" w:cs="Arial" w:eastAsia="Arial" w:hAnsi="Arial"/>
                <w:sz w:val="16"/>
                <w:szCs w:val="16"/>
                <w:color w:val="auto"/>
              </w:rPr>
              <w:t>Building One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6300 Bee Cave Road</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gridSpan w:val="2"/>
          </w:tcPr>
          <w:p>
            <w:pPr>
              <w:ind w:left="300"/>
              <w:spacing w:after="0"/>
              <w:rPr>
                <w:sz w:val="20"/>
                <w:szCs w:val="20"/>
                <w:color w:val="auto"/>
              </w:rPr>
            </w:pPr>
            <w:r>
              <w:rPr>
                <w:rFonts w:ascii="Arial" w:cs="Arial" w:eastAsia="Arial" w:hAnsi="Arial"/>
                <w:sz w:val="16"/>
                <w:szCs w:val="16"/>
                <w:color w:val="auto"/>
              </w:rPr>
              <w:t>Austin, TX 78746</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97"/>
        </w:trPr>
        <w:tc>
          <w:tcPr>
            <w:tcW w:w="3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GAMCO Asset Management Inc. et al.</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827,348</w:t>
            </w:r>
          </w:p>
        </w:tc>
        <w:tc>
          <w:tcPr>
            <w:tcW w:w="900" w:type="dxa"/>
            <w:vAlign w:val="bottom"/>
          </w:tcPr>
          <w:p>
            <w:pPr>
              <w:ind w:lef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One Corporate Center</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gridSpan w:val="2"/>
          </w:tcPr>
          <w:p>
            <w:pPr>
              <w:ind w:left="320"/>
              <w:spacing w:after="0"/>
              <w:rPr>
                <w:sz w:val="20"/>
                <w:szCs w:val="20"/>
                <w:color w:val="auto"/>
              </w:rPr>
            </w:pPr>
            <w:r>
              <w:rPr>
                <w:rFonts w:ascii="Arial" w:cs="Arial" w:eastAsia="Arial" w:hAnsi="Arial"/>
                <w:sz w:val="16"/>
                <w:szCs w:val="16"/>
                <w:color w:val="auto"/>
              </w:rPr>
              <w:t>Rye, NY 10580</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97"/>
        </w:trPr>
        <w:tc>
          <w:tcPr>
            <w:tcW w:w="3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Renaissance Technologies LLC</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401,825</w:t>
            </w:r>
          </w:p>
        </w:tc>
        <w:tc>
          <w:tcPr>
            <w:tcW w:w="900" w:type="dxa"/>
            <w:vAlign w:val="bottom"/>
          </w:tcPr>
          <w:p>
            <w:pPr>
              <w:ind w:lef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800 Third Avenue</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gridSpan w:val="2"/>
          </w:tcPr>
          <w:p>
            <w:pPr>
              <w:ind w:left="320"/>
              <w:spacing w:after="0"/>
              <w:rPr>
                <w:sz w:val="20"/>
                <w:szCs w:val="20"/>
                <w:color w:val="auto"/>
              </w:rPr>
            </w:pPr>
            <w:r>
              <w:rPr>
                <w:rFonts w:ascii="Arial" w:cs="Arial" w:eastAsia="Arial" w:hAnsi="Arial"/>
                <w:sz w:val="16"/>
                <w:szCs w:val="16"/>
                <w:color w:val="auto"/>
              </w:rPr>
              <w:t>New York, NY 10022</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97"/>
        </w:trPr>
        <w:tc>
          <w:tcPr>
            <w:tcW w:w="3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T. Rowe Price Associates, Inc.</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609,250</w:t>
            </w:r>
          </w:p>
        </w:tc>
        <w:tc>
          <w:tcPr>
            <w:tcW w:w="900" w:type="dxa"/>
            <w:vAlign w:val="bottom"/>
          </w:tcPr>
          <w:p>
            <w:pPr>
              <w:ind w:lef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100 East Pratt Street</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gridSpan w:val="2"/>
          </w:tcPr>
          <w:p>
            <w:pPr>
              <w:ind w:left="320"/>
              <w:spacing w:after="0"/>
              <w:rPr>
                <w:sz w:val="20"/>
                <w:szCs w:val="20"/>
                <w:color w:val="auto"/>
              </w:rPr>
            </w:pPr>
            <w:r>
              <w:rPr>
                <w:rFonts w:ascii="Arial" w:cs="Arial" w:eastAsia="Arial" w:hAnsi="Arial"/>
                <w:sz w:val="16"/>
                <w:szCs w:val="16"/>
                <w:color w:val="auto"/>
              </w:rPr>
              <w:t>Baltimore, MD 21202</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97"/>
        </w:trPr>
        <w:tc>
          <w:tcPr>
            <w:tcW w:w="3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Harvey Partners, LLC</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280,000</w:t>
            </w:r>
          </w:p>
        </w:tc>
        <w:tc>
          <w:tcPr>
            <w:tcW w:w="900" w:type="dxa"/>
            <w:vAlign w:val="bottom"/>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551 Fifth Avenue, 36th Floor</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New York, NY 10176</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74"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774" w:right="239" w:bottom="1440" w:gutter="0" w:footer="0" w:header="0"/>
          <w:type w:val="continuous"/>
        </w:sectPr>
      </w:pPr>
    </w:p>
    <w:bookmarkStart w:id="51" w:name="page52"/>
    <w:bookmarkEnd w:id="51"/>
    <w:p>
      <w:pPr>
        <w:jc w:val="both"/>
        <w:ind w:firstLine="8"/>
        <w:spacing w:after="0" w:line="289" w:lineRule="auto"/>
        <w:tabs>
          <w:tab w:leader="none" w:pos="502" w:val="left"/>
        </w:tabs>
        <w:numPr>
          <w:ilvl w:val="0"/>
          <w:numId w:val="64"/>
        </w:numPr>
        <w:rPr>
          <w:rFonts w:ascii="Arial" w:cs="Arial" w:eastAsia="Arial" w:hAnsi="Arial"/>
          <w:sz w:val="19"/>
          <w:szCs w:val="19"/>
          <w:color w:val="auto"/>
        </w:rPr>
      </w:pPr>
      <w:r>
        <w:rPr>
          <w:rFonts w:ascii="Arial" w:cs="Arial" w:eastAsia="Arial" w:hAnsi="Arial"/>
          <w:sz w:val="19"/>
          <w:szCs w:val="19"/>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17, 2016,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5,071,613 shares of Common Stock and 2,188,771 shares of Class B Stock outstanding as of the close of business on October 17, 2016. Shares of Common Stock and Class B Stock subject to options, warrants or other rights that are exercisable or convertible within 60 days after October 17, 2016,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17" w:lineRule="exact"/>
        <w:rPr>
          <w:rFonts w:ascii="Arial" w:cs="Arial" w:eastAsia="Arial" w:hAnsi="Arial"/>
          <w:sz w:val="19"/>
          <w:szCs w:val="19"/>
          <w:color w:val="auto"/>
        </w:rPr>
      </w:pPr>
    </w:p>
    <w:p>
      <w:pPr>
        <w:ind w:left="480" w:hanging="472"/>
        <w:spacing w:after="0"/>
        <w:tabs>
          <w:tab w:leader="none" w:pos="4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Daniel S. Jaffee is Richard M. Jaffee’s son.</w:t>
      </w:r>
    </w:p>
    <w:p>
      <w:pPr>
        <w:spacing w:after="0" w:line="179" w:lineRule="exact"/>
        <w:rPr>
          <w:rFonts w:ascii="Arial" w:cs="Arial" w:eastAsia="Arial" w:hAnsi="Arial"/>
          <w:sz w:val="22"/>
          <w:szCs w:val="22"/>
          <w:color w:val="auto"/>
        </w:rPr>
      </w:pPr>
    </w:p>
    <w:p>
      <w:pPr>
        <w:ind w:firstLine="8"/>
        <w:spacing w:after="0" w:line="287" w:lineRule="auto"/>
        <w:tabs>
          <w:tab w:leader="none" w:pos="537" w:val="left"/>
        </w:tabs>
        <w:numPr>
          <w:ilvl w:val="0"/>
          <w:numId w:val="64"/>
        </w:numPr>
        <w:rPr>
          <w:rFonts w:ascii="Arial" w:cs="Arial" w:eastAsia="Arial" w:hAnsi="Arial"/>
          <w:sz w:val="21"/>
          <w:szCs w:val="21"/>
          <w:color w:val="auto"/>
        </w:rPr>
      </w:pPr>
      <w:r>
        <w:rPr>
          <w:rFonts w:ascii="Arial" w:cs="Arial" w:eastAsia="Arial" w:hAnsi="Arial"/>
          <w:sz w:val="21"/>
          <w:szCs w:val="21"/>
          <w:color w:val="auto"/>
        </w:rPr>
        <w:t>Consists of 290,895 shares held in a revocable trust of which Richard M. Jaffee is the grantor and, during his lifetime, the trustee and sole beneficiary, and 118,538 shares held in an irrevocable trust, of which he is currently the trustee.</w:t>
      </w:r>
    </w:p>
    <w:p>
      <w:pPr>
        <w:spacing w:after="0" w:line="111" w:lineRule="exact"/>
        <w:rPr>
          <w:rFonts w:ascii="Arial" w:cs="Arial" w:eastAsia="Arial" w:hAnsi="Arial"/>
          <w:sz w:val="21"/>
          <w:szCs w:val="21"/>
          <w:color w:val="auto"/>
        </w:rPr>
      </w:pPr>
    </w:p>
    <w:p>
      <w:pPr>
        <w:jc w:val="both"/>
        <w:ind w:firstLine="8"/>
        <w:spacing w:after="0" w:line="248" w:lineRule="auto"/>
        <w:tabs>
          <w:tab w:leader="none" w:pos="485" w:val="left"/>
        </w:tabs>
        <w:numPr>
          <w:ilvl w:val="0"/>
          <w:numId w:val="64"/>
        </w:numPr>
        <w:rPr>
          <w:rFonts w:ascii="Arial" w:cs="Arial" w:eastAsia="Arial" w:hAnsi="Arial"/>
          <w:sz w:val="22"/>
          <w:szCs w:val="22"/>
          <w:color w:val="auto"/>
        </w:rPr>
      </w:pPr>
      <w:r>
        <w:rPr>
          <w:rFonts w:ascii="Arial" w:cs="Arial" w:eastAsia="Arial" w:hAnsi="Arial"/>
          <w:sz w:val="22"/>
          <w:szCs w:val="22"/>
          <w:color w:val="auto"/>
        </w:rPr>
        <w:t>Jaffee Investment Partnership, L.P. is managed by its general partners, generally acting by a majority vote. One of the general partners, Richard M. Jaffee, has eight votes. Each of the remaining four general partners, Daniel S. Jaffee, Karen Jaffee Cofsky, Susan Jaffee and Nancy E. Jaffee, all children of Richard M. Jaffee, have three votes. Richard M. Jaffee, as the managing general partner, might be deemed to have, but disclaims, beneficial ownership of the partnership’s shares, which are not reflected in his share ownership shown in this table.</w:t>
      </w:r>
    </w:p>
    <w:p>
      <w:pPr>
        <w:spacing w:after="0" w:line="151" w:lineRule="exact"/>
        <w:rPr>
          <w:rFonts w:ascii="Arial" w:cs="Arial" w:eastAsia="Arial" w:hAnsi="Arial"/>
          <w:sz w:val="22"/>
          <w:szCs w:val="22"/>
          <w:color w:val="auto"/>
        </w:rPr>
      </w:pPr>
    </w:p>
    <w:p>
      <w:pPr>
        <w:ind w:left="480" w:hanging="472"/>
        <w:spacing w:after="0"/>
        <w:tabs>
          <w:tab w:leader="none" w:pos="4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Does not include shares beneficially owned by Jaffee Investment Partnership, L.P.</w:t>
      </w:r>
    </w:p>
    <w:p>
      <w:pPr>
        <w:spacing w:after="0" w:line="179" w:lineRule="exact"/>
        <w:rPr>
          <w:rFonts w:ascii="Arial" w:cs="Arial" w:eastAsia="Arial" w:hAnsi="Arial"/>
          <w:sz w:val="22"/>
          <w:szCs w:val="22"/>
          <w:color w:val="auto"/>
        </w:rPr>
      </w:pPr>
    </w:p>
    <w:p>
      <w:pPr>
        <w:jc w:val="both"/>
        <w:ind w:firstLine="8"/>
        <w:spacing w:after="0" w:line="251" w:lineRule="auto"/>
        <w:tabs>
          <w:tab w:leader="none" w:pos="531" w:val="left"/>
        </w:tabs>
        <w:numPr>
          <w:ilvl w:val="0"/>
          <w:numId w:val="64"/>
        </w:numPr>
        <w:rPr>
          <w:rFonts w:ascii="Arial" w:cs="Arial" w:eastAsia="Arial" w:hAnsi="Arial"/>
          <w:sz w:val="22"/>
          <w:szCs w:val="22"/>
          <w:color w:val="auto"/>
        </w:rPr>
      </w:pPr>
      <w:r>
        <w:rPr>
          <w:rFonts w:ascii="Arial" w:cs="Arial" w:eastAsia="Arial" w:hAnsi="Arial"/>
          <w:sz w:val="22"/>
          <w:szCs w:val="22"/>
          <w:color w:val="auto"/>
        </w:rPr>
        <w:t>Consists of 390,895 shares of Class B Stock directly owned by Daniel S. Jaffee (125,000 of which are restricted shares), 2 shares of Class B Stock owned by his spouse, 5,625 shares of Class B Stock he owns as trustee for his children and 125 shares of Class B Stock held in joint tenancy with his spouse. Of the 125,000 restricted shares of Class B Stock: (a) 25,000 shares became non-forfeitable on October 19, 2016 and (b) an additional 25,000 shares become non-forfeitable no earlier than on each of the four subsequent anniversaries of October 19, 2016.</w:t>
      </w:r>
    </w:p>
    <w:p>
      <w:pPr>
        <w:spacing w:after="0" w:line="149" w:lineRule="exact"/>
        <w:rPr>
          <w:rFonts w:ascii="Arial" w:cs="Arial" w:eastAsia="Arial" w:hAnsi="Arial"/>
          <w:sz w:val="22"/>
          <w:szCs w:val="22"/>
          <w:color w:val="auto"/>
        </w:rPr>
      </w:pPr>
    </w:p>
    <w:p>
      <w:pPr>
        <w:jc w:val="both"/>
        <w:ind w:firstLine="8"/>
        <w:spacing w:after="0" w:line="288" w:lineRule="auto"/>
        <w:tabs>
          <w:tab w:leader="none" w:pos="511"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Information is as provided by the reporting persons in a Schedule 13G/A filed with the SEC on February 9, 2016. Based on such Schedule 13G/A, Dimensional Fund Advisors LP (“Dimensional”), a registered investment adviser,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358,607 shares of Common Stock and sole dispositive power over 361,966 shares of Common Stock, Dimensional disclaims beneficial ownership of such shares and reports that all of these shares are owned by the Funds.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55" w:right="239" w:bottom="1440" w:gutter="0" w:footer="0" w:header="0"/>
        </w:sectPr>
      </w:pPr>
    </w:p>
    <w:bookmarkStart w:id="52" w:name="page53"/>
    <w:bookmarkEnd w:id="52"/>
    <w:p>
      <w:pPr>
        <w:jc w:val="both"/>
        <w:ind w:firstLine="8"/>
        <w:spacing w:after="0" w:line="288" w:lineRule="auto"/>
        <w:tabs>
          <w:tab w:leader="none" w:pos="538"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Information is as provided by the reporting persons in a Schedule 13D/A filed with the SEC on December 14, 2015. Such Schedule 13D/A filed by Gabelli Funds, LLC (“Gabelli Funds”), GAMCO Asset Management, Inc. (“GAMCO”), Teton Advisors, Inc. (“Teton Advisors”), GGCP, Inc. (“GGCP”), GAMCO Investors, Inc. (“GBL”), Associated Capital Group, Inc. and Mario J. Gabelli reports: (a) 144,000 shares of Common Stock beneficially owned by Gabelli Funds; (b) 550,554 shares of Common Stock beneficially owned by GAMCO; (c) 129,300 shares of Common Stock beneficially owned by Teton Advisors; and (d) 3,494 shares of Common Stock beneficially owned by GBL. The Schedule 13D/A reports that each such entity has sole voting and sole dispositive power over the shares reported as beneficially owned by it, except that: (i) Gabelli Funds has sole dispositive and voting power with respect to the shares held by such funds so long as the aggregate voting interest of all joint filers does not exceed 25% of their total voting interest in the Company; (ii) GAMCO does not have the authority to vote 38,500 of the reported shares; (iii) in certain circumstances, proxy voting committees of each fund may have voting power over the reported shares; and (iv) the power of Mario J. Gabelli, GBL and GGCP is indirect with respect to securities beneficially owned directly by other reporting persons.</w:t>
      </w:r>
    </w:p>
    <w:p>
      <w:pPr>
        <w:spacing w:after="0" w:line="114" w:lineRule="exact"/>
        <w:rPr>
          <w:rFonts w:ascii="Arial" w:cs="Arial" w:eastAsia="Arial" w:hAnsi="Arial"/>
          <w:sz w:val="19"/>
          <w:szCs w:val="19"/>
          <w:color w:val="auto"/>
        </w:rPr>
      </w:pPr>
    </w:p>
    <w:p>
      <w:pPr>
        <w:jc w:val="both"/>
        <w:ind w:firstLine="8"/>
        <w:spacing w:after="0" w:line="248" w:lineRule="auto"/>
        <w:tabs>
          <w:tab w:leader="none" w:pos="558"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Information is as provided by the reporting persons in a Schedule 13G/A filed with the SEC on February 11, 2016. Such Schedule 13G/A filed by Renaissance Technologies LLC, an investment adviser (“RTC”), and Renaissance Technologies Holdings Corporation, majority owner of RTC (“RTHC”), reports that RTC and RTHC have sole voting power over 396,455 shares of Common Stock, sole dispositive power over 400,825 shares of Common Stock, and shared dispositive power over 973 shares of Common Stock.</w:t>
      </w:r>
    </w:p>
    <w:p>
      <w:pPr>
        <w:spacing w:after="0" w:line="151" w:lineRule="exact"/>
        <w:rPr>
          <w:rFonts w:ascii="Arial" w:cs="Arial" w:eastAsia="Arial" w:hAnsi="Arial"/>
          <w:sz w:val="22"/>
          <w:szCs w:val="22"/>
          <w:color w:val="auto"/>
        </w:rPr>
      </w:pPr>
    </w:p>
    <w:p>
      <w:pPr>
        <w:jc w:val="both"/>
        <w:ind w:firstLine="8"/>
        <w:spacing w:after="0" w:line="247" w:lineRule="auto"/>
        <w:tabs>
          <w:tab w:leader="none" w:pos="646"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Information is as provided by the reporting persons in a Schedule 13G/A filed with the SEC on February 10, 2016. Such Schedule 13G/A filed by T. Rowe Price Associates, Inc., a registered investment adviser (“Price Associates”), and T. Rowe Price Small-Cap Value Fund, Inc. reports that Price Associates held sole voting power over 52,750 shares of Common Stock and sole dispositive power over 609,250 shares of Common Stock, and T. Rowe Price Small-Cap Value Fund, Inc. held sole voting power over 556,500 shares of Common Stock. Price Associates expressly disclaims that it is, in fact, the beneficial owner of such securities.</w:t>
      </w:r>
    </w:p>
    <w:p>
      <w:pPr>
        <w:spacing w:after="0" w:line="234" w:lineRule="exact"/>
        <w:rPr>
          <w:rFonts w:ascii="Arial" w:cs="Arial" w:eastAsia="Arial" w:hAnsi="Arial"/>
          <w:sz w:val="22"/>
          <w:szCs w:val="22"/>
          <w:color w:val="auto"/>
        </w:rPr>
      </w:pPr>
    </w:p>
    <w:p>
      <w:pPr>
        <w:jc w:val="both"/>
        <w:ind w:firstLine="8"/>
        <w:spacing w:after="0" w:line="292" w:lineRule="auto"/>
        <w:tabs>
          <w:tab w:leader="none" w:pos="579"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Information is as provided by the reporting persons in a Schedule 13G/A filed with the SEC on February 16, 2016. Based on such Schedule 13G/A, Harvey Partners, LLC (“Harvey Partners”) is the investment manager of the following entities, which hold the following number of shares of Common Stock: (a) Harvey SMidCap Fund, LP, which holds 81,139 shares of Common Stock; and (b) Harvey Master Fund, L.P., which holds 198,861 shares of Common Stock. As the investment manager of such entities, Harvey Partners possesses the sole power to vote and the sole power to direct the disposition of the aggregate 280,000 shares of Common Stock held by such entities. James A. Schwartz and Jeffrey C. Moskowitz, the managing members of Harvey Partners, share voting and investment power with respect to all securities beneficially owned by Harvey Partners.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8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Security Ownership of Management</w:t>
      </w:r>
    </w:p>
    <w:p>
      <w:pPr>
        <w:spacing w:after="0" w:line="18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following table shows the number of shares of Common Stock and Class B Stock beneficially owned as of October 17, 2016 by our directors, by the named executive officers and by our directors and named executive officers as a group.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6"/>
              </w:rPr>
              <w:t>Percentage of</w:t>
            </w:r>
          </w:p>
        </w:tc>
        <w:tc>
          <w:tcPr>
            <w:tcW w:w="2260" w:type="dxa"/>
            <w:vAlign w:val="bottom"/>
            <w:gridSpan w:val="3"/>
          </w:tcPr>
          <w:p>
            <w:pPr>
              <w:jc w:val="center"/>
              <w:ind w:right="200"/>
              <w:spacing w:after="0"/>
              <w:rPr>
                <w:sz w:val="20"/>
                <w:szCs w:val="20"/>
                <w:color w:val="auto"/>
              </w:rPr>
            </w:pPr>
            <w:r>
              <w:rPr>
                <w:rFonts w:ascii="Arial" w:cs="Arial" w:eastAsia="Arial" w:hAnsi="Arial"/>
                <w:sz w:val="20"/>
                <w:szCs w:val="20"/>
                <w:b w:val="1"/>
                <w:bCs w:val="1"/>
                <w:color w:val="auto"/>
                <w:w w:val="89"/>
              </w:rPr>
              <w:t>Number of Shares</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Percentage of</w:t>
            </w:r>
          </w:p>
        </w:tc>
      </w:tr>
      <w:tr>
        <w:trPr>
          <w:trHeight w:val="230"/>
        </w:trPr>
        <w:tc>
          <w:tcPr>
            <w:tcW w:w="3120" w:type="dxa"/>
            <w:vAlign w:val="bottom"/>
            <w:gridSpan w:val="2"/>
          </w:tcPr>
          <w:p>
            <w:pPr>
              <w:ind w:left="340"/>
              <w:spacing w:after="0"/>
              <w:rPr>
                <w:sz w:val="20"/>
                <w:szCs w:val="20"/>
                <w:color w:val="auto"/>
              </w:rPr>
            </w:pPr>
            <w:r>
              <w:rPr>
                <w:rFonts w:ascii="Arial" w:cs="Arial" w:eastAsia="Arial" w:hAnsi="Arial"/>
                <w:sz w:val="20"/>
                <w:szCs w:val="20"/>
                <w:b w:val="1"/>
                <w:bCs w:val="1"/>
                <w:color w:val="auto"/>
              </w:rPr>
              <w:t>Name of Beneficial Owner</w:t>
            </w:r>
          </w:p>
        </w:tc>
        <w:tc>
          <w:tcPr>
            <w:tcW w:w="246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89"/>
              </w:rPr>
              <w:t>Number of Shares of</w:t>
            </w: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9"/>
              </w:rPr>
              <w:t>Outstanding</w:t>
            </w:r>
          </w:p>
        </w:tc>
        <w:tc>
          <w:tcPr>
            <w:tcW w:w="226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86"/>
              </w:rPr>
              <w:t>of Class B Stock</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9"/>
              </w:rPr>
              <w:t>Outstanding</w:t>
            </w:r>
          </w:p>
        </w:tc>
      </w:tr>
      <w:tr>
        <w:trPr>
          <w:trHeight w:val="256"/>
        </w:trPr>
        <w:tc>
          <w:tcPr>
            <w:tcW w:w="2920" w:type="dxa"/>
            <w:vAlign w:val="bottom"/>
          </w:tcPr>
          <w:p>
            <w:pPr>
              <w:ind w:left="1340"/>
              <w:spacing w:after="0"/>
              <w:rPr>
                <w:sz w:val="20"/>
                <w:szCs w:val="20"/>
                <w:color w:val="auto"/>
              </w:rPr>
            </w:pPr>
            <w:r>
              <w:rPr>
                <w:rFonts w:ascii="Arial" w:cs="Arial" w:eastAsia="Arial" w:hAnsi="Arial"/>
                <w:sz w:val="20"/>
                <w:szCs w:val="20"/>
                <w:b w:val="1"/>
                <w:bCs w:val="1"/>
                <w:color w:val="auto"/>
              </w:rPr>
              <w:t>(1)</w:t>
            </w:r>
          </w:p>
        </w:tc>
        <w:tc>
          <w:tcPr>
            <w:tcW w:w="200" w:type="dxa"/>
            <w:vAlign w:val="bottom"/>
          </w:tcPr>
          <w:p>
            <w:pPr>
              <w:spacing w:after="0"/>
              <w:rPr>
                <w:sz w:val="22"/>
                <w:szCs w:val="22"/>
                <w:color w:val="auto"/>
              </w:rPr>
            </w:pPr>
          </w:p>
        </w:tc>
        <w:tc>
          <w:tcPr>
            <w:tcW w:w="2460" w:type="dxa"/>
            <w:vAlign w:val="bottom"/>
            <w:gridSpan w:val="3"/>
          </w:tcPr>
          <w:p>
            <w:pPr>
              <w:jc w:val="center"/>
              <w:ind w:right="160"/>
              <w:spacing w:after="0"/>
              <w:rPr>
                <w:sz w:val="20"/>
                <w:szCs w:val="20"/>
                <w:color w:val="auto"/>
              </w:rPr>
            </w:pPr>
            <w:r>
              <w:rPr>
                <w:rFonts w:ascii="Arial" w:cs="Arial" w:eastAsia="Arial" w:hAnsi="Arial"/>
                <w:sz w:val="20"/>
                <w:szCs w:val="20"/>
                <w:b w:val="1"/>
                <w:bCs w:val="1"/>
                <w:color w:val="auto"/>
                <w:w w:val="88"/>
              </w:rPr>
              <w:t>Common Stock</w:t>
            </w: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8"/>
              </w:rPr>
              <w:t>Common Stock</w:t>
            </w:r>
          </w:p>
        </w:tc>
        <w:tc>
          <w:tcPr>
            <w:tcW w:w="1380" w:type="dxa"/>
            <w:vAlign w:val="bottom"/>
          </w:tcPr>
          <w:p>
            <w:pPr>
              <w:jc w:val="center"/>
              <w:ind w:left="594"/>
              <w:spacing w:after="0"/>
              <w:rPr>
                <w:sz w:val="20"/>
                <w:szCs w:val="20"/>
                <w:color w:val="auto"/>
              </w:rPr>
            </w:pPr>
            <w:r>
              <w:rPr>
                <w:rFonts w:ascii="Arial" w:cs="Arial" w:eastAsia="Arial" w:hAnsi="Arial"/>
                <w:sz w:val="20"/>
                <w:szCs w:val="20"/>
                <w:b w:val="1"/>
                <w:bCs w:val="1"/>
                <w:color w:val="auto"/>
                <w:w w:val="97"/>
              </w:rPr>
              <w:t>(2)</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Class B Stock</w:t>
            </w:r>
          </w:p>
        </w:tc>
      </w:tr>
      <w:tr>
        <w:trPr>
          <w:trHeight w:val="23"/>
        </w:trPr>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91"/>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Richard M. Jaffee (3)</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409,558</w:t>
            </w:r>
          </w:p>
        </w:tc>
        <w:tc>
          <w:tcPr>
            <w:tcW w:w="6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(4)</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18.69%</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Daniel S. Jaffee (3)</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390,895</w:t>
            </w:r>
          </w:p>
        </w:tc>
        <w:tc>
          <w:tcPr>
            <w:tcW w:w="660" w:type="dxa"/>
            <w:vAlign w:val="bottom"/>
          </w:tcPr>
          <w:p>
            <w:pPr>
              <w:jc w:val="center"/>
              <w:spacing w:after="0"/>
              <w:rPr>
                <w:sz w:val="20"/>
                <w:szCs w:val="20"/>
                <w:color w:val="auto"/>
              </w:rPr>
            </w:pPr>
            <w:r>
              <w:rPr>
                <w:rFonts w:ascii="Arial" w:cs="Arial" w:eastAsia="Arial" w:hAnsi="Arial"/>
                <w:sz w:val="22"/>
                <w:szCs w:val="22"/>
                <w:color w:val="auto"/>
                <w:w w:val="89"/>
              </w:rPr>
              <w:t>(4)</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17.84%</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 (3)</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586</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(5)</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64,453</w:t>
            </w:r>
          </w:p>
        </w:tc>
        <w:tc>
          <w:tcPr>
            <w:tcW w:w="6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(6)</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2.94%</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J. Steven Cole</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26,500</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(7)</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Joseph C. Miller</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19,034</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(8)</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Michael A. Nemeroff</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20,401</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George C. Roeth</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w:t>
            </w: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Allan H. Selig</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25,000</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Paul E. Suckow</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18,628</w:t>
            </w: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Lawrence E. Washow</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6,500</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(9)</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T. Smith</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9,651</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(10)</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3,500</w:t>
            </w:r>
          </w:p>
        </w:tc>
        <w:tc>
          <w:tcPr>
            <w:tcW w:w="640" w:type="dxa"/>
            <w:vAlign w:val="bottom"/>
          </w:tcPr>
          <w:p>
            <w:pPr>
              <w:jc w:val="center"/>
              <w:spacing w:after="0"/>
              <w:rPr>
                <w:sz w:val="20"/>
                <w:szCs w:val="20"/>
                <w:color w:val="auto"/>
              </w:rPr>
            </w:pPr>
            <w:r>
              <w:rPr>
                <w:rFonts w:ascii="Arial" w:cs="Arial" w:eastAsia="Arial" w:hAnsi="Arial"/>
                <w:sz w:val="22"/>
                <w:szCs w:val="22"/>
                <w:color w:val="auto"/>
                <w:w w:val="86"/>
              </w:rPr>
              <w:t>(11)</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12,000</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(12)</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49"/>
        </w:trPr>
        <w:tc>
          <w:tcPr>
            <w:tcW w:w="3120" w:type="dxa"/>
            <w:vAlign w:val="bottom"/>
            <w:gridSpan w:val="2"/>
          </w:tcPr>
          <w:p>
            <w:pPr>
              <w:ind w:left="40"/>
              <w:spacing w:after="0" w:line="248" w:lineRule="exact"/>
              <w:rPr>
                <w:sz w:val="20"/>
                <w:szCs w:val="20"/>
                <w:color w:val="auto"/>
              </w:rPr>
            </w:pPr>
            <w:r>
              <w:rPr>
                <w:rFonts w:ascii="Arial" w:cs="Arial" w:eastAsia="Arial" w:hAnsi="Arial"/>
                <w:sz w:val="22"/>
                <w:szCs w:val="22"/>
                <w:color w:val="auto"/>
              </w:rPr>
              <w:t>All Directors and Named</w:t>
            </w: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5"/>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Executive Officers as a Group</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141,800</w:t>
            </w:r>
          </w:p>
        </w:tc>
        <w:tc>
          <w:tcPr>
            <w:tcW w:w="640" w:type="dxa"/>
            <w:vAlign w:val="bottom"/>
          </w:tcPr>
          <w:p>
            <w:pPr>
              <w:jc w:val="center"/>
              <w:spacing w:after="0"/>
              <w:rPr>
                <w:sz w:val="20"/>
                <w:szCs w:val="20"/>
                <w:color w:val="auto"/>
              </w:rPr>
            </w:pPr>
            <w:r>
              <w:rPr>
                <w:rFonts w:ascii="Arial" w:cs="Arial" w:eastAsia="Arial" w:hAnsi="Arial"/>
                <w:sz w:val="22"/>
                <w:szCs w:val="22"/>
                <w:color w:val="auto"/>
                <w:w w:val="91"/>
              </w:rPr>
              <w:t>(13)</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22"/>
                <w:szCs w:val="22"/>
                <w:color w:val="auto"/>
              </w:rPr>
              <w:t>2.80%</w:t>
            </w:r>
          </w:p>
        </w:tc>
        <w:tc>
          <w:tcPr>
            <w:tcW w:w="200" w:type="dxa"/>
            <w:vAlign w:val="bottom"/>
          </w:tcPr>
          <w:p>
            <w:pPr>
              <w:spacing w:after="0"/>
              <w:rPr>
                <w:sz w:val="23"/>
                <w:szCs w:val="23"/>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864,906</w:t>
            </w:r>
          </w:p>
        </w:tc>
        <w:tc>
          <w:tcPr>
            <w:tcW w:w="660" w:type="dxa"/>
            <w:vAlign w:val="bottom"/>
          </w:tcPr>
          <w:p>
            <w:pPr>
              <w:jc w:val="center"/>
              <w:spacing w:after="0"/>
              <w:rPr>
                <w:sz w:val="20"/>
                <w:szCs w:val="20"/>
                <w:color w:val="auto"/>
              </w:rPr>
            </w:pPr>
            <w:r>
              <w:rPr>
                <w:rFonts w:ascii="Arial" w:cs="Arial" w:eastAsia="Arial" w:hAnsi="Arial"/>
                <w:sz w:val="22"/>
                <w:szCs w:val="22"/>
                <w:color w:val="auto"/>
                <w:w w:val="91"/>
              </w:rPr>
              <w:t>(14)</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39.48%</w:t>
            </w:r>
          </w:p>
        </w:tc>
      </w:tr>
    </w:tbl>
    <w:p>
      <w:pPr>
        <w:spacing w:after="0" w:line="266" w:lineRule="exact"/>
        <w:rPr>
          <w:sz w:val="20"/>
          <w:szCs w:val="20"/>
          <w:color w:val="auto"/>
        </w:rPr>
      </w:pPr>
    </w:p>
    <w:p>
      <w:pPr>
        <w:ind w:left="720" w:hanging="172"/>
        <w:spacing w:after="0"/>
        <w:tabs>
          <w:tab w:leader="none" w:pos="720" w:val="left"/>
        </w:tabs>
        <w:numPr>
          <w:ilvl w:val="1"/>
          <w:numId w:val="66"/>
        </w:numPr>
        <w:rPr>
          <w:rFonts w:ascii="Arial" w:cs="Arial" w:eastAsia="Arial" w:hAnsi="Arial"/>
          <w:sz w:val="22"/>
          <w:szCs w:val="22"/>
          <w:color w:val="auto"/>
        </w:rPr>
      </w:pPr>
      <w:r>
        <w:rPr>
          <w:rFonts w:ascii="Arial" w:cs="Arial" w:eastAsia="Arial" w:hAnsi="Arial"/>
          <w:sz w:val="22"/>
          <w:szCs w:val="22"/>
          <w:color w:val="auto"/>
        </w:rPr>
        <w:t>Does not exceed 1%</w:t>
      </w:r>
    </w:p>
    <w:p>
      <w:pPr>
        <w:spacing w:after="0" w:line="179" w:lineRule="exact"/>
        <w:rPr>
          <w:rFonts w:ascii="Arial" w:cs="Arial" w:eastAsia="Arial" w:hAnsi="Arial"/>
          <w:sz w:val="22"/>
          <w:szCs w:val="22"/>
          <w:color w:val="auto"/>
        </w:rPr>
      </w:pPr>
    </w:p>
    <w:p>
      <w:pPr>
        <w:jc w:val="both"/>
        <w:ind w:firstLine="8"/>
        <w:spacing w:after="0" w:line="288" w:lineRule="auto"/>
        <w:tabs>
          <w:tab w:leader="none" w:pos="502" w:val="left"/>
        </w:tabs>
        <w:numPr>
          <w:ilvl w:val="0"/>
          <w:numId w:val="66"/>
        </w:numPr>
        <w:rPr>
          <w:rFonts w:ascii="Arial" w:cs="Arial" w:eastAsia="Arial" w:hAnsi="Arial"/>
          <w:sz w:val="19"/>
          <w:szCs w:val="19"/>
          <w:color w:val="auto"/>
        </w:rPr>
      </w:pPr>
      <w:r>
        <w:rPr>
          <w:rFonts w:ascii="Arial" w:cs="Arial" w:eastAsia="Arial" w:hAnsi="Arial"/>
          <w:sz w:val="19"/>
          <w:szCs w:val="19"/>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17, 2016,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5,071,613 shares of Common Stock and 2,188,771 shares of Class B Stock outstanding as of the close of business on October 17, 2016. Shares of Common Stock and Class B Stock subject to options, warrants or other rights that are exercisable or convertible within 60 days after October 17, 2016,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19" w:lineRule="exact"/>
        <w:rPr>
          <w:rFonts w:ascii="Arial" w:cs="Arial" w:eastAsia="Arial" w:hAnsi="Arial"/>
          <w:sz w:val="19"/>
          <w:szCs w:val="19"/>
          <w:color w:val="auto"/>
        </w:rPr>
      </w:pPr>
    </w:p>
    <w:p>
      <w:pPr>
        <w:ind w:firstLine="8"/>
        <w:spacing w:after="0" w:line="263" w:lineRule="auto"/>
        <w:tabs>
          <w:tab w:leader="none" w:pos="5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Except for Richard M. Jaffee, Daniel S. Jaffee and Thomas F. Cofsky, none of our directors or executive officers, including the named executive officers, own any shares of Class B Stock.</w:t>
      </w:r>
    </w:p>
    <w:p>
      <w:pPr>
        <w:spacing w:after="0" w:line="134" w:lineRule="exact"/>
        <w:rPr>
          <w:rFonts w:ascii="Arial" w:cs="Arial" w:eastAsia="Arial" w:hAnsi="Arial"/>
          <w:sz w:val="22"/>
          <w:szCs w:val="22"/>
          <w:color w:val="auto"/>
        </w:rPr>
      </w:pPr>
    </w:p>
    <w:p>
      <w:pPr>
        <w:ind w:left="480" w:hanging="472"/>
        <w:spacing w:after="0"/>
        <w:tabs>
          <w:tab w:leader="none" w:pos="4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Thomas F. Cofsky is Richard M. Jaffee’s son-in-law and Daniel S. Jaffee’s brother-in-law.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74" w:right="239" w:bottom="1440" w:gutter="0" w:footer="0" w:header="0"/>
        </w:sectPr>
      </w:pPr>
    </w:p>
    <w:bookmarkStart w:id="54" w:name="page55"/>
    <w:bookmarkEnd w:id="54"/>
    <w:p>
      <w:pPr>
        <w:ind w:right="20" w:firstLine="8"/>
        <w:spacing w:after="0" w:line="263" w:lineRule="auto"/>
        <w:tabs>
          <w:tab w:leader="none" w:pos="591" w:val="left"/>
        </w:tabs>
        <w:numPr>
          <w:ilvl w:val="0"/>
          <w:numId w:val="67"/>
        </w:numPr>
        <w:rPr>
          <w:rFonts w:ascii="Arial" w:cs="Arial" w:eastAsia="Arial" w:hAnsi="Arial"/>
          <w:sz w:val="22"/>
          <w:szCs w:val="22"/>
          <w:color w:val="auto"/>
        </w:rPr>
      </w:pPr>
      <w:r>
        <w:rPr>
          <w:rFonts w:ascii="Arial" w:cs="Arial" w:eastAsia="Arial" w:hAnsi="Arial"/>
          <w:sz w:val="22"/>
          <w:szCs w:val="22"/>
          <w:color w:val="auto"/>
        </w:rPr>
        <w:t>For information regarding the shares beneficially owned by Richard M. Jaffee and Daniel S. Jaffee, see the table under “Principal Stockholders” above and the notes thereto.</w:t>
      </w:r>
    </w:p>
    <w:p>
      <w:pPr>
        <w:spacing w:after="0" w:line="134" w:lineRule="exact"/>
        <w:rPr>
          <w:rFonts w:ascii="Arial" w:cs="Arial" w:eastAsia="Arial" w:hAnsi="Arial"/>
          <w:sz w:val="22"/>
          <w:szCs w:val="22"/>
          <w:color w:val="auto"/>
        </w:rPr>
      </w:pPr>
    </w:p>
    <w:p>
      <w:pPr>
        <w:ind w:left="480" w:hanging="472"/>
        <w:spacing w:after="0"/>
        <w:tabs>
          <w:tab w:leader="none" w:pos="4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Consists of 512 shares of Common Stock owned by Mr. Cofsky and 74 shares of Common Stock owned by his spouse.</w:t>
      </w:r>
    </w:p>
    <w:p>
      <w:pPr>
        <w:spacing w:after="0" w:line="213" w:lineRule="exact"/>
        <w:rPr>
          <w:rFonts w:ascii="Arial" w:cs="Arial" w:eastAsia="Arial" w:hAnsi="Arial"/>
          <w:sz w:val="19"/>
          <w:szCs w:val="19"/>
          <w:color w:val="auto"/>
        </w:rPr>
      </w:pPr>
    </w:p>
    <w:p>
      <w:pPr>
        <w:jc w:val="both"/>
        <w:ind w:firstLine="8"/>
        <w:spacing w:after="0" w:line="312" w:lineRule="auto"/>
        <w:tabs>
          <w:tab w:leader="none" w:pos="483" w:val="left"/>
        </w:tabs>
        <w:numPr>
          <w:ilvl w:val="0"/>
          <w:numId w:val="67"/>
        </w:numPr>
        <w:rPr>
          <w:rFonts w:ascii="Arial" w:cs="Arial" w:eastAsia="Arial" w:hAnsi="Arial"/>
          <w:sz w:val="19"/>
          <w:szCs w:val="19"/>
          <w:color w:val="auto"/>
        </w:rPr>
      </w:pPr>
      <w:r>
        <w:rPr>
          <w:rFonts w:ascii="Arial" w:cs="Arial" w:eastAsia="Arial" w:hAnsi="Arial"/>
          <w:sz w:val="19"/>
          <w:szCs w:val="19"/>
          <w:color w:val="auto"/>
        </w:rPr>
        <w:t>Consists of 11,835 shares of Class B Stock directly owned by Thomas F. Cofsky (1,000 of which are restricted shares that are scheduled to “cliff” vest in full on October 19, 2018), 42,867 shares of Class B Stock owned by his spouse, 9,375 shares of Class B Stock his spouse owns as trustee for their children, and 376 shares of Class B Stock held in joint tenancy with his spouse.</w:t>
      </w:r>
    </w:p>
    <w:p>
      <w:pPr>
        <w:spacing w:after="0" w:line="93" w:lineRule="exact"/>
        <w:rPr>
          <w:rFonts w:ascii="Arial" w:cs="Arial" w:eastAsia="Arial" w:hAnsi="Arial"/>
          <w:sz w:val="19"/>
          <w:szCs w:val="19"/>
          <w:color w:val="auto"/>
        </w:rPr>
      </w:pPr>
    </w:p>
    <w:p>
      <w:pPr>
        <w:ind w:left="480" w:hanging="472"/>
        <w:spacing w:after="0"/>
        <w:tabs>
          <w:tab w:leader="none" w:pos="4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Consists of 25,200 shares of Common Stock owned by Mr. Cole and 1,300 shares of Common Stock owned by his spouse.</w:t>
      </w:r>
    </w:p>
    <w:p>
      <w:pPr>
        <w:spacing w:after="0" w:line="213" w:lineRule="exact"/>
        <w:rPr>
          <w:rFonts w:ascii="Arial" w:cs="Arial" w:eastAsia="Arial" w:hAnsi="Arial"/>
          <w:sz w:val="19"/>
          <w:szCs w:val="19"/>
          <w:color w:val="auto"/>
        </w:rPr>
      </w:pPr>
    </w:p>
    <w:p>
      <w:pPr>
        <w:ind w:left="480" w:hanging="472"/>
        <w:spacing w:after="0"/>
        <w:tabs>
          <w:tab w:leader="none" w:pos="4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Includes 16,525 shares of Common Stock held by Mr. Miller as trustee for the benefit of his spouse.</w:t>
      </w:r>
    </w:p>
    <w:p>
      <w:pPr>
        <w:spacing w:after="0" w:line="179" w:lineRule="exact"/>
        <w:rPr>
          <w:rFonts w:ascii="Arial" w:cs="Arial" w:eastAsia="Arial" w:hAnsi="Arial"/>
          <w:sz w:val="22"/>
          <w:szCs w:val="22"/>
          <w:color w:val="auto"/>
        </w:rPr>
      </w:pPr>
    </w:p>
    <w:p>
      <w:pPr>
        <w:ind w:left="480" w:hanging="472"/>
        <w:spacing w:after="0"/>
        <w:tabs>
          <w:tab w:leader="none" w:pos="4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Includes 1,500 restricted shares of Common Stock awarded on December 15, 2014, scheduled to vest on December 15, 2017.</w:t>
      </w:r>
    </w:p>
    <w:p>
      <w:pPr>
        <w:spacing w:after="0" w:line="213" w:lineRule="exact"/>
        <w:rPr>
          <w:rFonts w:ascii="Arial" w:cs="Arial" w:eastAsia="Arial" w:hAnsi="Arial"/>
          <w:sz w:val="19"/>
          <w:szCs w:val="19"/>
          <w:color w:val="auto"/>
        </w:rPr>
      </w:pPr>
    </w:p>
    <w:p>
      <w:pPr>
        <w:ind w:left="580" w:hanging="572"/>
        <w:spacing w:after="0"/>
        <w:tabs>
          <w:tab w:leader="none" w:pos="5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Includes 7,500 restricted shares of Common Stock awarded on September 9, 2015, scheduled to vest on October 19, 2020.</w:t>
      </w:r>
    </w:p>
    <w:p>
      <w:pPr>
        <w:spacing w:after="0" w:line="213" w:lineRule="exact"/>
        <w:rPr>
          <w:rFonts w:ascii="Arial" w:cs="Arial" w:eastAsia="Arial" w:hAnsi="Arial"/>
          <w:sz w:val="19"/>
          <w:szCs w:val="19"/>
          <w:color w:val="auto"/>
        </w:rPr>
      </w:pPr>
    </w:p>
    <w:p>
      <w:pPr>
        <w:ind w:left="580" w:hanging="572"/>
        <w:spacing w:after="0"/>
        <w:tabs>
          <w:tab w:leader="none" w:pos="5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Includes 500 restricted shares of Common Stock awarded on September 9, 2015, scheduled to vest on October 19, 2018.</w:t>
      </w:r>
    </w:p>
    <w:p>
      <w:pPr>
        <w:spacing w:after="0" w:line="213" w:lineRule="exact"/>
        <w:rPr>
          <w:rFonts w:ascii="Arial" w:cs="Arial" w:eastAsia="Arial" w:hAnsi="Arial"/>
          <w:sz w:val="19"/>
          <w:szCs w:val="19"/>
          <w:color w:val="auto"/>
        </w:rPr>
      </w:pPr>
    </w:p>
    <w:p>
      <w:pPr>
        <w:ind w:left="640" w:hanging="632"/>
        <w:spacing w:after="0"/>
        <w:tabs>
          <w:tab w:leader="none" w:pos="6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Consists of 12,000 restricted shares of Common Stock awarded on April 7, 2014, scheduled to vest on April 7, 2019.</w:t>
      </w:r>
    </w:p>
    <w:p>
      <w:pPr>
        <w:spacing w:after="0" w:line="213" w:lineRule="exact"/>
        <w:rPr>
          <w:rFonts w:ascii="Arial" w:cs="Arial" w:eastAsia="Arial" w:hAnsi="Arial"/>
          <w:sz w:val="19"/>
          <w:szCs w:val="19"/>
          <w:color w:val="auto"/>
        </w:rPr>
      </w:pPr>
    </w:p>
    <w:p>
      <w:pPr>
        <w:jc w:val="both"/>
        <w:ind w:firstLine="8"/>
        <w:spacing w:after="0" w:line="297" w:lineRule="auto"/>
        <w:tabs>
          <w:tab w:leader="none" w:pos="612"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Includes 21,500 restricted shares of Common Stock: (a) 1,500 of which become non-forfeitable on December 15, 2017, (b) 500 of which become non-forfeitable on October 19, 2018, (c) 12,000 of which become non-forfeitable on April 7, 2019 and (d) 7,500 of which become non-forfeitable on October 19, 2020. The number of shares of Common Stock owned beneficially by our directors and named executive officers as a group represents approximately 2.8% of the number of outstanding shares of Common Stock and approximately 0.5% of the aggregate voting power of the Common Stock and Class B Stock.</w:t>
      </w:r>
    </w:p>
    <w:p>
      <w:pPr>
        <w:spacing w:after="0" w:line="106" w:lineRule="exact"/>
        <w:rPr>
          <w:rFonts w:ascii="Arial" w:cs="Arial" w:eastAsia="Arial" w:hAnsi="Arial"/>
          <w:sz w:val="19"/>
          <w:szCs w:val="19"/>
          <w:color w:val="auto"/>
        </w:rPr>
      </w:pPr>
    </w:p>
    <w:p>
      <w:pPr>
        <w:ind w:left="660" w:hanging="652"/>
        <w:spacing w:after="0"/>
        <w:tabs>
          <w:tab w:leader="none" w:pos="6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Includes 126,000 restricted shares of Class B Stock: (a) 1,000 of which become non-forfeitable on October 19, 2018, (b)</w:t>
      </w:r>
    </w:p>
    <w:p>
      <w:pPr>
        <w:spacing w:after="0" w:line="56" w:lineRule="exact"/>
        <w:rPr>
          <w:rFonts w:ascii="Arial" w:cs="Arial" w:eastAsia="Arial" w:hAnsi="Arial"/>
          <w:sz w:val="19"/>
          <w:szCs w:val="19"/>
          <w:color w:val="auto"/>
        </w:rPr>
      </w:pPr>
    </w:p>
    <w:p>
      <w:pPr>
        <w:jc w:val="both"/>
        <w:spacing w:after="0" w:line="258" w:lineRule="auto"/>
        <w:rPr>
          <w:rFonts w:ascii="Arial" w:cs="Arial" w:eastAsia="Arial" w:hAnsi="Arial"/>
          <w:sz w:val="19"/>
          <w:szCs w:val="19"/>
          <w:color w:val="auto"/>
        </w:rPr>
      </w:pPr>
      <w:r>
        <w:rPr>
          <w:rFonts w:ascii="Arial" w:cs="Arial" w:eastAsia="Arial" w:hAnsi="Arial"/>
          <w:sz w:val="21"/>
          <w:szCs w:val="21"/>
          <w:color w:val="auto"/>
        </w:rPr>
        <w:t>25,000 shares became non-forfeitable on October 19, 2016 and (c) an additional 25,000 shares become non-forfeitable no earlier than on each of the four subsequent anniversaries of October 19, 2016.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named executive officers as a group represents approximately 39.5% of the number of outstanding shares of Class B Stock and approximately 32.1% of the aggregate voting power of the Common Stock and Class B Stock.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80"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2016, all reportable transactions were reported and all required reports were timely filed with the SEC except for one transaction of Paul E. Suckow that was not reported on a timely basis on a Form 4 as a result of an administrative error, but which was subsequently reported on a Form 4.</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25" w:right="239" w:bottom="1440"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500380</wp:posOffset>
            </wp:positionV>
            <wp:extent cx="5866130" cy="7589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500380</wp:posOffset>
            </wp:positionV>
            <wp:extent cx="5866130" cy="7589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o"/>
      <w:numFmt w:val="bullet"/>
      <w:start w:val="1"/>
    </w:lvl>
  </w:abstractNum>
  <w:abstractNum w:abstractNumId="1">
    <w:nsid w:val="419AC241"/>
    <w:multiLevelType w:val="hybridMultilevel"/>
    <w:lvl w:ilvl="0">
      <w:lvlJc w:val="left"/>
      <w:lvlText w:val="x"/>
      <w:numFmt w:val="bullet"/>
      <w:start w:val="1"/>
    </w:lvl>
  </w:abstractNum>
  <w:abstractNum w:abstractNumId="2">
    <w:nsid w:val="5577F8E1"/>
    <w:multiLevelType w:val="hybridMultilevel"/>
    <w:lvl w:ilvl="0">
      <w:lvlJc w:val="left"/>
      <w:lvlText w:val="o"/>
      <w:numFmt w:val="bullet"/>
      <w:start w:val="1"/>
    </w:lvl>
  </w:abstractNum>
  <w:abstractNum w:abstractNumId="3">
    <w:nsid w:val="440BADFC"/>
    <w:multiLevelType w:val="hybridMultilevel"/>
    <w:lvl w:ilvl="0">
      <w:lvlJc w:val="left"/>
      <w:lvlText w:val="x"/>
      <w:numFmt w:val="bullet"/>
      <w:start w:val="1"/>
    </w:lvl>
  </w:abstractNum>
  <w:abstractNum w:abstractNumId="4">
    <w:nsid w:val="5072367"/>
    <w:multiLevelType w:val="hybridMultilevel"/>
    <w:lvl w:ilvl="0">
      <w:lvlJc w:val="left"/>
      <w:lvlText w:val="o"/>
      <w:numFmt w:val="bullet"/>
      <w:start w:val="1"/>
    </w:lvl>
  </w:abstractNum>
  <w:abstractNum w:abstractNumId="5">
    <w:nsid w:val="3804823E"/>
    <w:multiLevelType w:val="hybridMultilevel"/>
    <w:lvl w:ilvl="0">
      <w:lvlJc w:val="left"/>
      <w:lvlText w:val="1"/>
      <w:numFmt w:val="bullet"/>
      <w:start w:val="1"/>
    </w:lvl>
  </w:abstractNum>
  <w:abstractNum w:abstractNumId="6">
    <w:nsid w:val="77465F01"/>
    <w:multiLevelType w:val="hybridMultilevel"/>
    <w:lvl w:ilvl="0">
      <w:lvlJc w:val="left"/>
      <w:lvlText w:val="3"/>
      <w:numFmt w:val="bullet"/>
      <w:start w:val="1"/>
    </w:lvl>
  </w:abstractNum>
  <w:abstractNum w:abstractNumId="7">
    <w:nsid w:val="7724C67E"/>
    <w:multiLevelType w:val="hybridMultilevel"/>
    <w:lvl w:ilvl="0">
      <w:lvlJc w:val="left"/>
      <w:lvlText w:val="4"/>
      <w:numFmt w:val="bullet"/>
      <w:start w:val="1"/>
    </w:lvl>
  </w:abstractNum>
  <w:abstractNum w:abstractNumId="8">
    <w:nsid w:val="5C482A97"/>
    <w:multiLevelType w:val="hybridMultilevel"/>
    <w:lvl w:ilvl="0">
      <w:lvlJc w:val="left"/>
      <w:lvlText w:val="o"/>
      <w:numFmt w:val="bullet"/>
      <w:start w:val="1"/>
    </w:lvl>
  </w:abstractNum>
  <w:abstractNum w:abstractNumId="9">
    <w:nsid w:val="2463B9EA"/>
    <w:multiLevelType w:val="hybridMultilevel"/>
    <w:lvl w:ilvl="0">
      <w:lvlJc w:val="left"/>
      <w:lvlText w:val="1"/>
      <w:numFmt w:val="bullet"/>
      <w:start w:val="1"/>
    </w:lvl>
  </w:abstractNum>
  <w:abstractNum w:abstractNumId="10">
    <w:nsid w:val="5E884ADC"/>
    <w:multiLevelType w:val="hybridMultilevel"/>
    <w:lvl w:ilvl="0">
      <w:lvlJc w:val="left"/>
      <w:lvlText w:val="2"/>
      <w:numFmt w:val="bullet"/>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1."/>
      <w:numFmt w:val="decimal"/>
      <w:start w:val="2"/>
    </w:lvl>
  </w:abstractNum>
  <w:abstractNum w:abstractNumId="13">
    <w:nsid w:val="580BD78F"/>
    <w:multiLevelType w:val="hybridMultilevel"/>
    <w:lvl w:ilvl="0">
      <w:lvlJc w:val="left"/>
      <w:lvlText w:val="%1."/>
      <w:numFmt w:val="decimal"/>
      <w:start w:val="4"/>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1."/>
      <w:numFmt w:val="decimal"/>
      <w:start w:val="6"/>
    </w:lvl>
    <w:lvl w:ilvl="1">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decimal"/>
      <w:start w:val="11"/>
    </w:lvl>
  </w:abstractNum>
  <w:abstractNum w:abstractNumId="18">
    <w:nsid w:val="2A487CB0"/>
    <w:multiLevelType w:val="hybridMultilevel"/>
    <w:lvl w:ilvl="0">
      <w:lvlJc w:val="left"/>
      <w:lvlText w:val="%1."/>
      <w:numFmt w:val="decimal"/>
      <w:start w:val="14"/>
    </w:lvl>
  </w:abstractNum>
  <w:abstractNum w:abstractNumId="19">
    <w:nsid w:val="1D4ED43B"/>
    <w:multiLevelType w:val="hybridMultilevel"/>
    <w:lvl w:ilvl="0">
      <w:lvlJc w:val="left"/>
      <w:lvlText w:val="%1."/>
      <w:numFmt w:val="decimal"/>
      <w:start w:val="15"/>
    </w:lvl>
  </w:abstractNum>
  <w:abstractNum w:abstractNumId="20">
    <w:nsid w:val="725A06FB"/>
    <w:multiLevelType w:val="hybridMultilevel"/>
    <w:lvl w:ilvl="0">
      <w:lvlJc w:val="left"/>
      <w:lvlText w:val="%1."/>
      <w:numFmt w:val="decimal"/>
      <w:start w:val="16"/>
    </w:lvl>
  </w:abstractNum>
  <w:abstractNum w:abstractNumId="21">
    <w:nsid w:val="2CD89A32"/>
    <w:multiLevelType w:val="hybridMultilevel"/>
    <w:lvl w:ilvl="0">
      <w:lvlJc w:val="left"/>
      <w:lvlText w:val="%1."/>
      <w:numFmt w:val="decimal"/>
      <w:start w:val="17"/>
    </w:lvl>
  </w:abstractNum>
  <w:abstractNum w:abstractNumId="22">
    <w:nsid w:val="57E4CCAF"/>
    <w:multiLevelType w:val="hybridMultilevel"/>
    <w:lvl w:ilvl="0">
      <w:lvlJc w:val="left"/>
      <w:lvlText w:val="%1."/>
      <w:numFmt w:val="decimal"/>
      <w:start w:val="18"/>
    </w:lvl>
  </w:abstractNum>
  <w:abstractNum w:abstractNumId="23">
    <w:nsid w:val="7A6D8D3C"/>
    <w:multiLevelType w:val="hybridMultilevel"/>
    <w:lvl w:ilvl="0">
      <w:lvlJc w:val="left"/>
      <w:lvlText w:val="%1."/>
      <w:numFmt w:val="decimal"/>
      <w:start w:val="19"/>
    </w:lvl>
  </w:abstractNum>
  <w:abstractNum w:abstractNumId="24">
    <w:nsid w:val="4B588F54"/>
    <w:multiLevelType w:val="hybridMultilevel"/>
    <w:lvl w:ilvl="0">
      <w:lvlJc w:val="left"/>
      <w:lvlText w:val="%1."/>
      <w:numFmt w:val="decimal"/>
      <w:start w:val="20"/>
    </w:lvl>
  </w:abstractNum>
  <w:abstractNum w:abstractNumId="25">
    <w:nsid w:val="542289EC"/>
    <w:multiLevelType w:val="hybridMultilevel"/>
    <w:lvl w:ilvl="0">
      <w:lvlJc w:val="left"/>
      <w:lvlText w:val="&amp;"/>
      <w:numFmt w:val="bullet"/>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lowerLetter"/>
      <w:start w:val="2"/>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4"/>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lowerRoman"/>
      <w:start w:val="3"/>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2"/>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lvl w:ilvl="1">
      <w:lvlJc w:val="left"/>
      <w:lvlText w:val="(%2)"/>
      <w:numFmt w:val="upperLetter"/>
      <w:start w:val="1"/>
    </w:lvl>
  </w:abstractNum>
  <w:abstractNum w:abstractNumId="49">
    <w:nsid w:val="47398C89"/>
    <w:multiLevelType w:val="hybridMultilevel"/>
    <w:lvl w:ilvl="0">
      <w:lvlJc w:val="left"/>
      <w:lvlText w:val="(%1)"/>
      <w:numFmt w:val="decimal"/>
      <w:start w:val="5"/>
    </w:lvl>
    <w:lvl w:ilvl="1">
      <w:lvlJc w:val="left"/>
      <w:lvlText w:val="%2"/>
      <w:numFmt w:val="upperLetter"/>
      <w:start w:val="1"/>
    </w:lvl>
  </w:abstractNum>
  <w:abstractNum w:abstractNumId="50">
    <w:nsid w:val="354FE9F9"/>
    <w:multiLevelType w:val="hybridMultilevel"/>
    <w:lvl w:ilvl="0">
      <w:lvlJc w:val="left"/>
      <w:lvlText w:val="(%1)"/>
      <w:numFmt w:val="upperLetter"/>
      <w:start w:val="1"/>
    </w:lvl>
  </w:abstractNum>
  <w:abstractNum w:abstractNumId="51">
    <w:nsid w:val="15B5AF5C"/>
    <w:multiLevelType w:val="hybridMultilevel"/>
    <w:lvl w:ilvl="0">
      <w:lvlJc w:val="left"/>
      <w:lvlText w:val="%1"/>
      <w:numFmt w:val="decimal"/>
      <w:start w:val="1"/>
    </w:lvl>
    <w:lvl w:ilvl="1">
      <w:lvlJc w:val="left"/>
      <w:lvlText w:val="(%2)"/>
      <w:numFmt w:val="upperLetter"/>
      <w:start w:val="3"/>
    </w:lvl>
  </w:abstractNum>
  <w:abstractNum w:abstractNumId="52">
    <w:nsid w:val="741226BB"/>
    <w:multiLevelType w:val="hybridMultilevel"/>
    <w:lvl w:ilvl="0">
      <w:lvlJc w:val="left"/>
      <w:lvlText w:val="(%1)"/>
      <w:numFmt w:val="decimal"/>
      <w:start w:val="6"/>
    </w:lvl>
    <w:lvl w:ilvl="1">
      <w:lvlJc w:val="left"/>
      <w:lvlText w:val="%2"/>
      <w:numFmt w:val="upperLetter"/>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3"/>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8"/>
    </w:lvl>
  </w:abstractNum>
  <w:abstractNum w:abstractNumId="65">
    <w:nsid w:val="4AD084E9"/>
    <w:multiLevelType w:val="hybridMultilevel"/>
    <w:lvl w:ilvl="0">
      <w:lvlJc w:val="left"/>
      <w:lvlText w:val="(%1)"/>
      <w:numFmt w:val="decimal"/>
    </w:lvl>
    <w:lvl w:ilvl="1">
      <w:lvlJc w:val="left"/>
      <w:lvlText w:val="*"/>
      <w:numFmt w:val="bullet"/>
      <w:start w:val="1"/>
    </w:lvl>
  </w:abstractNum>
  <w:abstractNum w:abstractNumId="66">
    <w:nsid w:val="1F48EAA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2020-01-21T15:36:14Z</dcterms:created>
  <dcterms:modified xsi:type="dcterms:W3CDTF">2020-01-21T15:36:14Z</dcterms:modified>
</cp:coreProperties>
</file>