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3"/>
          </w:tcPr>
          <w:p>
            <w:pPr>
              <w:spacing w:after="0"/>
              <w:rPr>
                <w:sz w:val="20"/>
                <w:szCs w:val="20"/>
                <w:color w:val="auto"/>
              </w:rPr>
            </w:pPr>
            <w:r>
              <w:rPr>
                <w:rFonts w:ascii="Arial" w:cs="Arial" w:eastAsia="Arial" w:hAnsi="Arial"/>
                <w:sz w:val="18"/>
                <w:szCs w:val="18"/>
                <w:color w:val="auto"/>
              </w:rPr>
              <w:t>Date of Report (Date of earliest event reported)</w:t>
            </w: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December 6, 2013</w:t>
            </w:r>
          </w:p>
        </w:tc>
        <w:tc>
          <w:tcPr>
            <w:tcW w:w="3640" w:type="dxa"/>
            <w:vAlign w:val="bottom"/>
            <w:tcBorders>
              <w:bottom w:val="single" w:sz="8" w:color="auto"/>
            </w:tcBorders>
          </w:tcPr>
          <w:p>
            <w:pPr>
              <w:spacing w:after="0"/>
              <w:rPr>
                <w:sz w:val="20"/>
                <w:szCs w:val="20"/>
                <w:color w:val="auto"/>
              </w:rPr>
            </w:pPr>
          </w:p>
        </w:tc>
      </w:tr>
      <w:tr>
        <w:trPr>
          <w:trHeight w:val="426"/>
        </w:trPr>
        <w:tc>
          <w:tcPr>
            <w:tcW w:w="3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5"/>
          </w:tcPr>
          <w:p>
            <w:pPr>
              <w:jc w:val="center"/>
              <w:ind w:right="720"/>
              <w:spacing w:after="0"/>
              <w:rPr>
                <w:sz w:val="20"/>
                <w:szCs w:val="20"/>
                <w:color w:val="auto"/>
              </w:rPr>
            </w:pPr>
            <w:r>
              <w:rPr>
                <w:rFonts w:ascii="Arial" w:cs="Arial" w:eastAsia="Arial" w:hAnsi="Arial"/>
                <w:sz w:val="18"/>
                <w:szCs w:val="18"/>
                <w:b w:val="1"/>
                <w:bCs w:val="1"/>
                <w:color w:val="auto"/>
                <w:w w:val="94"/>
              </w:rPr>
              <w:t>Oil-Dri Corporation of America</w:t>
            </w:r>
          </w:p>
        </w:tc>
        <w:tc>
          <w:tcPr>
            <w:tcW w:w="3640" w:type="dxa"/>
            <w:vAlign w:val="bottom"/>
            <w:tcBorders>
              <w:bottom w:val="single" w:sz="8" w:color="auto"/>
            </w:tcBorders>
          </w:tcPr>
          <w:p>
            <w:pPr>
              <w:spacing w:after="0"/>
              <w:rPr>
                <w:sz w:val="24"/>
                <w:szCs w:val="24"/>
                <w:color w:val="auto"/>
              </w:rPr>
            </w:pPr>
          </w:p>
        </w:tc>
      </w:tr>
      <w:tr>
        <w:trPr>
          <w:trHeight w:val="224"/>
        </w:trPr>
        <w:tc>
          <w:tcPr>
            <w:tcW w:w="3660" w:type="dxa"/>
            <w:vAlign w:val="bottom"/>
          </w:tcPr>
          <w:p>
            <w:pPr>
              <w:spacing w:after="0"/>
              <w:rPr>
                <w:sz w:val="19"/>
                <w:szCs w:val="19"/>
                <w:color w:val="auto"/>
              </w:rPr>
            </w:pPr>
          </w:p>
        </w:tc>
        <w:tc>
          <w:tcPr>
            <w:tcW w:w="4120" w:type="dxa"/>
            <w:vAlign w:val="bottom"/>
            <w:gridSpan w:val="7"/>
          </w:tcPr>
          <w:p>
            <w:pPr>
              <w:ind w:left="180"/>
              <w:spacing w:after="0"/>
              <w:rPr>
                <w:sz w:val="20"/>
                <w:szCs w:val="20"/>
                <w:color w:val="auto"/>
              </w:rPr>
            </w:pPr>
            <w:r>
              <w:rPr>
                <w:rFonts w:ascii="Arial" w:cs="Arial" w:eastAsia="Arial" w:hAnsi="Arial"/>
                <w:sz w:val="18"/>
                <w:szCs w:val="18"/>
                <w:color w:val="auto"/>
                <w:w w:val="95"/>
              </w:rPr>
              <w:t>(Exact name of registrant as specified in its charter)</w:t>
            </w:r>
          </w:p>
        </w:tc>
        <w:tc>
          <w:tcPr>
            <w:tcW w:w="3640" w:type="dxa"/>
            <w:vAlign w:val="bottom"/>
          </w:tcPr>
          <w:p>
            <w:pPr>
              <w:spacing w:after="0"/>
              <w:rPr>
                <w:sz w:val="19"/>
                <w:szCs w:val="19"/>
                <w:color w:val="auto"/>
              </w:rPr>
            </w:pPr>
          </w:p>
        </w:tc>
      </w:tr>
      <w:tr>
        <w:trPr>
          <w:trHeight w:val="425"/>
        </w:trPr>
        <w:tc>
          <w:tcPr>
            <w:tcW w:w="436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1"/>
              </w:rPr>
              <w:t>Delaware</w:t>
            </w:r>
          </w:p>
        </w:tc>
        <w:tc>
          <w:tcPr>
            <w:tcW w:w="192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90"/>
              </w:rPr>
              <w:t>001-12622</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4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200" w:type="dxa"/>
            <w:vAlign w:val="bottom"/>
            <w:tcBorders>
              <w:top w:val="single" w:sz="8" w:color="auto"/>
            </w:tcBorders>
            <w:gridSpan w:val="4"/>
          </w:tcPr>
          <w:p>
            <w:pPr>
              <w:jc w:val="center"/>
              <w:ind w:right="370"/>
              <w:spacing w:after="0" w:line="201" w:lineRule="exact"/>
              <w:rPr>
                <w:sz w:val="20"/>
                <w:szCs w:val="20"/>
                <w:color w:val="auto"/>
              </w:rPr>
            </w:pPr>
            <w:r>
              <w:rPr>
                <w:rFonts w:ascii="Arial" w:cs="Arial" w:eastAsia="Arial" w:hAnsi="Arial"/>
                <w:sz w:val="18"/>
                <w:szCs w:val="18"/>
                <w:color w:val="auto"/>
                <w:w w:val="93"/>
              </w:rPr>
              <w:t>(Commission File</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360" w:type="dxa"/>
            <w:vAlign w:val="bottom"/>
            <w:gridSpan w:val="3"/>
          </w:tcPr>
          <w:p>
            <w:pPr>
              <w:jc w:val="center"/>
              <w:ind w:right="680"/>
              <w:spacing w:after="0"/>
              <w:rPr>
                <w:sz w:val="20"/>
                <w:szCs w:val="20"/>
                <w:color w:val="auto"/>
              </w:rPr>
            </w:pPr>
            <w:r>
              <w:rPr>
                <w:rFonts w:ascii="Arial" w:cs="Arial" w:eastAsia="Arial" w:hAnsi="Arial"/>
                <w:sz w:val="18"/>
                <w:szCs w:val="18"/>
                <w:color w:val="auto"/>
                <w:w w:val="94"/>
              </w:rPr>
              <w:t>incorporation)</w:t>
            </w:r>
          </w:p>
        </w:tc>
        <w:tc>
          <w:tcPr>
            <w:tcW w:w="3420" w:type="dxa"/>
            <w:vAlign w:val="bottom"/>
            <w:gridSpan w:val="5"/>
          </w:tcPr>
          <w:p>
            <w:pPr>
              <w:jc w:val="center"/>
              <w:ind w:right="680"/>
              <w:spacing w:after="0"/>
              <w:rPr>
                <w:sz w:val="20"/>
                <w:szCs w:val="20"/>
                <w:color w:val="auto"/>
              </w:rPr>
            </w:pPr>
            <w:r>
              <w:rPr>
                <w:rFonts w:ascii="Arial" w:cs="Arial" w:eastAsia="Arial" w:hAnsi="Arial"/>
                <w:sz w:val="18"/>
                <w:szCs w:val="18"/>
                <w:color w:val="auto"/>
                <w:w w:val="94"/>
              </w:rPr>
              <w:t>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36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92"/>
              </w:rPr>
              <w:t>410 North Michigan Avenue</w:t>
            </w: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6"/>
        </w:trPr>
        <w:tc>
          <w:tcPr>
            <w:tcW w:w="436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88"/>
              </w:rPr>
              <w:t>Suite 400</w:t>
            </w: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34"/>
        </w:trPr>
        <w:tc>
          <w:tcPr>
            <w:tcW w:w="4360" w:type="dxa"/>
            <w:vAlign w:val="bottom"/>
            <w:tcBorders>
              <w:bottom w:val="single" w:sz="8" w:color="auto"/>
            </w:tcBorders>
            <w:gridSpan w:val="3"/>
          </w:tcPr>
          <w:p>
            <w:pPr>
              <w:jc w:val="center"/>
              <w:ind w:left="1050"/>
              <w:spacing w:after="0"/>
              <w:rPr>
                <w:sz w:val="20"/>
                <w:szCs w:val="20"/>
                <w:color w:val="auto"/>
              </w:rPr>
            </w:pPr>
            <w:r>
              <w:rPr>
                <w:rFonts w:ascii="Arial" w:cs="Arial" w:eastAsia="Arial" w:hAnsi="Arial"/>
                <w:sz w:val="18"/>
                <w:szCs w:val="18"/>
                <w:b w:val="1"/>
                <w:bCs w:val="1"/>
                <w:color w:val="auto"/>
                <w:w w:val="91"/>
              </w:rPr>
              <w:t>Chicago, Illinois</w:t>
            </w:r>
          </w:p>
        </w:tc>
        <w:tc>
          <w:tcPr>
            <w:tcW w:w="114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24"/>
        </w:trPr>
        <w:tc>
          <w:tcPr>
            <w:tcW w:w="4360" w:type="dxa"/>
            <w:vAlign w:val="bottom"/>
            <w:gridSpan w:val="3"/>
          </w:tcPr>
          <w:p>
            <w:pPr>
              <w:ind w:left="1380"/>
              <w:spacing w:after="0"/>
              <w:rPr>
                <w:sz w:val="20"/>
                <w:szCs w:val="20"/>
                <w:color w:val="auto"/>
              </w:rPr>
            </w:pPr>
            <w:r>
              <w:rPr>
                <w:rFonts w:ascii="Arial" w:cs="Arial" w:eastAsia="Arial" w:hAnsi="Arial"/>
                <w:sz w:val="18"/>
                <w:szCs w:val="18"/>
                <w:color w:val="auto"/>
                <w:w w:val="96"/>
              </w:rPr>
              <w:t>(Address of principal executive offices)</w:t>
            </w: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jc w:val="center"/>
              <w:ind w:right="1630"/>
              <w:spacing w:after="0"/>
              <w:rPr>
                <w:sz w:val="20"/>
                <w:szCs w:val="20"/>
                <w:color w:val="auto"/>
              </w:rPr>
            </w:pPr>
            <w:r>
              <w:rPr>
                <w:rFonts w:ascii="Arial" w:cs="Arial" w:eastAsia="Arial" w:hAnsi="Arial"/>
                <w:sz w:val="18"/>
                <w:szCs w:val="18"/>
                <w:color w:val="auto"/>
                <w:w w:val="94"/>
              </w:rPr>
              <w:t>(Zip Code)</w:t>
            </w:r>
          </w:p>
        </w:tc>
      </w:tr>
      <w:tr>
        <w:trPr>
          <w:trHeight w:val="418"/>
        </w:trPr>
        <w:tc>
          <w:tcPr>
            <w:tcW w:w="4360" w:type="dxa"/>
            <w:vAlign w:val="bottom"/>
            <w:gridSpan w:val="3"/>
          </w:tcPr>
          <w:p>
            <w:pPr>
              <w:jc w:val="center"/>
              <w:ind w:right="660"/>
              <w:spacing w:after="0"/>
              <w:rPr>
                <w:sz w:val="20"/>
                <w:szCs w:val="20"/>
                <w:color w:val="auto"/>
              </w:rPr>
            </w:pPr>
            <w:r>
              <w:rPr>
                <w:rFonts w:ascii="Arial" w:cs="Arial" w:eastAsia="Arial" w:hAnsi="Arial"/>
                <w:sz w:val="18"/>
                <w:szCs w:val="18"/>
                <w:color w:val="auto"/>
                <w:w w:val="89"/>
              </w:rPr>
              <w:t>Registrant’s telephone number, including area code</w:t>
            </w:r>
          </w:p>
        </w:tc>
        <w:tc>
          <w:tcPr>
            <w:tcW w:w="32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(312) 321-1515</w:t>
            </w: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0"/>
        </w:trPr>
        <w:tc>
          <w:tcPr>
            <w:tcW w:w="3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r>
    </w:tbl>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t>Item 2.02</w:t>
      </w:r>
      <w:r>
        <w:rPr>
          <w:rFonts w:ascii="Arial" w:cs="Arial" w:eastAsia="Arial" w:hAnsi="Arial"/>
          <w:sz w:val="18"/>
          <w:szCs w:val="18"/>
          <w:b w:val="1"/>
          <w:bCs w:val="1"/>
          <w:color w:val="auto"/>
        </w:rPr>
        <w:t xml:space="preserve"> Results of Operations and Financial Condition.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6, 2013, Oil-Dri Corporation of America (the “Registrant”) issued a press release announcing its results of operations for its first quarter ended October 31, 2013.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t>Item 9.01</w:t>
      </w:r>
      <w:r>
        <w:rPr>
          <w:rFonts w:ascii="Arial" w:cs="Arial" w:eastAsia="Arial" w:hAnsi="Arial"/>
          <w:sz w:val="18"/>
          <w:szCs w:val="18"/>
          <w:b w:val="1"/>
          <w:bCs w:val="1"/>
          <w:color w:val="auto"/>
        </w:rPr>
        <w:t xml:space="preserve"> Financial Statements and Exhibits.</w:t>
      </w:r>
    </w:p>
    <w:p>
      <w:pPr>
        <w:spacing w:after="0" w:line="229"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Exhibit</w:t>
            </w:r>
          </w:p>
        </w:tc>
        <w:tc>
          <w:tcPr>
            <w:tcW w:w="460" w:type="dxa"/>
            <w:vAlign w:val="bottom"/>
          </w:tcPr>
          <w:p>
            <w:pPr>
              <w:spacing w:after="0"/>
              <w:rPr>
                <w:sz w:val="18"/>
                <w:szCs w:val="18"/>
                <w:color w:val="auto"/>
              </w:rPr>
            </w:pPr>
          </w:p>
        </w:tc>
        <w:tc>
          <w:tcPr>
            <w:tcW w:w="9920" w:type="dxa"/>
            <w:vAlign w:val="bottom"/>
          </w:tcPr>
          <w:p>
            <w:pPr>
              <w:spacing w:after="0"/>
              <w:rPr>
                <w:sz w:val="18"/>
                <w:szCs w:val="18"/>
                <w:color w:val="auto"/>
              </w:rPr>
            </w:pPr>
          </w:p>
        </w:tc>
      </w:tr>
      <w:tr>
        <w:trPr>
          <w:trHeight w:val="237"/>
        </w:trPr>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460" w:type="dxa"/>
            <w:vAlign w:val="bottom"/>
          </w:tcPr>
          <w:p>
            <w:pPr>
              <w:spacing w:after="0"/>
              <w:rPr>
                <w:sz w:val="20"/>
                <w:szCs w:val="20"/>
                <w:color w:val="auto"/>
              </w:rPr>
            </w:pPr>
          </w:p>
        </w:tc>
        <w:tc>
          <w:tcPr>
            <w:tcW w:w="9920" w:type="dxa"/>
            <w:vAlign w:val="bottom"/>
            <w:tcBorders>
              <w:bottom w:val="single" w:sz="8" w:color="auto"/>
            </w:tcBorders>
          </w:tcPr>
          <w:p>
            <w:pPr>
              <w:ind w:left="4120"/>
              <w:spacing w:after="0"/>
              <w:rPr>
                <w:sz w:val="20"/>
                <w:szCs w:val="20"/>
                <w:color w:val="auto"/>
              </w:rPr>
            </w:pPr>
            <w:r>
              <w:rPr>
                <w:rFonts w:ascii="Arial" w:cs="Arial" w:eastAsia="Arial" w:hAnsi="Arial"/>
                <w:sz w:val="18"/>
                <w:szCs w:val="18"/>
                <w:color w:val="auto"/>
              </w:rPr>
              <w:t>Description of Exhibits</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10380" w:type="dxa"/>
            <w:vAlign w:val="bottom"/>
            <w:gridSpan w:val="2"/>
          </w:tcPr>
          <w:p>
            <w:pPr>
              <w:ind w:left="460"/>
              <w:spacing w:after="0"/>
              <w:rPr>
                <w:sz w:val="20"/>
                <w:szCs w:val="20"/>
                <w:color w:val="auto"/>
              </w:rPr>
            </w:pPr>
            <w:r>
              <w:rPr>
                <w:rFonts w:ascii="Arial" w:cs="Arial" w:eastAsia="Arial" w:hAnsi="Arial"/>
                <w:sz w:val="18"/>
                <w:szCs w:val="18"/>
                <w:color w:val="auto"/>
              </w:rPr>
              <w:t>Press Release of the Registrant dated December 6, 2013 (Quarterly Earnings)</w:t>
            </w:r>
          </w:p>
        </w:tc>
      </w:tr>
      <w:tr>
        <w:trPr>
          <w:trHeight w:val="662"/>
        </w:trPr>
        <w:tc>
          <w:tcPr>
            <w:tcW w:w="10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48" w:right="239" w:bottom="1440" w:gutter="0" w:footer="0" w:header="0"/>
        </w:sectPr>
      </w:pPr>
    </w:p>
    <w:bookmarkStart w:id="3" w:name="page4"/>
    <w:bookmarkEnd w:id="3"/>
    <w:p>
      <w:pPr>
        <w:jc w:val="center"/>
        <w:ind w:right="-5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OIL-DRI CORPORATION OF AMERICA</w:t>
      </w:r>
    </w:p>
    <w:p>
      <w:pPr>
        <w:spacing w:after="0" w:line="225" w:lineRule="exact"/>
        <w:rPr>
          <w:sz w:val="20"/>
          <w:szCs w:val="20"/>
          <w:color w:val="auto"/>
        </w:rPr>
      </w:pPr>
    </w:p>
    <w:p>
      <w:pPr>
        <w:ind w:left="3440"/>
        <w:spacing w:after="0"/>
        <w:tabs>
          <w:tab w:leader="none" w:pos="4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A. Graham</w:t>
      </w:r>
    </w:p>
    <w:p>
      <w:pPr>
        <w:spacing w:after="0" w:line="3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-130175</wp:posOffset>
            </wp:positionV>
            <wp:extent cx="46996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699635" cy="8890"/>
                    </a:xfrm>
                    <a:prstGeom prst="rect">
                      <a:avLst/>
                    </a:prstGeom>
                    <a:noFill/>
                  </pic:spPr>
                </pic:pic>
              </a:graphicData>
            </a:graphic>
          </wp:anchor>
        </w:drawing>
      </w:r>
    </w:p>
    <w:p>
      <w:pPr>
        <w:spacing w:after="0" w:line="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Vice President and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40"/>
          </w:cols>
          <w:pgMar w:left="240" w:top="1148" w:right="8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20" w:type="dxa"/>
            <w:vAlign w:val="bottom"/>
            <w:gridSpan w:val="3"/>
          </w:tcPr>
          <w:p>
            <w:pPr>
              <w:ind w:left="3720"/>
              <w:spacing w:after="0"/>
              <w:rPr>
                <w:sz w:val="20"/>
                <w:szCs w:val="20"/>
                <w:color w:val="auto"/>
              </w:rPr>
            </w:pPr>
            <w:r>
              <w:rPr>
                <w:rFonts w:ascii="Arial" w:cs="Arial" w:eastAsia="Arial" w:hAnsi="Arial"/>
                <w:sz w:val="18"/>
                <w:szCs w:val="18"/>
                <w:color w:val="auto"/>
              </w:rPr>
              <w:t>Exhibit Index</w:t>
            </w:r>
          </w:p>
        </w:tc>
      </w:tr>
      <w:tr>
        <w:trPr>
          <w:trHeight w:val="438"/>
        </w:trPr>
        <w:tc>
          <w:tcPr>
            <w:tcW w:w="1040" w:type="dxa"/>
            <w:vAlign w:val="bottom"/>
          </w:tcPr>
          <w:p>
            <w:pPr>
              <w:spacing w:after="0"/>
              <w:rPr>
                <w:sz w:val="20"/>
                <w:szCs w:val="20"/>
                <w:color w:val="auto"/>
              </w:rPr>
            </w:pPr>
            <w:r>
              <w:rPr>
                <w:rFonts w:ascii="Arial" w:cs="Arial" w:eastAsia="Arial" w:hAnsi="Arial"/>
                <w:sz w:val="18"/>
                <w:szCs w:val="18"/>
                <w:color w:val="auto"/>
              </w:rPr>
              <w:t>Exhibit</w:t>
            </w: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220" w:type="dxa"/>
            <w:vAlign w:val="bottom"/>
          </w:tcPr>
          <w:p>
            <w:pPr>
              <w:spacing w:after="0"/>
              <w:rPr>
                <w:sz w:val="24"/>
                <w:szCs w:val="24"/>
                <w:color w:val="auto"/>
              </w:rPr>
            </w:pPr>
          </w:p>
        </w:tc>
      </w:tr>
      <w:tr>
        <w:trPr>
          <w:trHeight w:val="237"/>
        </w:trPr>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460" w:type="dxa"/>
            <w:vAlign w:val="bottom"/>
          </w:tcPr>
          <w:p>
            <w:pPr>
              <w:spacing w:after="0"/>
              <w:rPr>
                <w:sz w:val="20"/>
                <w:szCs w:val="20"/>
                <w:color w:val="auto"/>
              </w:rPr>
            </w:pPr>
          </w:p>
        </w:tc>
        <w:tc>
          <w:tcPr>
            <w:tcW w:w="3720" w:type="dxa"/>
            <w:vAlign w:val="bottom"/>
            <w:tcBorders>
              <w:bottom w:val="single" w:sz="8" w:color="auto"/>
            </w:tcBorders>
          </w:tcPr>
          <w:p>
            <w:pPr>
              <w:spacing w:after="0"/>
              <w:rPr>
                <w:sz w:val="20"/>
                <w:szCs w:val="20"/>
                <w:color w:val="auto"/>
              </w:rPr>
            </w:pPr>
          </w:p>
        </w:tc>
        <w:tc>
          <w:tcPr>
            <w:tcW w:w="620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color w:val="auto"/>
              </w:rPr>
              <w:t>Description of Exhibits</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10380" w:type="dxa"/>
            <w:vAlign w:val="bottom"/>
            <w:gridSpan w:val="4"/>
          </w:tcPr>
          <w:p>
            <w:pPr>
              <w:ind w:left="460"/>
              <w:spacing w:after="0"/>
              <w:rPr>
                <w:sz w:val="20"/>
                <w:szCs w:val="20"/>
                <w:color w:val="auto"/>
              </w:rPr>
            </w:pPr>
            <w:r>
              <w:rPr>
                <w:rFonts w:ascii="Arial" w:cs="Arial" w:eastAsia="Arial" w:hAnsi="Arial"/>
                <w:sz w:val="18"/>
                <w:szCs w:val="18"/>
                <w:color w:val="auto"/>
              </w:rPr>
              <w:t>Press Release of the Registrant dated December 6, 2013 (Quarterly Earnings)</w:t>
            </w:r>
          </w:p>
        </w:tc>
      </w:tr>
      <w:tr>
        <w:trPr>
          <w:trHeight w:val="662"/>
        </w:trPr>
        <w:tc>
          <w:tcPr>
            <w:tcW w:w="10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1134" w:right="239" w:bottom="1440" w:gutter="0" w:footer="0" w:header="0"/>
        </w:sect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bookmarkStart w:id="5" w:name="page6"/>
    <w:bookmarkEnd w:id="5"/>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2910205</wp:posOffset>
            </wp:positionH>
            <wp:positionV relativeFrom="page">
              <wp:posOffset>397510</wp:posOffset>
            </wp:positionV>
            <wp:extent cx="1715135" cy="5746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15135" cy="57467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002D69"/>
        </w:rPr>
        <w:t>410 N. Michigan Ave. Chicago, Illinois 60611, U.S.A</w:t>
      </w:r>
    </w:p>
    <w:p>
      <w:pPr>
        <w:spacing w:after="0" w:line="22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002D69"/>
        </w:rPr>
        <w:t>News Announcement</w:t>
      </w:r>
    </w:p>
    <w:p>
      <w:pPr>
        <w:spacing w:after="0" w:line="27" w:lineRule="exact"/>
        <w:rPr>
          <w:sz w:val="20"/>
          <w:szCs w:val="20"/>
          <w:color w:val="auto"/>
        </w:rPr>
      </w:pPr>
    </w:p>
    <w:p>
      <w:pPr>
        <w:ind w:left="4880"/>
        <w:spacing w:after="0"/>
        <w:rPr>
          <w:sz w:val="20"/>
          <w:szCs w:val="20"/>
          <w:color w:val="auto"/>
        </w:rPr>
      </w:pPr>
      <w:r>
        <w:rPr>
          <w:rFonts w:ascii="Arial" w:cs="Arial" w:eastAsia="Arial" w:hAnsi="Arial"/>
          <w:sz w:val="18"/>
          <w:szCs w:val="18"/>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002D69"/>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Announces First Quarter Fiscal 2014 Results</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CHICAGO—(December 6, 2013)—Oil-Dri Corporation of America (NYSE: ODC) today announced net sales of $63,546,000 for the first quarter ended October 31, 2013, a 3% increase compared with net sales of $61,417,000 in the same quarter one year ago. Net income for the first quarter was $2,887,000 or $0.41 per diluted share, down 36% from the record high net income of $4,452,000, or $0.64 per diluted share in the first quarter of fiscal 2013.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Review</w:t>
      </w:r>
    </w:p>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President and Chief Executive Officer Daniel S. Jaffee said, “We are disappointed with the financial results for the quarter. The reduced earnings reflect key investments in marketing initiatives, and our packaging, freight and materials costs increased during the quarter. Finally, we spent 36% more in the first three months of this year than last year for natural gas used in our manufacturing processes.</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the Business to Business segment, the continued global demand for both our fluids purification and Calibrin broad-spectrum toxin binding products positively affected our net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the Retail &amp; Wholesale segment, we are encouraged by a 34% increase in net sales of Cat’s Pride Fresh &amp; Light products.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are very proud that Oil-Dri was recently voted fourteenth among The Chicago Tribune’s Top 100 Workplaces in our category and received a special award for our focus on values and ethical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002D69"/>
        </w:rPr>
        <w:t>Investor Relations Contact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002D69"/>
        </w:rPr>
        <w:t>Reagan Culbertson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2D69"/>
        </w:rPr>
        <w:t>reagan.culbertson@oildri.com</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002D69"/>
        </w:rPr>
        <w:t>(312) 706 3256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1332230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2910205</wp:posOffset>
            </wp:positionH>
            <wp:positionV relativeFrom="page">
              <wp:posOffset>586105</wp:posOffset>
            </wp:positionV>
            <wp:extent cx="1715135" cy="5746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7151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Review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20" w:type="dxa"/>
            <w:vAlign w:val="bottom"/>
            <w:tcBorders>
              <w:top w:val="single" w:sz="8" w:color="auto"/>
            </w:tcBorders>
          </w:tcPr>
          <w:p>
            <w:pPr>
              <w:ind w:left="440"/>
              <w:spacing w:after="0"/>
              <w:rPr>
                <w:sz w:val="20"/>
                <w:szCs w:val="20"/>
                <w:color w:val="auto"/>
              </w:rPr>
            </w:pPr>
            <w:r>
              <w:rPr>
                <w:rFonts w:ascii="Arial" w:cs="Arial" w:eastAsia="Arial" w:hAnsi="Arial"/>
                <w:sz w:val="18"/>
                <w:szCs w:val="18"/>
                <w:b w:val="1"/>
                <w:bCs w:val="1"/>
                <w:color w:val="auto"/>
              </w:rPr>
              <w:t>Business to Business Products</w:t>
            </w:r>
          </w:p>
        </w:tc>
        <w:tc>
          <w:tcPr>
            <w:tcW w:w="34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First Quarter</w:t>
            </w:r>
          </w:p>
        </w:tc>
        <w:tc>
          <w:tcPr>
            <w:tcW w:w="2000" w:type="dxa"/>
            <w:vAlign w:val="bottom"/>
            <w:tcBorders>
              <w:top w:val="single" w:sz="8" w:color="auto"/>
            </w:tcBorders>
          </w:tcPr>
          <w:p>
            <w:pPr>
              <w:spacing w:after="0"/>
              <w:rPr>
                <w:sz w:val="18"/>
                <w:szCs w:val="18"/>
                <w:color w:val="auto"/>
              </w:rPr>
            </w:pPr>
          </w:p>
        </w:tc>
        <w:tc>
          <w:tcPr>
            <w:tcW w:w="2560" w:type="dxa"/>
            <w:vAlign w:val="bottom"/>
            <w:tcBorders>
              <w:top w:val="single" w:sz="8" w:color="auto"/>
            </w:tcBorders>
          </w:tcPr>
          <w:p>
            <w:pPr>
              <w:ind w:left="960"/>
              <w:spacing w:after="0"/>
              <w:rPr>
                <w:sz w:val="20"/>
                <w:szCs w:val="20"/>
                <w:color w:val="auto"/>
              </w:rPr>
            </w:pPr>
            <w:r>
              <w:rPr>
                <w:rFonts w:ascii="Arial" w:cs="Arial" w:eastAsia="Arial" w:hAnsi="Arial"/>
                <w:sz w:val="18"/>
                <w:szCs w:val="18"/>
                <w:b w:val="1"/>
                <w:bCs w:val="1"/>
                <w:color w:val="auto"/>
              </w:rPr>
              <w:t>Change</w:t>
            </w:r>
          </w:p>
        </w:tc>
      </w:tr>
      <w:tr>
        <w:trPr>
          <w:trHeight w:val="230"/>
        </w:trPr>
        <w:tc>
          <w:tcPr>
            <w:tcW w:w="34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August 1 – October 31</w:t>
            </w:r>
          </w:p>
        </w:tc>
        <w:tc>
          <w:tcPr>
            <w:tcW w:w="20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r>
      <w:tr>
        <w:trPr>
          <w:trHeight w:val="210"/>
        </w:trPr>
        <w:tc>
          <w:tcPr>
            <w:tcW w:w="3420" w:type="dxa"/>
            <w:vAlign w:val="bottom"/>
            <w:shd w:val="clear" w:color="auto" w:fill="C0C0C0"/>
          </w:tcPr>
          <w:p>
            <w:pPr>
              <w:spacing w:after="0"/>
              <w:rPr>
                <w:sz w:val="18"/>
                <w:szCs w:val="18"/>
                <w:color w:val="auto"/>
              </w:rPr>
            </w:pPr>
          </w:p>
        </w:tc>
        <w:tc>
          <w:tcPr>
            <w:tcW w:w="3440" w:type="dxa"/>
            <w:vAlign w:val="bottom"/>
            <w:shd w:val="clear" w:color="auto" w:fill="C0C0C0"/>
          </w:tcPr>
          <w:p>
            <w:pPr>
              <w:jc w:val="right"/>
              <w:ind w:right="1810"/>
              <w:spacing w:after="0"/>
              <w:rPr>
                <w:sz w:val="20"/>
                <w:szCs w:val="20"/>
                <w:color w:val="auto"/>
              </w:rPr>
            </w:pPr>
            <w:r>
              <w:rPr>
                <w:rFonts w:ascii="Arial" w:cs="Arial" w:eastAsia="Arial" w:hAnsi="Arial"/>
                <w:sz w:val="18"/>
                <w:szCs w:val="18"/>
                <w:b w:val="1"/>
                <w:bCs w:val="1"/>
                <w:color w:val="auto"/>
              </w:rPr>
              <w:t>Fiscal 2014</w:t>
            </w:r>
          </w:p>
        </w:tc>
        <w:tc>
          <w:tcPr>
            <w:tcW w:w="2000" w:type="dxa"/>
            <w:vAlign w:val="bottom"/>
            <w:shd w:val="clear" w:color="auto" w:fill="C0C0C0"/>
          </w:tcPr>
          <w:p>
            <w:pPr>
              <w:jc w:val="right"/>
              <w:ind w:right="970"/>
              <w:spacing w:after="0"/>
              <w:rPr>
                <w:sz w:val="20"/>
                <w:szCs w:val="20"/>
                <w:color w:val="auto"/>
              </w:rPr>
            </w:pPr>
            <w:r>
              <w:rPr>
                <w:rFonts w:ascii="Arial" w:cs="Arial" w:eastAsia="Arial" w:hAnsi="Arial"/>
                <w:sz w:val="18"/>
                <w:szCs w:val="18"/>
                <w:b w:val="1"/>
                <w:bCs w:val="1"/>
                <w:color w:val="auto"/>
                <w:w w:val="95"/>
              </w:rPr>
              <w:t>Fiscal 2013</w:t>
            </w:r>
          </w:p>
        </w:tc>
        <w:tc>
          <w:tcPr>
            <w:tcW w:w="2560" w:type="dxa"/>
            <w:vAlign w:val="bottom"/>
            <w:shd w:val="clear" w:color="auto" w:fill="C0C0C0"/>
          </w:tcPr>
          <w:p>
            <w:pPr>
              <w:spacing w:after="0"/>
              <w:rPr>
                <w:sz w:val="18"/>
                <w:szCs w:val="18"/>
                <w:color w:val="auto"/>
              </w:rPr>
            </w:pPr>
          </w:p>
        </w:tc>
      </w:tr>
      <w:tr>
        <w:trPr>
          <w:trHeight w:val="216"/>
        </w:trPr>
        <w:tc>
          <w:tcPr>
            <w:tcW w:w="342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Net Sales</w:t>
            </w:r>
          </w:p>
        </w:tc>
        <w:tc>
          <w:tcPr>
            <w:tcW w:w="3440" w:type="dxa"/>
            <w:vAlign w:val="bottom"/>
          </w:tcPr>
          <w:p>
            <w:pPr>
              <w:jc w:val="right"/>
              <w:ind w:right="1710"/>
              <w:spacing w:after="0"/>
              <w:rPr>
                <w:sz w:val="20"/>
                <w:szCs w:val="20"/>
                <w:color w:val="auto"/>
              </w:rPr>
            </w:pPr>
            <w:r>
              <w:rPr>
                <w:rFonts w:ascii="Arial" w:cs="Arial" w:eastAsia="Arial" w:hAnsi="Arial"/>
                <w:sz w:val="18"/>
                <w:szCs w:val="18"/>
                <w:color w:val="auto"/>
              </w:rPr>
              <w:t>$23,915,000</w:t>
            </w:r>
          </w:p>
        </w:tc>
        <w:tc>
          <w:tcPr>
            <w:tcW w:w="2000" w:type="dxa"/>
            <w:vAlign w:val="bottom"/>
          </w:tcPr>
          <w:p>
            <w:pPr>
              <w:jc w:val="right"/>
              <w:ind w:right="870"/>
              <w:spacing w:after="0"/>
              <w:rPr>
                <w:sz w:val="20"/>
                <w:szCs w:val="20"/>
                <w:color w:val="auto"/>
              </w:rPr>
            </w:pPr>
            <w:r>
              <w:rPr>
                <w:rFonts w:ascii="Arial" w:cs="Arial" w:eastAsia="Arial" w:hAnsi="Arial"/>
                <w:sz w:val="18"/>
                <w:szCs w:val="18"/>
                <w:color w:val="auto"/>
              </w:rPr>
              <w:t>$21,782,000</w:t>
            </w:r>
          </w:p>
        </w:tc>
        <w:tc>
          <w:tcPr>
            <w:tcW w:w="2560" w:type="dxa"/>
            <w:vAlign w:val="bottom"/>
          </w:tcPr>
          <w:p>
            <w:pPr>
              <w:jc w:val="right"/>
              <w:ind w:right="1050"/>
              <w:spacing w:after="0"/>
              <w:rPr>
                <w:sz w:val="20"/>
                <w:szCs w:val="20"/>
                <w:color w:val="auto"/>
              </w:rPr>
            </w:pPr>
            <w:r>
              <w:rPr>
                <w:rFonts w:ascii="Arial" w:cs="Arial" w:eastAsia="Arial" w:hAnsi="Arial"/>
                <w:sz w:val="18"/>
                <w:szCs w:val="18"/>
                <w:color w:val="auto"/>
              </w:rPr>
              <w:t>10%</w:t>
            </w:r>
          </w:p>
        </w:tc>
      </w:tr>
      <w:tr>
        <w:trPr>
          <w:trHeight w:val="216"/>
        </w:trPr>
        <w:tc>
          <w:tcPr>
            <w:tcW w:w="3420" w:type="dxa"/>
            <w:vAlign w:val="bottom"/>
            <w:tcBorders>
              <w:bottom w:val="single" w:sz="8" w:color="auto"/>
            </w:tcBorders>
            <w:shd w:val="clear" w:color="auto" w:fill="C0C0C0"/>
          </w:tcPr>
          <w:p>
            <w:pPr>
              <w:jc w:val="center"/>
              <w:ind w:right="210"/>
              <w:spacing w:after="0"/>
              <w:rPr>
                <w:sz w:val="20"/>
                <w:szCs w:val="20"/>
                <w:color w:val="auto"/>
              </w:rPr>
            </w:pPr>
            <w:r>
              <w:rPr>
                <w:rFonts w:ascii="Arial" w:cs="Arial" w:eastAsia="Arial" w:hAnsi="Arial"/>
                <w:sz w:val="18"/>
                <w:szCs w:val="18"/>
                <w:b w:val="1"/>
                <w:bCs w:val="1"/>
                <w:color w:val="auto"/>
                <w:w w:val="88"/>
              </w:rPr>
              <w:t>Segment Income</w:t>
            </w:r>
          </w:p>
        </w:tc>
        <w:tc>
          <w:tcPr>
            <w:tcW w:w="3440" w:type="dxa"/>
            <w:vAlign w:val="bottom"/>
            <w:tcBorders>
              <w:bottom w:val="single" w:sz="8" w:color="auto"/>
            </w:tcBorders>
            <w:shd w:val="clear" w:color="auto" w:fill="C0C0C0"/>
          </w:tcPr>
          <w:p>
            <w:pPr>
              <w:jc w:val="right"/>
              <w:ind w:right="1710"/>
              <w:spacing w:after="0"/>
              <w:rPr>
                <w:sz w:val="20"/>
                <w:szCs w:val="20"/>
                <w:color w:val="auto"/>
              </w:rPr>
            </w:pPr>
            <w:r>
              <w:rPr>
                <w:rFonts w:ascii="Arial" w:cs="Arial" w:eastAsia="Arial" w:hAnsi="Arial"/>
                <w:sz w:val="18"/>
                <w:szCs w:val="18"/>
                <w:color w:val="auto"/>
              </w:rPr>
              <w:t>$7,651,000</w:t>
            </w:r>
          </w:p>
        </w:tc>
        <w:tc>
          <w:tcPr>
            <w:tcW w:w="2000" w:type="dxa"/>
            <w:vAlign w:val="bottom"/>
            <w:tcBorders>
              <w:bottom w:val="single" w:sz="8" w:color="auto"/>
            </w:tcBorders>
            <w:shd w:val="clear" w:color="auto" w:fill="C0C0C0"/>
          </w:tcPr>
          <w:p>
            <w:pPr>
              <w:jc w:val="right"/>
              <w:ind w:right="870"/>
              <w:spacing w:after="0"/>
              <w:rPr>
                <w:sz w:val="20"/>
                <w:szCs w:val="20"/>
                <w:color w:val="auto"/>
              </w:rPr>
            </w:pPr>
            <w:r>
              <w:rPr>
                <w:rFonts w:ascii="Arial" w:cs="Arial" w:eastAsia="Arial" w:hAnsi="Arial"/>
                <w:sz w:val="18"/>
                <w:szCs w:val="18"/>
                <w:color w:val="auto"/>
              </w:rPr>
              <w:t>$7,523,000</w:t>
            </w:r>
          </w:p>
        </w:tc>
        <w:tc>
          <w:tcPr>
            <w:tcW w:w="2560" w:type="dxa"/>
            <w:vAlign w:val="bottom"/>
            <w:tcBorders>
              <w:bottom w:val="single" w:sz="8" w:color="auto"/>
            </w:tcBorders>
            <w:shd w:val="clear" w:color="auto" w:fill="C0C0C0"/>
          </w:tcPr>
          <w:p>
            <w:pPr>
              <w:jc w:val="right"/>
              <w:ind w:right="1110"/>
              <w:spacing w:after="0"/>
              <w:rPr>
                <w:sz w:val="20"/>
                <w:szCs w:val="20"/>
                <w:color w:val="auto"/>
              </w:rPr>
            </w:pPr>
            <w:r>
              <w:rPr>
                <w:rFonts w:ascii="Arial" w:cs="Arial" w:eastAsia="Arial" w:hAnsi="Arial"/>
                <w:sz w:val="18"/>
                <w:szCs w:val="18"/>
                <w:color w:val="auto"/>
              </w:rPr>
              <w:t>2%</w:t>
            </w:r>
          </w:p>
        </w:tc>
      </w:tr>
    </w:tbl>
    <w:p>
      <w:pPr>
        <w:spacing w:after="0" w:line="20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Net sales for the Company’s Business to Business Products Group were up $2,133,000 or 10% from one year ago, driven by a 4% increase in tons, a favorable product mix and higher net selling prices. Segment income was relatively flat due to increased costs for packaging, freight, materials and natural gas. Net sales of fluids purification products were up in both domestic and foreign markets due to growth in edible oil production. Net sales of animal health products increased globally due to market demand for broad-spectrum toxin binding products. Net sales of co-packaged coarse cat litters were comparable to the first quarter of the prior year while sales of agricultural products declined slightly in the period.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4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Retail and Wholesale</w:t>
            </w:r>
          </w:p>
        </w:tc>
        <w:tc>
          <w:tcPr>
            <w:tcW w:w="1840" w:type="dxa"/>
            <w:vAlign w:val="bottom"/>
            <w:tcBorders>
              <w:top w:val="single" w:sz="8" w:color="auto"/>
            </w:tcBorders>
          </w:tcPr>
          <w:p>
            <w:pPr>
              <w:spacing w:after="0"/>
              <w:rPr>
                <w:sz w:val="18"/>
                <w:szCs w:val="18"/>
                <w:color w:val="auto"/>
              </w:rPr>
            </w:pPr>
          </w:p>
        </w:tc>
        <w:tc>
          <w:tcPr>
            <w:tcW w:w="3780" w:type="dxa"/>
            <w:vAlign w:val="bottom"/>
            <w:tcBorders>
              <w:top w:val="single" w:sz="8" w:color="auto"/>
            </w:tcBorders>
          </w:tcPr>
          <w:p>
            <w:pPr>
              <w:jc w:val="right"/>
              <w:ind w:right="2290"/>
              <w:spacing w:after="0"/>
              <w:rPr>
                <w:sz w:val="20"/>
                <w:szCs w:val="20"/>
                <w:color w:val="auto"/>
              </w:rPr>
            </w:pPr>
            <w:r>
              <w:rPr>
                <w:rFonts w:ascii="Arial" w:cs="Arial" w:eastAsia="Arial" w:hAnsi="Arial"/>
                <w:sz w:val="18"/>
                <w:szCs w:val="18"/>
                <w:b w:val="1"/>
                <w:bCs w:val="1"/>
                <w:color w:val="auto"/>
              </w:rPr>
              <w:t>First Quarter</w:t>
            </w:r>
          </w:p>
        </w:tc>
        <w:tc>
          <w:tcPr>
            <w:tcW w:w="2560" w:type="dxa"/>
            <w:vAlign w:val="bottom"/>
            <w:tcBorders>
              <w:top w:val="single" w:sz="8" w:color="auto"/>
            </w:tcBorders>
          </w:tcPr>
          <w:p>
            <w:pPr>
              <w:ind w:left="960"/>
              <w:spacing w:after="0"/>
              <w:rPr>
                <w:sz w:val="20"/>
                <w:szCs w:val="20"/>
                <w:color w:val="auto"/>
              </w:rPr>
            </w:pPr>
            <w:r>
              <w:rPr>
                <w:rFonts w:ascii="Arial" w:cs="Arial" w:eastAsia="Arial" w:hAnsi="Arial"/>
                <w:sz w:val="18"/>
                <w:szCs w:val="18"/>
                <w:b w:val="1"/>
                <w:bCs w:val="1"/>
                <w:color w:val="auto"/>
              </w:rPr>
              <w:t>Change</w:t>
            </w:r>
          </w:p>
        </w:tc>
      </w:tr>
      <w:tr>
        <w:trPr>
          <w:trHeight w:val="234"/>
        </w:trPr>
        <w:tc>
          <w:tcPr>
            <w:tcW w:w="3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Products</w:t>
            </w:r>
          </w:p>
        </w:tc>
        <w:tc>
          <w:tcPr>
            <w:tcW w:w="184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jc w:val="right"/>
              <w:ind w:right="1990"/>
              <w:spacing w:after="0"/>
              <w:rPr>
                <w:sz w:val="20"/>
                <w:szCs w:val="20"/>
                <w:color w:val="auto"/>
              </w:rPr>
            </w:pPr>
            <w:r>
              <w:rPr>
                <w:rFonts w:ascii="Arial" w:cs="Arial" w:eastAsia="Arial" w:hAnsi="Arial"/>
                <w:sz w:val="18"/>
                <w:szCs w:val="18"/>
                <w:b w:val="1"/>
                <w:bCs w:val="1"/>
                <w:i w:val="1"/>
                <w:iCs w:val="1"/>
                <w:color w:val="auto"/>
                <w:w w:val="87"/>
              </w:rPr>
              <w:t>August 1 – October 31</w:t>
            </w:r>
          </w:p>
        </w:tc>
        <w:tc>
          <w:tcPr>
            <w:tcW w:w="2560" w:type="dxa"/>
            <w:vAlign w:val="bottom"/>
            <w:tcBorders>
              <w:bottom w:val="single" w:sz="8" w:color="auto"/>
            </w:tcBorders>
          </w:tcPr>
          <w:p>
            <w:pPr>
              <w:spacing w:after="0"/>
              <w:rPr>
                <w:sz w:val="20"/>
                <w:szCs w:val="20"/>
                <w:color w:val="auto"/>
              </w:rPr>
            </w:pPr>
          </w:p>
        </w:tc>
      </w:tr>
      <w:tr>
        <w:trPr>
          <w:trHeight w:val="210"/>
        </w:trPr>
        <w:tc>
          <w:tcPr>
            <w:tcW w:w="3240" w:type="dxa"/>
            <w:vAlign w:val="bottom"/>
            <w:shd w:val="clear" w:color="auto" w:fill="C0C0C0"/>
          </w:tcPr>
          <w:p>
            <w:pPr>
              <w:spacing w:after="0"/>
              <w:rPr>
                <w:sz w:val="18"/>
                <w:szCs w:val="18"/>
                <w:color w:val="auto"/>
              </w:rPr>
            </w:pPr>
          </w:p>
        </w:tc>
        <w:tc>
          <w:tcPr>
            <w:tcW w:w="1840" w:type="dxa"/>
            <w:vAlign w:val="bottom"/>
            <w:shd w:val="clear" w:color="auto" w:fill="C0C0C0"/>
          </w:tcPr>
          <w:p>
            <w:pPr>
              <w:jc w:val="right"/>
              <w:ind w:right="30"/>
              <w:spacing w:after="0"/>
              <w:rPr>
                <w:sz w:val="20"/>
                <w:szCs w:val="20"/>
                <w:color w:val="auto"/>
              </w:rPr>
            </w:pPr>
            <w:r>
              <w:rPr>
                <w:rFonts w:ascii="Arial" w:cs="Arial" w:eastAsia="Arial" w:hAnsi="Arial"/>
                <w:sz w:val="18"/>
                <w:szCs w:val="18"/>
                <w:b w:val="1"/>
                <w:bCs w:val="1"/>
                <w:color w:val="auto"/>
              </w:rPr>
              <w:t>Fiscal 2014</w:t>
            </w:r>
          </w:p>
        </w:tc>
        <w:tc>
          <w:tcPr>
            <w:tcW w:w="3780" w:type="dxa"/>
            <w:vAlign w:val="bottom"/>
            <w:shd w:val="clear" w:color="auto" w:fill="C0C0C0"/>
          </w:tcPr>
          <w:p>
            <w:pPr>
              <w:jc w:val="right"/>
              <w:ind w:right="970"/>
              <w:spacing w:after="0"/>
              <w:rPr>
                <w:sz w:val="20"/>
                <w:szCs w:val="20"/>
                <w:color w:val="auto"/>
              </w:rPr>
            </w:pPr>
            <w:r>
              <w:rPr>
                <w:rFonts w:ascii="Arial" w:cs="Arial" w:eastAsia="Arial" w:hAnsi="Arial"/>
                <w:sz w:val="18"/>
                <w:szCs w:val="18"/>
                <w:b w:val="1"/>
                <w:bCs w:val="1"/>
                <w:color w:val="auto"/>
              </w:rPr>
              <w:t>Fiscal 2013</w:t>
            </w:r>
          </w:p>
        </w:tc>
        <w:tc>
          <w:tcPr>
            <w:tcW w:w="2560" w:type="dxa"/>
            <w:vAlign w:val="bottom"/>
            <w:shd w:val="clear" w:color="auto" w:fill="C0C0C0"/>
          </w:tcPr>
          <w:p>
            <w:pPr>
              <w:spacing w:after="0"/>
              <w:rPr>
                <w:sz w:val="18"/>
                <w:szCs w:val="18"/>
                <w:color w:val="auto"/>
              </w:rPr>
            </w:pPr>
          </w:p>
        </w:tc>
      </w:tr>
      <w:tr>
        <w:trPr>
          <w:trHeight w:val="216"/>
        </w:trPr>
        <w:tc>
          <w:tcPr>
            <w:tcW w:w="324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Net Sales</w:t>
            </w:r>
          </w:p>
        </w:tc>
        <w:tc>
          <w:tcPr>
            <w:tcW w:w="1840" w:type="dxa"/>
            <w:vAlign w:val="bottom"/>
          </w:tcPr>
          <w:p>
            <w:pPr>
              <w:jc w:val="right"/>
              <w:spacing w:after="0"/>
              <w:rPr>
                <w:sz w:val="20"/>
                <w:szCs w:val="20"/>
                <w:color w:val="auto"/>
              </w:rPr>
            </w:pPr>
            <w:r>
              <w:rPr>
                <w:rFonts w:ascii="Arial" w:cs="Arial" w:eastAsia="Arial" w:hAnsi="Arial"/>
                <w:sz w:val="18"/>
                <w:szCs w:val="18"/>
                <w:color w:val="auto"/>
              </w:rPr>
              <w:t>$39,631,000</w:t>
            </w:r>
          </w:p>
        </w:tc>
        <w:tc>
          <w:tcPr>
            <w:tcW w:w="3780" w:type="dxa"/>
            <w:vAlign w:val="bottom"/>
          </w:tcPr>
          <w:p>
            <w:pPr>
              <w:jc w:val="right"/>
              <w:ind w:right="870"/>
              <w:spacing w:after="0"/>
              <w:rPr>
                <w:sz w:val="20"/>
                <w:szCs w:val="20"/>
                <w:color w:val="auto"/>
              </w:rPr>
            </w:pPr>
            <w:r>
              <w:rPr>
                <w:rFonts w:ascii="Arial" w:cs="Arial" w:eastAsia="Arial" w:hAnsi="Arial"/>
                <w:sz w:val="18"/>
                <w:szCs w:val="18"/>
                <w:color w:val="auto"/>
              </w:rPr>
              <w:t>$39,635,000</w:t>
            </w:r>
          </w:p>
        </w:tc>
        <w:tc>
          <w:tcPr>
            <w:tcW w:w="2560" w:type="dxa"/>
            <w:vAlign w:val="bottom"/>
          </w:tcPr>
          <w:p>
            <w:pPr>
              <w:jc w:val="right"/>
              <w:ind w:right="1110"/>
              <w:spacing w:after="0"/>
              <w:rPr>
                <w:sz w:val="20"/>
                <w:szCs w:val="20"/>
                <w:color w:val="auto"/>
              </w:rPr>
            </w:pPr>
            <w:r>
              <w:rPr>
                <w:rFonts w:ascii="Arial" w:cs="Arial" w:eastAsia="Arial" w:hAnsi="Arial"/>
                <w:sz w:val="18"/>
                <w:szCs w:val="18"/>
                <w:color w:val="auto"/>
              </w:rPr>
              <w:t>0%</w:t>
            </w:r>
          </w:p>
        </w:tc>
      </w:tr>
      <w:tr>
        <w:trPr>
          <w:trHeight w:val="216"/>
        </w:trPr>
        <w:tc>
          <w:tcPr>
            <w:tcW w:w="3240" w:type="dxa"/>
            <w:vAlign w:val="bottom"/>
            <w:tcBorders>
              <w:bottom w:val="single" w:sz="8" w:color="auto"/>
            </w:tcBorders>
            <w:shd w:val="clear" w:color="auto" w:fill="C0C0C0"/>
          </w:tcPr>
          <w:p>
            <w:pPr>
              <w:jc w:val="center"/>
              <w:ind w:right="30"/>
              <w:spacing w:after="0"/>
              <w:rPr>
                <w:sz w:val="20"/>
                <w:szCs w:val="20"/>
                <w:color w:val="auto"/>
              </w:rPr>
            </w:pPr>
            <w:r>
              <w:rPr>
                <w:rFonts w:ascii="Arial" w:cs="Arial" w:eastAsia="Arial" w:hAnsi="Arial"/>
                <w:sz w:val="18"/>
                <w:szCs w:val="18"/>
                <w:b w:val="1"/>
                <w:bCs w:val="1"/>
                <w:color w:val="auto"/>
                <w:w w:val="88"/>
              </w:rPr>
              <w:t>Segment Income</w:t>
            </w:r>
          </w:p>
        </w:tc>
        <w:tc>
          <w:tcPr>
            <w:tcW w:w="1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$1,275,000</w:t>
            </w:r>
          </w:p>
        </w:tc>
        <w:tc>
          <w:tcPr>
            <w:tcW w:w="3780" w:type="dxa"/>
            <w:vAlign w:val="bottom"/>
            <w:tcBorders>
              <w:bottom w:val="single" w:sz="8" w:color="auto"/>
            </w:tcBorders>
            <w:shd w:val="clear" w:color="auto" w:fill="C0C0C0"/>
          </w:tcPr>
          <w:p>
            <w:pPr>
              <w:jc w:val="right"/>
              <w:ind w:right="870"/>
              <w:spacing w:after="0"/>
              <w:rPr>
                <w:sz w:val="20"/>
                <w:szCs w:val="20"/>
                <w:color w:val="auto"/>
              </w:rPr>
            </w:pPr>
            <w:r>
              <w:rPr>
                <w:rFonts w:ascii="Arial" w:cs="Arial" w:eastAsia="Arial" w:hAnsi="Arial"/>
                <w:sz w:val="18"/>
                <w:szCs w:val="18"/>
                <w:color w:val="auto"/>
              </w:rPr>
              <w:t>$4,524,000</w:t>
            </w:r>
          </w:p>
        </w:tc>
        <w:tc>
          <w:tcPr>
            <w:tcW w:w="2560" w:type="dxa"/>
            <w:vAlign w:val="bottom"/>
            <w:tcBorders>
              <w:bottom w:val="single" w:sz="8" w:color="auto"/>
            </w:tcBorders>
            <w:shd w:val="clear" w:color="auto" w:fill="C0C0C0"/>
          </w:tcPr>
          <w:p>
            <w:pPr>
              <w:jc w:val="right"/>
              <w:ind w:right="990"/>
              <w:spacing w:after="0"/>
              <w:rPr>
                <w:sz w:val="20"/>
                <w:szCs w:val="20"/>
                <w:color w:val="auto"/>
              </w:rPr>
            </w:pPr>
            <w:r>
              <w:rPr>
                <w:rFonts w:ascii="Arial" w:cs="Arial" w:eastAsia="Arial" w:hAnsi="Arial"/>
                <w:sz w:val="18"/>
                <w:szCs w:val="18"/>
                <w:color w:val="auto"/>
              </w:rPr>
              <w:t>(72%)</w:t>
            </w: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Net sales for the Company’s Retail and Wholesale Products Group for the first quarter were flat and segment income was down $3,249,000 or 72% from the prior year period. Net sales for both our cat litter products and our foreign subsidiaries increased slightly, but were offset by a decline in sales of our industrial absorbents. The benefits of increased sales of Cat’s Pride Fresh &amp; Light products and increased selling prices were also offset by increased costs for packaging, freight, materials and natural gas. Additionally, approximately $1,600,000 more was spent on advertising and promotional expenditures compared to the first quarter of fiscal 2013.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Review</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Cash, cash equivalents and short-term investments as of October 31, 2013, totaled $32,963,000, which was down $2,154,000 or 6% compared to the</w:t>
      </w:r>
    </w:p>
    <w:p>
      <w:pPr>
        <w:spacing w:after="0" w:line="35"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$35,117,000 as of October 31, 2012. Cash, cash equivalents and short-term investments were down primarily due to regularly scheduled debt payments, capital expenditures and changes in working capital.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002D69"/>
        </w:rPr>
        <w:t>Investor Relations Contact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002D69"/>
        </w:rPr>
        <w:t>Reagan Culbertson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2D69"/>
        </w:rPr>
        <w:t>reagan.culbertson@oildri.com</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002D69"/>
        </w:rPr>
        <w:t>(312) 706 3256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1332230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2910205</wp:posOffset>
            </wp:positionH>
            <wp:positionV relativeFrom="page">
              <wp:posOffset>586105</wp:posOffset>
            </wp:positionV>
            <wp:extent cx="1715135" cy="574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7151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Capital expenditures for the three months ended October 31, 2013 totaled $3,382,000, which was $1,151,000 more than depreciation and amortization of $2,231,000. Capital expenditures were made for capacity expansion projects and equipment replacement at our manufacturing facilities.</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cash used in operating activities was $652,000 for the first three months of fiscal 2014, compared to $4,424,000 provided by operating activities for the first three months of fiscal 2013.</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October 16, 2013, Oil-Dri’s Board of Directors declared a quarterly cash dividend of $0.19 per share of outstanding Common Stock and $0.1425 per share of outstanding Class B Stock. The dividends were paid on November 29, 2013 to stockholders of record at the close of business on November 15, 2013. The Company has paid cash dividends continuously since 1974 and has increased dividends annually for the past ten years.</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the end of the first quarter, the annualized dividend yield on the Company’s Common Stock was 2.1%, based on the quarter’s closing stock price of $35.49 per share and the last quarterly cash dividend of $0.19.</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Looking Forward</w:t>
      </w:r>
    </w:p>
    <w:p>
      <w:pPr>
        <w:spacing w:after="0" w:line="229"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President and CEO Jaffee continued, “We will continue to invest in our value-added products. Plans are underway for the expansion of our Ochlocknee, Georgia facility in order to meet the growing demand for our Fluids Purification products and are on target to be completed by the end of fiscal 2014. The application for a Chinese business license has been accepted and we anticipate having an operational China subsidiary this fiscal year. The launch of an Amlan gut-health product for bacterial toxin diseases in poultry is moving forward and we anticipate having product registrations completed in target countries during fiscal 2015.</w:t>
      </w:r>
    </w:p>
    <w:p>
      <w:pPr>
        <w:spacing w:after="0" w:line="18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the Retail and Wholesale segment, we have launched our newest Fresh &amp; Light product, All Day Odor Control cat litter, and anticipate expanded distribution later this year. Advertising spend in the segment is expected to be higher than the previous fiscal year.</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November 1, 2013, we invested approximately $13,000,000 to acquire certain assets of the cat litter manufacturer, MFM Industries, Inc., including its customer list, mining and manufacturing equipment, packaging, raw materials and finished goods inventories, intellectual property and certain other clay cat litter business assets. We expect the acquisition to be accretive to our earnings this fiscal year.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002D69"/>
        </w:rPr>
        <w:t>Investor Relations Contact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2D69"/>
        </w:rPr>
        <w:t>Reagan Culbertson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2D69"/>
        </w:rPr>
        <w:t>reagan.culbertson@oildri.com</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002D69"/>
        </w:rPr>
        <w:t>(312) 706 3256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1332230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2910205</wp:posOffset>
            </wp:positionH>
            <wp:positionV relativeFrom="page">
              <wp:posOffset>586105</wp:posOffset>
            </wp:positionV>
            <wp:extent cx="1715135" cy="5746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7151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Thus far, we are pleased with the integration of our MFM customers and plan to leverage our strengthened relationships for both our branded and private label cat litters.”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Oil-Dri Corporation of America is a leading supplier of specialty sorbent products for agricultural, horticultural, fluids purification, specialty markets, industrial and automotive, and is the world’s largest manufacturer of cat litter.</w:t>
      </w:r>
    </w:p>
    <w:p>
      <w:pPr>
        <w:spacing w:after="0" w:line="166"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 xml:space="preserve">The Company will offer a live webcast of the first quarter earnings teleconference on </w:t>
      </w:r>
      <w:r>
        <w:rPr>
          <w:rFonts w:ascii="Arial" w:cs="Arial" w:eastAsia="Arial" w:hAnsi="Arial"/>
          <w:sz w:val="18"/>
          <w:szCs w:val="18"/>
          <w:b w:val="1"/>
          <w:bCs w:val="1"/>
          <w:color w:val="auto"/>
        </w:rPr>
        <w:t>Monday, December 9, 2013 from 10:00 am to 10:30 am, Central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Time. </w:t>
      </w:r>
      <w:r>
        <w:rPr>
          <w:rFonts w:ascii="Arial" w:cs="Arial" w:eastAsia="Arial" w:hAnsi="Arial"/>
          <w:sz w:val="18"/>
          <w:szCs w:val="18"/>
          <w:color w:val="auto"/>
        </w:rPr>
        <w:t>To listen via the web, visit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www.streetevents.com</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www.oildri.com</w:t>
      </w:r>
      <w:r>
        <w:rPr>
          <w:rFonts w:ascii="Arial" w:cs="Arial" w:eastAsia="Arial" w:hAnsi="Arial"/>
          <w:sz w:val="18"/>
          <w:szCs w:val="18"/>
          <w:color w:val="auto"/>
        </w:rPr>
        <w:t>. An archived recording of the call and written transcripts of all teleconferences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are posted on the Oil-Dri website.</w:t>
      </w:r>
    </w:p>
    <w:p>
      <w:pPr>
        <w:spacing w:after="0" w:line="176"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color w:val="auto"/>
        </w:rPr>
        <w:t xml:space="preserve">The Company will host its Annual Meeting of Stockholders on </w:t>
      </w:r>
      <w:r>
        <w:rPr>
          <w:rFonts w:ascii="Arial" w:cs="Arial" w:eastAsia="Arial" w:hAnsi="Arial"/>
          <w:sz w:val="16"/>
          <w:szCs w:val="16"/>
          <w:b w:val="1"/>
          <w:bCs w:val="1"/>
          <w:color w:val="auto"/>
        </w:rPr>
        <w:t>Tuesday, December 10, 2013 starting at 9:30 am, Central Time</w:t>
      </w:r>
      <w:r>
        <w:rPr>
          <w:rFonts w:ascii="Arial" w:cs="Arial" w:eastAsia="Arial" w:hAnsi="Arial"/>
          <w:sz w:val="16"/>
          <w:szCs w:val="16"/>
          <w:color w:val="auto"/>
        </w:rPr>
        <w:t>. The meeting will be held at The Standard Club, 320 South Plymouth Court, Chicago, Illinois 60604. The record date for voting eligibility at the Annual Meeting was October 18, 2013.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Cat’s Pride, Fresh &amp; Light, Calibrin, Amlan, and Pure-Flo are registered trademarks of Oil-Dri Corporation of America.</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variations of such words and similar expressions are intended to identify such forward-looking statements, which are made pursuant to the safe harbor provisions of the Private Securities Litigation Reform Act of 1995.</w:t>
      </w:r>
    </w:p>
    <w:p>
      <w:pPr>
        <w:spacing w:after="0" w:line="18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002D69"/>
        </w:rPr>
        <w:t>Investor Relations Contact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2D69"/>
        </w:rPr>
        <w:t>Reagan Culbertson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2D69"/>
        </w:rPr>
        <w:t>reagan.culbertson@oildri.com</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002D69"/>
        </w:rPr>
        <w:t>(312) 706 3256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1332230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2910205</wp:posOffset>
            </wp:positionH>
            <wp:positionV relativeFrom="page">
              <wp:posOffset>586105</wp:posOffset>
            </wp:positionV>
            <wp:extent cx="1715135" cy="5746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7151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(in thousands, except for per share amounts)</w:t>
            </w: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0" w:type="dxa"/>
            <w:vAlign w:val="bottom"/>
            <w:gridSpan w:val="3"/>
            <w:vMerge w:val="restart"/>
          </w:tcPr>
          <w:p>
            <w:pPr>
              <w:ind w:left="260"/>
              <w:spacing w:after="0"/>
              <w:rPr>
                <w:sz w:val="20"/>
                <w:szCs w:val="20"/>
                <w:color w:val="auto"/>
              </w:rPr>
            </w:pPr>
            <w:r>
              <w:rPr>
                <w:rFonts w:ascii="Arial" w:cs="Arial" w:eastAsia="Arial" w:hAnsi="Arial"/>
                <w:sz w:val="18"/>
                <w:szCs w:val="18"/>
                <w:b w:val="1"/>
                <w:bCs w:val="1"/>
                <w:color w:val="auto"/>
              </w:rPr>
              <w:t>Three Months Ended October 31,</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3"/>
            <w:vMerge w:val="continue"/>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bottom w:val="single" w:sz="8" w:color="CCFFC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2013</w:t>
            </w:r>
          </w:p>
        </w:tc>
        <w:tc>
          <w:tcPr>
            <w:tcW w:w="15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 of Sales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2012</w:t>
            </w: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 of Sales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Sales</w:t>
            </w:r>
          </w:p>
        </w:tc>
        <w:tc>
          <w:tcPr>
            <w:tcW w:w="4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63,546</w:t>
            </w:r>
          </w:p>
        </w:tc>
        <w:tc>
          <w:tcPr>
            <w:tcW w:w="15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61,417</w:t>
            </w: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Cost of Sales</w:t>
            </w: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(47,046)</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74.0%</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(44,186)</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Gross Profit</w:t>
            </w:r>
          </w:p>
        </w:tc>
        <w:tc>
          <w:tcPr>
            <w:tcW w:w="480" w:type="dxa"/>
            <w:vAlign w:val="bottom"/>
            <w:shd w:val="clear" w:color="auto" w:fill="CCFFCC"/>
          </w:tcPr>
          <w:p>
            <w:pPr>
              <w:spacing w:after="0"/>
              <w:rPr>
                <w:sz w:val="18"/>
                <w:szCs w:val="18"/>
                <w:color w:val="auto"/>
              </w:rPr>
            </w:pPr>
          </w:p>
        </w:tc>
        <w:tc>
          <w:tcPr>
            <w:tcW w:w="12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16,500</w:t>
            </w:r>
          </w:p>
        </w:tc>
        <w:tc>
          <w:tcPr>
            <w:tcW w:w="15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26.0%</w:t>
            </w:r>
          </w:p>
        </w:tc>
        <w:tc>
          <w:tcPr>
            <w:tcW w:w="380" w:type="dxa"/>
            <w:vAlign w:val="bottom"/>
            <w:shd w:val="clear" w:color="auto" w:fill="CCFFCC"/>
          </w:tcPr>
          <w:p>
            <w:pPr>
              <w:spacing w:after="0"/>
              <w:rPr>
                <w:sz w:val="18"/>
                <w:szCs w:val="18"/>
                <w:color w:val="auto"/>
              </w:rPr>
            </w:pPr>
          </w:p>
        </w:tc>
        <w:tc>
          <w:tcPr>
            <w:tcW w:w="12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17,231</w:t>
            </w: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480" w:type="dxa"/>
            <w:vAlign w:val="bottom"/>
          </w:tcPr>
          <w:p>
            <w:pPr>
              <w:spacing w:after="0"/>
              <w:rPr>
                <w:sz w:val="18"/>
                <w:szCs w:val="18"/>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(12,158)</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380" w:type="dxa"/>
            <w:vAlign w:val="bottom"/>
          </w:tcPr>
          <w:p>
            <w:pPr>
              <w:spacing w:after="0"/>
              <w:rPr>
                <w:sz w:val="18"/>
                <w:szCs w:val="18"/>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(10,820)</w:t>
            </w:r>
          </w:p>
        </w:tc>
        <w:tc>
          <w:tcPr>
            <w:tcW w:w="142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Capacity Rationalization Charges</w:t>
            </w:r>
          </w:p>
        </w:tc>
        <w:tc>
          <w:tcPr>
            <w:tcW w:w="480" w:type="dxa"/>
            <w:vAlign w:val="bottom"/>
            <w:tcBorders>
              <w:bottom w:val="single" w:sz="8" w:color="auto"/>
            </w:tcBorders>
            <w:shd w:val="clear" w:color="auto" w:fill="CCFFCC"/>
          </w:tcPr>
          <w:p>
            <w:pPr>
              <w:spacing w:after="0"/>
              <w:rPr>
                <w:sz w:val="19"/>
                <w:szCs w:val="19"/>
                <w:color w:val="auto"/>
              </w:rPr>
            </w:pPr>
          </w:p>
        </w:tc>
        <w:tc>
          <w:tcPr>
            <w:tcW w:w="1280" w:type="dxa"/>
            <w:vAlign w:val="bottom"/>
            <w:tcBorders>
              <w:bottom w:val="single" w:sz="8" w:color="auto"/>
            </w:tcBorders>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0.0%</w:t>
            </w:r>
          </w:p>
        </w:tc>
        <w:tc>
          <w:tcPr>
            <w:tcW w:w="380" w:type="dxa"/>
            <w:vAlign w:val="bottom"/>
            <w:tcBorders>
              <w:bottom w:val="single" w:sz="8" w:color="auto"/>
            </w:tcBorders>
            <w:shd w:val="clear" w:color="auto" w:fill="CCFFCC"/>
          </w:tcPr>
          <w:p>
            <w:pPr>
              <w:spacing w:after="0"/>
              <w:rPr>
                <w:sz w:val="19"/>
                <w:szCs w:val="19"/>
                <w:color w:val="auto"/>
              </w:rPr>
            </w:pPr>
          </w:p>
        </w:tc>
        <w:tc>
          <w:tcPr>
            <w:tcW w:w="128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(12)</w:t>
            </w:r>
          </w:p>
        </w:tc>
        <w:tc>
          <w:tcPr>
            <w:tcW w:w="1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Income</w:t>
            </w:r>
          </w:p>
        </w:tc>
        <w:tc>
          <w:tcPr>
            <w:tcW w:w="480" w:type="dxa"/>
            <w:vAlign w:val="bottom"/>
            <w:shd w:val="clear" w:color="auto" w:fill="CCFFCC"/>
          </w:tcPr>
          <w:p>
            <w:pPr>
              <w:spacing w:after="0"/>
              <w:rPr>
                <w:sz w:val="18"/>
                <w:szCs w:val="18"/>
                <w:color w:val="auto"/>
              </w:rPr>
            </w:pPr>
          </w:p>
        </w:tc>
        <w:tc>
          <w:tcPr>
            <w:tcW w:w="12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4,342</w:t>
            </w:r>
          </w:p>
        </w:tc>
        <w:tc>
          <w:tcPr>
            <w:tcW w:w="15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6.8%</w:t>
            </w:r>
          </w:p>
        </w:tc>
        <w:tc>
          <w:tcPr>
            <w:tcW w:w="380" w:type="dxa"/>
            <w:vAlign w:val="bottom"/>
            <w:shd w:val="clear" w:color="auto" w:fill="CCFFCC"/>
          </w:tcPr>
          <w:p>
            <w:pPr>
              <w:spacing w:after="0"/>
              <w:rPr>
                <w:sz w:val="18"/>
                <w:szCs w:val="18"/>
                <w:color w:val="auto"/>
              </w:rPr>
            </w:pPr>
          </w:p>
        </w:tc>
        <w:tc>
          <w:tcPr>
            <w:tcW w:w="12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6,399</w:t>
            </w: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480" w:type="dxa"/>
            <w:vAlign w:val="bottom"/>
          </w:tcPr>
          <w:p>
            <w:pPr>
              <w:spacing w:after="0"/>
              <w:rPr>
                <w:sz w:val="18"/>
                <w:szCs w:val="18"/>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(424)</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18"/>
                <w:szCs w:val="18"/>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(481)</w:t>
            </w:r>
          </w:p>
        </w:tc>
        <w:tc>
          <w:tcPr>
            <w:tcW w:w="142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(Expense) Income</w:t>
            </w:r>
          </w:p>
        </w:tc>
        <w:tc>
          <w:tcPr>
            <w:tcW w:w="480" w:type="dxa"/>
            <w:vAlign w:val="bottom"/>
            <w:tcBorders>
              <w:bottom w:val="single" w:sz="8" w:color="auto"/>
            </w:tcBorders>
            <w:shd w:val="clear" w:color="auto" w:fill="CCFFCC"/>
          </w:tcPr>
          <w:p>
            <w:pPr>
              <w:spacing w:after="0"/>
              <w:rPr>
                <w:sz w:val="19"/>
                <w:szCs w:val="19"/>
                <w:color w:val="auto"/>
              </w:rPr>
            </w:pPr>
          </w:p>
        </w:tc>
        <w:tc>
          <w:tcPr>
            <w:tcW w:w="128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(25)</w:t>
            </w:r>
          </w:p>
        </w:tc>
        <w:tc>
          <w:tcPr>
            <w:tcW w:w="15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0.0%</w:t>
            </w:r>
          </w:p>
        </w:tc>
        <w:tc>
          <w:tcPr>
            <w:tcW w:w="380" w:type="dxa"/>
            <w:vAlign w:val="bottom"/>
            <w:tcBorders>
              <w:bottom w:val="single" w:sz="8" w:color="auto"/>
            </w:tcBorders>
            <w:shd w:val="clear" w:color="auto" w:fill="CCFFCC"/>
          </w:tcPr>
          <w:p>
            <w:pPr>
              <w:spacing w:after="0"/>
              <w:rPr>
                <w:sz w:val="19"/>
                <w:szCs w:val="19"/>
                <w:color w:val="auto"/>
              </w:rPr>
            </w:pPr>
          </w:p>
        </w:tc>
        <w:tc>
          <w:tcPr>
            <w:tcW w:w="1280" w:type="dxa"/>
            <w:vAlign w:val="bottom"/>
            <w:tcBorders>
              <w:bottom w:val="single" w:sz="8" w:color="auto"/>
            </w:tcBorders>
            <w:shd w:val="clear" w:color="auto" w:fill="CCFFCC"/>
          </w:tcPr>
          <w:p>
            <w:pPr>
              <w:jc w:val="right"/>
              <w:ind w:right="210"/>
              <w:spacing w:after="0"/>
              <w:rPr>
                <w:sz w:val="20"/>
                <w:szCs w:val="20"/>
                <w:color w:val="auto"/>
              </w:rPr>
            </w:pPr>
            <w:r>
              <w:rPr>
                <w:rFonts w:ascii="Arial" w:cs="Arial" w:eastAsia="Arial" w:hAnsi="Arial"/>
                <w:sz w:val="18"/>
                <w:szCs w:val="18"/>
                <w:color w:val="auto"/>
              </w:rPr>
              <w:t>139</w:t>
            </w:r>
          </w:p>
        </w:tc>
        <w:tc>
          <w:tcPr>
            <w:tcW w:w="1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Income Before Income Taxes</w:t>
            </w:r>
          </w:p>
        </w:tc>
        <w:tc>
          <w:tcPr>
            <w:tcW w:w="480" w:type="dxa"/>
            <w:vAlign w:val="bottom"/>
            <w:shd w:val="clear" w:color="auto" w:fill="CCFFCC"/>
          </w:tcPr>
          <w:p>
            <w:pPr>
              <w:spacing w:after="0"/>
              <w:rPr>
                <w:sz w:val="18"/>
                <w:szCs w:val="18"/>
                <w:color w:val="auto"/>
              </w:rPr>
            </w:pPr>
          </w:p>
        </w:tc>
        <w:tc>
          <w:tcPr>
            <w:tcW w:w="12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3,893</w:t>
            </w:r>
          </w:p>
        </w:tc>
        <w:tc>
          <w:tcPr>
            <w:tcW w:w="15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6.1%</w:t>
            </w:r>
          </w:p>
        </w:tc>
        <w:tc>
          <w:tcPr>
            <w:tcW w:w="380" w:type="dxa"/>
            <w:vAlign w:val="bottom"/>
            <w:shd w:val="clear" w:color="auto" w:fill="CCFFCC"/>
          </w:tcPr>
          <w:p>
            <w:pPr>
              <w:spacing w:after="0"/>
              <w:rPr>
                <w:sz w:val="18"/>
                <w:szCs w:val="18"/>
                <w:color w:val="auto"/>
              </w:rPr>
            </w:pPr>
          </w:p>
        </w:tc>
        <w:tc>
          <w:tcPr>
            <w:tcW w:w="12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6,057</w:t>
            </w: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Income Taxes</w:t>
            </w: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(1,006)</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(1,605)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48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FFCC"/>
          </w:tcPr>
          <w:p>
            <w:pPr>
              <w:jc w:val="right"/>
              <w:ind w:right="210"/>
              <w:spacing w:after="0"/>
              <w:rPr>
                <w:sz w:val="20"/>
                <w:szCs w:val="20"/>
                <w:color w:val="auto"/>
              </w:rPr>
            </w:pPr>
            <w:r>
              <w:rPr>
                <w:rFonts w:ascii="Arial" w:cs="Arial" w:eastAsia="Arial" w:hAnsi="Arial"/>
                <w:sz w:val="18"/>
                <w:szCs w:val="18"/>
                <w:color w:val="auto"/>
              </w:rPr>
              <w:t>2,887</w:t>
            </w:r>
          </w:p>
        </w:tc>
        <w:tc>
          <w:tcPr>
            <w:tcW w:w="15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4.5%</w:t>
            </w:r>
          </w:p>
        </w:tc>
        <w:tc>
          <w:tcPr>
            <w:tcW w:w="38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FFCC"/>
          </w:tcPr>
          <w:p>
            <w:pPr>
              <w:jc w:val="right"/>
              <w:ind w:right="210"/>
              <w:spacing w:after="0"/>
              <w:rPr>
                <w:sz w:val="20"/>
                <w:szCs w:val="20"/>
                <w:color w:val="auto"/>
              </w:rPr>
            </w:pPr>
            <w:r>
              <w:rPr>
                <w:rFonts w:ascii="Arial" w:cs="Arial" w:eastAsia="Arial" w:hAnsi="Arial"/>
                <w:sz w:val="18"/>
                <w:szCs w:val="18"/>
                <w:color w:val="auto"/>
              </w:rPr>
              <w:t>4,452</w:t>
            </w:r>
          </w:p>
        </w:tc>
        <w:tc>
          <w:tcPr>
            <w:tcW w:w="1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5040" w:type="dxa"/>
            <w:vAlign w:val="bottom"/>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4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Net Income Per Share:</w:t>
            </w: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FFCC"/>
          </w:tcPr>
          <w:p>
            <w:pPr>
              <w:ind w:left="960"/>
              <w:spacing w:after="0"/>
              <w:rPr>
                <w:sz w:val="20"/>
                <w:szCs w:val="20"/>
                <w:color w:val="auto"/>
              </w:rPr>
            </w:pPr>
            <w:r>
              <w:rPr>
                <w:rFonts w:ascii="Arial" w:cs="Arial" w:eastAsia="Arial" w:hAnsi="Arial"/>
                <w:sz w:val="18"/>
                <w:szCs w:val="18"/>
                <w:b w:val="1"/>
                <w:bCs w:val="1"/>
                <w:color w:val="auto"/>
              </w:rPr>
              <w:t>Basic Common</w:t>
            </w:r>
          </w:p>
        </w:tc>
        <w:tc>
          <w:tcPr>
            <w:tcW w:w="4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0.44</w:t>
            </w:r>
          </w:p>
        </w:tc>
        <w:tc>
          <w:tcPr>
            <w:tcW w:w="1540" w:type="dxa"/>
            <w:vAlign w:val="bottom"/>
            <w:shd w:val="clear" w:color="auto" w:fill="CCFFCC"/>
          </w:tcPr>
          <w:p>
            <w:pPr>
              <w:spacing w:after="0"/>
              <w:rPr>
                <w:sz w:val="18"/>
                <w:szCs w:val="18"/>
                <w:color w:val="auto"/>
              </w:rPr>
            </w:pPr>
          </w:p>
        </w:tc>
        <w:tc>
          <w:tcPr>
            <w:tcW w:w="3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0.69</w:t>
            </w:r>
          </w:p>
        </w:tc>
        <w:tc>
          <w:tcPr>
            <w:tcW w:w="14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960"/>
              <w:spacing w:after="0"/>
              <w:rPr>
                <w:sz w:val="20"/>
                <w:szCs w:val="20"/>
                <w:color w:val="auto"/>
              </w:rPr>
            </w:pPr>
            <w:r>
              <w:rPr>
                <w:rFonts w:ascii="Arial" w:cs="Arial" w:eastAsia="Arial" w:hAnsi="Arial"/>
                <w:sz w:val="18"/>
                <w:szCs w:val="18"/>
                <w:b w:val="1"/>
                <w:bCs w:val="1"/>
                <w:color w:val="auto"/>
              </w:rPr>
              <w:t>Basic Class B Common</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0.33</w:t>
            </w:r>
          </w:p>
        </w:tc>
        <w:tc>
          <w:tcPr>
            <w:tcW w:w="1540" w:type="dxa"/>
            <w:vAlign w:val="bottom"/>
          </w:tcPr>
          <w:p>
            <w:pPr>
              <w:spacing w:after="0"/>
              <w:rPr>
                <w:sz w:val="18"/>
                <w:szCs w:val="18"/>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0.52</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FFCC"/>
          </w:tcPr>
          <w:p>
            <w:pPr>
              <w:ind w:left="960"/>
              <w:spacing w:after="0"/>
              <w:rPr>
                <w:sz w:val="20"/>
                <w:szCs w:val="20"/>
                <w:color w:val="auto"/>
              </w:rPr>
            </w:pPr>
            <w:r>
              <w:rPr>
                <w:rFonts w:ascii="Arial" w:cs="Arial" w:eastAsia="Arial" w:hAnsi="Arial"/>
                <w:sz w:val="18"/>
                <w:szCs w:val="18"/>
                <w:b w:val="1"/>
                <w:bCs w:val="1"/>
                <w:color w:val="auto"/>
              </w:rPr>
              <w:t>Diluted</w:t>
            </w:r>
          </w:p>
        </w:tc>
        <w:tc>
          <w:tcPr>
            <w:tcW w:w="4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0.41</w:t>
            </w:r>
          </w:p>
        </w:tc>
        <w:tc>
          <w:tcPr>
            <w:tcW w:w="1540" w:type="dxa"/>
            <w:vAlign w:val="bottom"/>
            <w:shd w:val="clear" w:color="auto" w:fill="CCFFCC"/>
          </w:tcPr>
          <w:p>
            <w:pPr>
              <w:spacing w:after="0"/>
              <w:rPr>
                <w:sz w:val="18"/>
                <w:szCs w:val="18"/>
                <w:color w:val="auto"/>
              </w:rPr>
            </w:pPr>
          </w:p>
        </w:tc>
        <w:tc>
          <w:tcPr>
            <w:tcW w:w="3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0.64</w:t>
            </w:r>
          </w:p>
        </w:tc>
        <w:tc>
          <w:tcPr>
            <w:tcW w:w="14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Average Shares Outstanding:</w:t>
            </w:r>
          </w:p>
        </w:tc>
        <w:tc>
          <w:tcPr>
            <w:tcW w:w="48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4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960"/>
              <w:spacing w:after="0"/>
              <w:rPr>
                <w:sz w:val="20"/>
                <w:szCs w:val="20"/>
                <w:color w:val="auto"/>
              </w:rPr>
            </w:pPr>
            <w:r>
              <w:rPr>
                <w:rFonts w:ascii="Arial" w:cs="Arial" w:eastAsia="Arial" w:hAnsi="Arial"/>
                <w:sz w:val="18"/>
                <w:szCs w:val="18"/>
                <w:b w:val="1"/>
                <w:bCs w:val="1"/>
                <w:color w:val="auto"/>
              </w:rPr>
              <w:t>Basic Common</w:t>
            </w:r>
          </w:p>
        </w:tc>
        <w:tc>
          <w:tcPr>
            <w:tcW w:w="480" w:type="dxa"/>
            <w:vAlign w:val="bottom"/>
          </w:tcPr>
          <w:p>
            <w:pPr>
              <w:spacing w:after="0"/>
              <w:rPr>
                <w:sz w:val="18"/>
                <w:szCs w:val="18"/>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4,955</w:t>
            </w: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4,879</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FFCC"/>
          </w:tcPr>
          <w:p>
            <w:pPr>
              <w:ind w:left="960"/>
              <w:spacing w:after="0"/>
              <w:rPr>
                <w:sz w:val="20"/>
                <w:szCs w:val="20"/>
                <w:color w:val="auto"/>
              </w:rPr>
            </w:pPr>
            <w:r>
              <w:rPr>
                <w:rFonts w:ascii="Arial" w:cs="Arial" w:eastAsia="Arial" w:hAnsi="Arial"/>
                <w:sz w:val="18"/>
                <w:szCs w:val="18"/>
                <w:b w:val="1"/>
                <w:bCs w:val="1"/>
                <w:color w:val="auto"/>
              </w:rPr>
              <w:t>Basic Class B Common</w:t>
            </w:r>
          </w:p>
        </w:tc>
        <w:tc>
          <w:tcPr>
            <w:tcW w:w="480" w:type="dxa"/>
            <w:vAlign w:val="bottom"/>
            <w:shd w:val="clear" w:color="auto" w:fill="CCFFCC"/>
          </w:tcPr>
          <w:p>
            <w:pPr>
              <w:spacing w:after="0"/>
              <w:rPr>
                <w:sz w:val="18"/>
                <w:szCs w:val="18"/>
                <w:color w:val="auto"/>
              </w:rPr>
            </w:pPr>
          </w:p>
        </w:tc>
        <w:tc>
          <w:tcPr>
            <w:tcW w:w="12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1,992</w:t>
            </w:r>
          </w:p>
        </w:tc>
        <w:tc>
          <w:tcPr>
            <w:tcW w:w="15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1,943</w:t>
            </w:r>
          </w:p>
        </w:tc>
        <w:tc>
          <w:tcPr>
            <w:tcW w:w="14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Pr>
          <w:p>
            <w:pPr>
              <w:ind w:left="960"/>
              <w:spacing w:after="0"/>
              <w:rPr>
                <w:sz w:val="20"/>
                <w:szCs w:val="20"/>
                <w:color w:val="auto"/>
              </w:rPr>
            </w:pPr>
            <w:r>
              <w:rPr>
                <w:rFonts w:ascii="Arial" w:cs="Arial" w:eastAsia="Arial" w:hAnsi="Arial"/>
                <w:sz w:val="18"/>
                <w:szCs w:val="18"/>
                <w:b w:val="1"/>
                <w:bCs w:val="1"/>
                <w:color w:val="auto"/>
              </w:rPr>
              <w:t>Diluted</w:t>
            </w:r>
          </w:p>
        </w:tc>
        <w:tc>
          <w:tcPr>
            <w:tcW w:w="480" w:type="dxa"/>
            <w:vAlign w:val="bottom"/>
          </w:tcPr>
          <w:p>
            <w:pPr>
              <w:spacing w:after="0"/>
              <w:rPr>
                <w:sz w:val="20"/>
                <w:szCs w:val="20"/>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6,973</w:t>
            </w:r>
          </w:p>
        </w:tc>
        <w:tc>
          <w:tcPr>
            <w:tcW w:w="1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6,879</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20" w:type="dxa"/>
            <w:vAlign w:val="bottom"/>
            <w:tcBorders>
              <w:bottom w:val="single" w:sz="8" w:color="333399"/>
            </w:tcBorders>
          </w:tcPr>
          <w:p>
            <w:pPr>
              <w:spacing w:after="0"/>
              <w:rPr>
                <w:sz w:val="24"/>
                <w:szCs w:val="24"/>
                <w:color w:val="auto"/>
              </w:rPr>
            </w:pPr>
          </w:p>
        </w:tc>
        <w:tc>
          <w:tcPr>
            <w:tcW w:w="480" w:type="dxa"/>
            <w:vAlign w:val="bottom"/>
            <w:tcBorders>
              <w:bottom w:val="single" w:sz="8" w:color="333399"/>
            </w:tcBorders>
          </w:tcPr>
          <w:p>
            <w:pPr>
              <w:spacing w:after="0"/>
              <w:rPr>
                <w:sz w:val="24"/>
                <w:szCs w:val="24"/>
                <w:color w:val="auto"/>
              </w:rPr>
            </w:pPr>
          </w:p>
        </w:tc>
        <w:tc>
          <w:tcPr>
            <w:tcW w:w="1280" w:type="dxa"/>
            <w:vAlign w:val="bottom"/>
            <w:tcBorders>
              <w:bottom w:val="single" w:sz="8" w:color="333399"/>
            </w:tcBorders>
          </w:tcPr>
          <w:p>
            <w:pPr>
              <w:jc w:val="right"/>
              <w:ind w:right="950"/>
              <w:spacing w:after="0"/>
              <w:rPr>
                <w:sz w:val="20"/>
                <w:szCs w:val="20"/>
                <w:color w:val="auto"/>
              </w:rPr>
            </w:pPr>
            <w:r>
              <w:rPr>
                <w:rFonts w:ascii="Arial" w:cs="Arial" w:eastAsia="Arial" w:hAnsi="Arial"/>
                <w:sz w:val="18"/>
                <w:szCs w:val="18"/>
                <w:color w:val="auto"/>
              </w:rPr>
              <w:t>5</w:t>
            </w:r>
          </w:p>
        </w:tc>
        <w:tc>
          <w:tcPr>
            <w:tcW w:w="1540" w:type="dxa"/>
            <w:vAlign w:val="bottom"/>
            <w:tcBorders>
              <w:bottom w:val="single" w:sz="8" w:color="333399"/>
            </w:tcBorders>
          </w:tcPr>
          <w:p>
            <w:pPr>
              <w:spacing w:after="0"/>
              <w:rPr>
                <w:sz w:val="24"/>
                <w:szCs w:val="24"/>
                <w:color w:val="auto"/>
              </w:rPr>
            </w:pPr>
          </w:p>
        </w:tc>
        <w:tc>
          <w:tcPr>
            <w:tcW w:w="380" w:type="dxa"/>
            <w:vAlign w:val="bottom"/>
            <w:tcBorders>
              <w:bottom w:val="single" w:sz="8" w:color="333399"/>
            </w:tcBorders>
          </w:tcPr>
          <w:p>
            <w:pPr>
              <w:spacing w:after="0"/>
              <w:rPr>
                <w:sz w:val="24"/>
                <w:szCs w:val="24"/>
                <w:color w:val="auto"/>
              </w:rPr>
            </w:pPr>
          </w:p>
        </w:tc>
        <w:tc>
          <w:tcPr>
            <w:tcW w:w="1280" w:type="dxa"/>
            <w:vAlign w:val="bottom"/>
            <w:tcBorders>
              <w:bottom w:val="single" w:sz="8" w:color="333399"/>
            </w:tcBorders>
          </w:tcPr>
          <w:p>
            <w:pPr>
              <w:spacing w:after="0"/>
              <w:rPr>
                <w:sz w:val="24"/>
                <w:szCs w:val="24"/>
                <w:color w:val="auto"/>
              </w:rPr>
            </w:pPr>
          </w:p>
        </w:tc>
        <w:tc>
          <w:tcPr>
            <w:tcW w:w="1420" w:type="dxa"/>
            <w:vAlign w:val="bottom"/>
            <w:tcBorders>
              <w:bottom w:val="single" w:sz="8" w:color="33339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002D69"/>
        </w:rPr>
        <w:t>Investor Relations Contact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002D69"/>
        </w:rPr>
        <w:t>Reagan Culbertson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2D69"/>
        </w:rPr>
        <w:t>reagan.culbertson@oildri.com</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002D69"/>
        </w:rPr>
        <w:t>(312) 706 3256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1332230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2910205</wp:posOffset>
            </wp:positionH>
            <wp:positionV relativeFrom="page">
              <wp:posOffset>586105</wp:posOffset>
            </wp:positionV>
            <wp:extent cx="1715135" cy="5746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7151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for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40" w:type="dxa"/>
            <w:vAlign w:val="bottom"/>
            <w:gridSpan w:val="4"/>
          </w:tcPr>
          <w:p>
            <w:pPr>
              <w:ind w:left="500"/>
              <w:spacing w:after="0"/>
              <w:rPr>
                <w:sz w:val="20"/>
                <w:szCs w:val="20"/>
                <w:color w:val="auto"/>
              </w:rPr>
            </w:pPr>
            <w:r>
              <w:rPr>
                <w:rFonts w:ascii="Arial" w:cs="Arial" w:eastAsia="Arial" w:hAnsi="Arial"/>
                <w:sz w:val="18"/>
                <w:szCs w:val="18"/>
                <w:b w:val="1"/>
                <w:bCs w:val="1"/>
                <w:color w:val="auto"/>
              </w:rPr>
              <w:t>As of October 31,</w:t>
            </w:r>
          </w:p>
        </w:tc>
        <w:tc>
          <w:tcPr>
            <w:tcW w:w="0" w:type="dxa"/>
            <w:vAlign w:val="bottom"/>
          </w:tcPr>
          <w:p>
            <w:pPr>
              <w:spacing w:after="0"/>
              <w:rPr>
                <w:sz w:val="1"/>
                <w:szCs w:val="1"/>
                <w:color w:val="auto"/>
              </w:rPr>
            </w:pPr>
          </w:p>
        </w:tc>
      </w:tr>
      <w:tr>
        <w:trPr>
          <w:trHeight w:val="223"/>
        </w:trPr>
        <w:tc>
          <w:tcPr>
            <w:tcW w:w="3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Current Assets</w:t>
            </w:r>
          </w:p>
        </w:tc>
        <w:tc>
          <w:tcPr>
            <w:tcW w:w="4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4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40" w:type="dxa"/>
            <w:vAlign w:val="bottom"/>
            <w:gridSpan w:val="2"/>
            <w:vMerge w:val="continue"/>
          </w:tcPr>
          <w:p>
            <w:pPr>
              <w:spacing w:after="0"/>
              <w:rPr>
                <w:sz w:val="18"/>
                <w:szCs w:val="18"/>
                <w:color w:val="auto"/>
              </w:rPr>
            </w:pPr>
          </w:p>
        </w:tc>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Cash and Cash Equivalents</w:t>
            </w:r>
          </w:p>
        </w:tc>
        <w:tc>
          <w:tcPr>
            <w:tcW w:w="450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17,776</w:t>
            </w:r>
          </w:p>
        </w:tc>
        <w:tc>
          <w:tcPr>
            <w:tcW w:w="46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320"/>
              <w:spacing w:after="0"/>
              <w:rPr>
                <w:sz w:val="20"/>
                <w:szCs w:val="20"/>
                <w:color w:val="auto"/>
              </w:rPr>
            </w:pPr>
            <w:r>
              <w:rPr>
                <w:rFonts w:ascii="Arial" w:cs="Arial" w:eastAsia="Arial" w:hAnsi="Arial"/>
                <w:sz w:val="18"/>
                <w:szCs w:val="18"/>
                <w:b w:val="1"/>
                <w:bCs w:val="1"/>
                <w:color w:val="auto"/>
              </w:rPr>
              <w:t>Short-term Investments</w:t>
            </w:r>
          </w:p>
        </w:tc>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15,187</w:t>
            </w:r>
          </w:p>
        </w:tc>
        <w:tc>
          <w:tcPr>
            <w:tcW w:w="4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Accounts Receivable, net</w:t>
            </w:r>
          </w:p>
        </w:tc>
        <w:tc>
          <w:tcPr>
            <w:tcW w:w="45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31,732</w:t>
            </w:r>
          </w:p>
        </w:tc>
        <w:tc>
          <w:tcPr>
            <w:tcW w:w="4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320"/>
              <w:spacing w:after="0"/>
              <w:rPr>
                <w:sz w:val="20"/>
                <w:szCs w:val="20"/>
                <w:color w:val="auto"/>
              </w:rPr>
            </w:pPr>
            <w:r>
              <w:rPr>
                <w:rFonts w:ascii="Arial" w:cs="Arial" w:eastAsia="Arial" w:hAnsi="Arial"/>
                <w:sz w:val="18"/>
                <w:szCs w:val="18"/>
                <w:b w:val="1"/>
                <w:bCs w:val="1"/>
                <w:color w:val="auto"/>
              </w:rPr>
              <w:t>Inventories</w:t>
            </w:r>
          </w:p>
        </w:tc>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22,344</w:t>
            </w:r>
          </w:p>
        </w:tc>
        <w:tc>
          <w:tcPr>
            <w:tcW w:w="4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20,998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Prepaid Expenses</w:t>
            </w:r>
          </w:p>
        </w:tc>
        <w:tc>
          <w:tcPr>
            <w:tcW w:w="4500" w:type="dxa"/>
            <w:vAlign w:val="bottom"/>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320" w:type="dxa"/>
            <w:vAlign w:val="bottom"/>
            <w:tcBorders>
              <w:bottom w:val="single" w:sz="8" w:color="auto"/>
            </w:tcBorders>
            <w:shd w:val="clear" w:color="auto" w:fill="CCFFCC"/>
          </w:tcPr>
          <w:p>
            <w:pPr>
              <w:spacing w:after="0"/>
              <w:rPr>
                <w:sz w:val="19"/>
                <w:szCs w:val="19"/>
                <w:color w:val="auto"/>
              </w:rPr>
            </w:pPr>
          </w:p>
        </w:tc>
        <w:tc>
          <w:tcPr>
            <w:tcW w:w="112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9,503</w:t>
            </w:r>
          </w:p>
        </w:tc>
        <w:tc>
          <w:tcPr>
            <w:tcW w:w="460" w:type="dxa"/>
            <w:vAlign w:val="bottom"/>
            <w:tcBorders>
              <w:bottom w:val="single" w:sz="8" w:color="auto"/>
            </w:tcBorders>
            <w:shd w:val="clear" w:color="auto" w:fill="CCFFCC"/>
          </w:tcPr>
          <w:p>
            <w:pPr>
              <w:spacing w:after="0"/>
              <w:rPr>
                <w:sz w:val="19"/>
                <w:szCs w:val="19"/>
                <w:color w:val="auto"/>
              </w:rPr>
            </w:pPr>
          </w:p>
        </w:tc>
        <w:tc>
          <w:tcPr>
            <w:tcW w:w="1060" w:type="dxa"/>
            <w:vAlign w:val="bottom"/>
            <w:tcBorders>
              <w:bottom w:val="single" w:sz="8" w:color="auto"/>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8,501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bottom w:val="single" w:sz="8" w:color="CCFFCC"/>
            </w:tcBorders>
          </w:tcPr>
          <w:p>
            <w:pPr>
              <w:ind w:left="1780"/>
              <w:spacing w:after="0"/>
              <w:rPr>
                <w:sz w:val="20"/>
                <w:szCs w:val="20"/>
                <w:color w:val="auto"/>
              </w:rPr>
            </w:pPr>
            <w:r>
              <w:rPr>
                <w:rFonts w:ascii="Arial" w:cs="Arial" w:eastAsia="Arial" w:hAnsi="Arial"/>
                <w:sz w:val="18"/>
                <w:szCs w:val="18"/>
                <w:b w:val="1"/>
                <w:bCs w:val="1"/>
                <w:color w:val="auto"/>
              </w:rPr>
              <w:t>Total Current Assets</w:t>
            </w:r>
          </w:p>
        </w:tc>
        <w:tc>
          <w:tcPr>
            <w:tcW w:w="4500" w:type="dxa"/>
            <w:vAlign w:val="bottom"/>
            <w:tcBorders>
              <w:bottom w:val="single" w:sz="8" w:color="CCFFC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96,542</w:t>
            </w: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95,997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45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67,230</w:t>
            </w:r>
          </w:p>
        </w:tc>
        <w:tc>
          <w:tcPr>
            <w:tcW w:w="4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64,412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Other Assets</w:t>
            </w:r>
          </w:p>
        </w:tc>
        <w:tc>
          <w:tcPr>
            <w:tcW w:w="450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14,657</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14,299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Assets</w:t>
            </w:r>
          </w:p>
        </w:tc>
        <w:tc>
          <w:tcPr>
            <w:tcW w:w="4500" w:type="dxa"/>
            <w:vAlign w:val="bottom"/>
            <w:tcBorders>
              <w:bottom w:val="single" w:sz="8" w:color="CCFFCC"/>
            </w:tcBorders>
            <w:shd w:val="clear" w:color="auto" w:fill="CCFFCC"/>
          </w:tcPr>
          <w:p>
            <w:pPr>
              <w:spacing w:after="0"/>
              <w:rPr>
                <w:sz w:val="19"/>
                <w:szCs w:val="19"/>
                <w:color w:val="auto"/>
              </w:rPr>
            </w:pPr>
          </w:p>
        </w:tc>
        <w:tc>
          <w:tcPr>
            <w:tcW w:w="540" w:type="dxa"/>
            <w:vAlign w:val="bottom"/>
            <w:tcBorders>
              <w:bottom w:val="single" w:sz="8" w:color="auto"/>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178,429</w:t>
            </w:r>
          </w:p>
        </w:tc>
        <w:tc>
          <w:tcPr>
            <w:tcW w:w="46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174,708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Current Liabilities</w:t>
            </w:r>
          </w:p>
        </w:tc>
        <w:tc>
          <w:tcPr>
            <w:tcW w:w="45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320"/>
              <w:spacing w:after="0"/>
              <w:rPr>
                <w:sz w:val="20"/>
                <w:szCs w:val="20"/>
                <w:color w:val="auto"/>
              </w:rPr>
            </w:pPr>
            <w:r>
              <w:rPr>
                <w:rFonts w:ascii="Arial" w:cs="Arial" w:eastAsia="Arial" w:hAnsi="Arial"/>
                <w:sz w:val="18"/>
                <w:szCs w:val="18"/>
                <w:b w:val="1"/>
                <w:bCs w:val="1"/>
                <w:color w:val="auto"/>
              </w:rPr>
              <w:t>Current Maturities of Notes Payable</w:t>
            </w:r>
          </w:p>
        </w:tc>
        <w:tc>
          <w:tcPr>
            <w:tcW w:w="45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3,500</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Accounts Payable</w:t>
            </w:r>
          </w:p>
        </w:tc>
        <w:tc>
          <w:tcPr>
            <w:tcW w:w="45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6,907</w:t>
            </w:r>
          </w:p>
        </w:tc>
        <w:tc>
          <w:tcPr>
            <w:tcW w:w="4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320"/>
              <w:spacing w:after="0"/>
              <w:rPr>
                <w:sz w:val="20"/>
                <w:szCs w:val="20"/>
                <w:color w:val="auto"/>
              </w:rPr>
            </w:pPr>
            <w:r>
              <w:rPr>
                <w:rFonts w:ascii="Arial" w:cs="Arial" w:eastAsia="Arial" w:hAnsi="Arial"/>
                <w:sz w:val="18"/>
                <w:szCs w:val="18"/>
                <w:b w:val="1"/>
                <w:bCs w:val="1"/>
                <w:color w:val="auto"/>
              </w:rPr>
              <w:t>Dividends Payable</w:t>
            </w:r>
          </w:p>
        </w:tc>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1,242</w:t>
            </w:r>
          </w:p>
        </w:tc>
        <w:tc>
          <w:tcPr>
            <w:tcW w:w="4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Accrued Expenses</w:t>
            </w:r>
          </w:p>
        </w:tc>
        <w:tc>
          <w:tcPr>
            <w:tcW w:w="4500" w:type="dxa"/>
            <w:vAlign w:val="bottom"/>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320" w:type="dxa"/>
            <w:vAlign w:val="bottom"/>
            <w:tcBorders>
              <w:bottom w:val="single" w:sz="8" w:color="auto"/>
            </w:tcBorders>
            <w:shd w:val="clear" w:color="auto" w:fill="CCFFCC"/>
          </w:tcPr>
          <w:p>
            <w:pPr>
              <w:spacing w:after="0"/>
              <w:rPr>
                <w:sz w:val="19"/>
                <w:szCs w:val="19"/>
                <w:color w:val="auto"/>
              </w:rPr>
            </w:pPr>
          </w:p>
        </w:tc>
        <w:tc>
          <w:tcPr>
            <w:tcW w:w="112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15,665</w:t>
            </w:r>
          </w:p>
        </w:tc>
        <w:tc>
          <w:tcPr>
            <w:tcW w:w="460" w:type="dxa"/>
            <w:vAlign w:val="bottom"/>
            <w:tcBorders>
              <w:bottom w:val="single" w:sz="8" w:color="auto"/>
            </w:tcBorders>
            <w:shd w:val="clear" w:color="auto" w:fill="CCFFCC"/>
          </w:tcPr>
          <w:p>
            <w:pPr>
              <w:spacing w:after="0"/>
              <w:rPr>
                <w:sz w:val="19"/>
                <w:szCs w:val="19"/>
                <w:color w:val="auto"/>
              </w:rPr>
            </w:pPr>
          </w:p>
        </w:tc>
        <w:tc>
          <w:tcPr>
            <w:tcW w:w="1060" w:type="dxa"/>
            <w:vAlign w:val="bottom"/>
            <w:tcBorders>
              <w:bottom w:val="single" w:sz="8" w:color="auto"/>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15,953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bottom w:val="single" w:sz="8" w:color="CCFFCC"/>
            </w:tcBorders>
          </w:tcPr>
          <w:p>
            <w:pPr>
              <w:ind w:left="1780"/>
              <w:spacing w:after="0"/>
              <w:rPr>
                <w:sz w:val="20"/>
                <w:szCs w:val="20"/>
                <w:color w:val="auto"/>
              </w:rPr>
            </w:pPr>
            <w:r>
              <w:rPr>
                <w:rFonts w:ascii="Arial" w:cs="Arial" w:eastAsia="Arial" w:hAnsi="Arial"/>
                <w:sz w:val="18"/>
                <w:szCs w:val="18"/>
                <w:b w:val="1"/>
                <w:bCs w:val="1"/>
                <w:color w:val="auto"/>
                <w:w w:val="95"/>
              </w:rPr>
              <w:t>Total Current Liabilities</w:t>
            </w:r>
          </w:p>
        </w:tc>
        <w:tc>
          <w:tcPr>
            <w:tcW w:w="4500" w:type="dxa"/>
            <w:vAlign w:val="bottom"/>
            <w:tcBorders>
              <w:bottom w:val="single" w:sz="8" w:color="CCFFC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27,314</w:t>
            </w: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28,660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Noncurrent Liabilities</w:t>
            </w:r>
          </w:p>
        </w:tc>
        <w:tc>
          <w:tcPr>
            <w:tcW w:w="45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320"/>
              <w:spacing w:after="0"/>
              <w:rPr>
                <w:sz w:val="20"/>
                <w:szCs w:val="20"/>
                <w:color w:val="auto"/>
              </w:rPr>
            </w:pPr>
            <w:r>
              <w:rPr>
                <w:rFonts w:ascii="Arial" w:cs="Arial" w:eastAsia="Arial" w:hAnsi="Arial"/>
                <w:sz w:val="18"/>
                <w:szCs w:val="18"/>
                <w:b w:val="1"/>
                <w:bCs w:val="1"/>
                <w:color w:val="auto"/>
              </w:rPr>
              <w:t>Notes Payable</w:t>
            </w:r>
          </w:p>
        </w:tc>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18,900</w:t>
            </w:r>
          </w:p>
        </w:tc>
        <w:tc>
          <w:tcPr>
            <w:tcW w:w="4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22,400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Other Noncurrent Liabilities</w:t>
            </w:r>
          </w:p>
        </w:tc>
        <w:tc>
          <w:tcPr>
            <w:tcW w:w="4500" w:type="dxa"/>
            <w:vAlign w:val="bottom"/>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320" w:type="dxa"/>
            <w:vAlign w:val="bottom"/>
            <w:tcBorders>
              <w:bottom w:val="single" w:sz="8" w:color="auto"/>
            </w:tcBorders>
            <w:shd w:val="clear" w:color="auto" w:fill="CCFFCC"/>
          </w:tcPr>
          <w:p>
            <w:pPr>
              <w:spacing w:after="0"/>
              <w:rPr>
                <w:sz w:val="19"/>
                <w:szCs w:val="19"/>
                <w:color w:val="auto"/>
              </w:rPr>
            </w:pPr>
          </w:p>
        </w:tc>
        <w:tc>
          <w:tcPr>
            <w:tcW w:w="112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27,345</w:t>
            </w:r>
          </w:p>
        </w:tc>
        <w:tc>
          <w:tcPr>
            <w:tcW w:w="460" w:type="dxa"/>
            <w:vAlign w:val="bottom"/>
            <w:tcBorders>
              <w:bottom w:val="single" w:sz="8" w:color="auto"/>
            </w:tcBorders>
            <w:shd w:val="clear" w:color="auto" w:fill="CCFFCC"/>
          </w:tcPr>
          <w:p>
            <w:pPr>
              <w:spacing w:after="0"/>
              <w:rPr>
                <w:sz w:val="19"/>
                <w:szCs w:val="19"/>
                <w:color w:val="auto"/>
              </w:rPr>
            </w:pPr>
          </w:p>
        </w:tc>
        <w:tc>
          <w:tcPr>
            <w:tcW w:w="1060" w:type="dxa"/>
            <w:vAlign w:val="bottom"/>
            <w:tcBorders>
              <w:bottom w:val="single" w:sz="8" w:color="auto"/>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34,610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FFCC"/>
            </w:tcBorders>
            <w:gridSpan w:val="2"/>
          </w:tcPr>
          <w:p>
            <w:pPr>
              <w:ind w:left="1780"/>
              <w:spacing w:after="0"/>
              <w:rPr>
                <w:sz w:val="20"/>
                <w:szCs w:val="20"/>
                <w:color w:val="auto"/>
              </w:rPr>
            </w:pPr>
            <w:r>
              <w:rPr>
                <w:rFonts w:ascii="Arial" w:cs="Arial" w:eastAsia="Arial" w:hAnsi="Arial"/>
                <w:sz w:val="18"/>
                <w:szCs w:val="18"/>
                <w:b w:val="1"/>
                <w:bCs w:val="1"/>
                <w:color w:val="auto"/>
              </w:rPr>
              <w:t>Total Noncurrent Liabilities</w:t>
            </w: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46,245</w:t>
            </w: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57,010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Stockholders' Equity</w:t>
            </w:r>
          </w:p>
        </w:tc>
        <w:tc>
          <w:tcPr>
            <w:tcW w:w="4500" w:type="dxa"/>
            <w:vAlign w:val="bottom"/>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spacing w:after="0"/>
              <w:rPr>
                <w:sz w:val="18"/>
                <w:szCs w:val="18"/>
                <w:color w:val="auto"/>
              </w:rPr>
            </w:pPr>
          </w:p>
        </w:tc>
        <w:tc>
          <w:tcPr>
            <w:tcW w:w="112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104,870</w:t>
            </w:r>
          </w:p>
        </w:tc>
        <w:tc>
          <w:tcPr>
            <w:tcW w:w="460" w:type="dxa"/>
            <w:vAlign w:val="bottom"/>
            <w:tcBorders>
              <w:bottom w:val="single" w:sz="8" w:color="auto"/>
            </w:tcBorders>
            <w:shd w:val="clear" w:color="auto" w:fill="CCFFCC"/>
          </w:tcPr>
          <w:p>
            <w:pPr>
              <w:spacing w:after="0"/>
              <w:rPr>
                <w:sz w:val="18"/>
                <w:szCs w:val="18"/>
                <w:color w:val="auto"/>
              </w:rPr>
            </w:pPr>
          </w:p>
        </w:tc>
        <w:tc>
          <w:tcPr>
            <w:tcW w:w="1060" w:type="dxa"/>
            <w:vAlign w:val="bottom"/>
            <w:tcBorders>
              <w:bottom w:val="single" w:sz="8" w:color="auto"/>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89,038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2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500" w:type="dxa"/>
            <w:vAlign w:val="bottom"/>
            <w:tcBorders>
              <w:bottom w:val="single" w:sz="8" w:color="CCFFCC"/>
            </w:tcBorders>
          </w:tcPr>
          <w:p>
            <w:pPr>
              <w:spacing w:after="0"/>
              <w:rPr>
                <w:sz w:val="22"/>
                <w:szCs w:val="22"/>
                <w:color w:val="auto"/>
              </w:rPr>
            </w:pPr>
          </w:p>
        </w:tc>
        <w:tc>
          <w:tcPr>
            <w:tcW w:w="5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178,429</w:t>
            </w:r>
          </w:p>
        </w:tc>
        <w:tc>
          <w:tcPr>
            <w:tcW w:w="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174,708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720" w:type="dxa"/>
            <w:vAlign w:val="bottom"/>
            <w:shd w:val="clear" w:color="auto" w:fill="CCFFCC"/>
          </w:tcPr>
          <w:p>
            <w:pPr>
              <w:spacing w:after="0"/>
              <w:rPr>
                <w:sz w:val="17"/>
                <w:szCs w:val="17"/>
                <w:color w:val="auto"/>
              </w:rPr>
            </w:pPr>
          </w:p>
        </w:tc>
        <w:tc>
          <w:tcPr>
            <w:tcW w:w="45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auto"/>
              </w:rPr>
              <w:t>Book Value Per Share Outstanding</w:t>
            </w:r>
          </w:p>
        </w:tc>
        <w:tc>
          <w:tcPr>
            <w:tcW w:w="45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15.10</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shd w:val="clear" w:color="auto" w:fill="CCFFCC"/>
          </w:tcPr>
          <w:p>
            <w:pPr>
              <w:spacing w:after="0"/>
              <w:rPr>
                <w:sz w:val="18"/>
                <w:szCs w:val="18"/>
                <w:color w:val="auto"/>
              </w:rPr>
            </w:pPr>
          </w:p>
        </w:tc>
        <w:tc>
          <w:tcPr>
            <w:tcW w:w="45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auto"/>
              </w:rPr>
              <w:t>Acquisitions of</w:t>
            </w: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540" w:type="dxa"/>
            <w:vAlign w:val="bottom"/>
            <w:gridSpan w:val="2"/>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Property, Plant and Equipment</w:t>
            </w:r>
          </w:p>
        </w:tc>
        <w:tc>
          <w:tcPr>
            <w:tcW w:w="4500" w:type="dxa"/>
            <w:vAlign w:val="bottom"/>
            <w:shd w:val="clear" w:color="auto" w:fill="CCFFCC"/>
          </w:tcPr>
          <w:p>
            <w:pPr>
              <w:ind w:left="40"/>
              <w:spacing w:after="0"/>
              <w:rPr>
                <w:sz w:val="20"/>
                <w:szCs w:val="20"/>
                <w:color w:val="auto"/>
              </w:rPr>
            </w:pPr>
            <w:r>
              <w:rPr>
                <w:rFonts w:ascii="Arial" w:cs="Arial" w:eastAsia="Arial" w:hAnsi="Arial"/>
                <w:sz w:val="18"/>
                <w:szCs w:val="18"/>
                <w:b w:val="1"/>
                <w:bCs w:val="1"/>
                <w:color w:val="auto"/>
              </w:rPr>
              <w:t>First Quarter</w:t>
            </w:r>
          </w:p>
        </w:tc>
        <w:tc>
          <w:tcPr>
            <w:tcW w:w="5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3,382</w:t>
            </w:r>
          </w:p>
        </w:tc>
        <w:tc>
          <w:tcPr>
            <w:tcW w:w="46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Year to Date</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3,382</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w w:val="99"/>
              </w:rPr>
              <w:t>Depreciation and Amortization Charges</w:t>
            </w:r>
          </w:p>
        </w:tc>
        <w:tc>
          <w:tcPr>
            <w:tcW w:w="4500" w:type="dxa"/>
            <w:vAlign w:val="bottom"/>
            <w:shd w:val="clear" w:color="auto" w:fill="CCFFCC"/>
          </w:tcPr>
          <w:p>
            <w:pPr>
              <w:ind w:left="40"/>
              <w:spacing w:after="0"/>
              <w:rPr>
                <w:sz w:val="20"/>
                <w:szCs w:val="20"/>
                <w:color w:val="auto"/>
              </w:rPr>
            </w:pPr>
            <w:r>
              <w:rPr>
                <w:rFonts w:ascii="Arial" w:cs="Arial" w:eastAsia="Arial" w:hAnsi="Arial"/>
                <w:sz w:val="18"/>
                <w:szCs w:val="18"/>
                <w:b w:val="1"/>
                <w:bCs w:val="1"/>
                <w:color w:val="auto"/>
              </w:rPr>
              <w:t>First Quarter</w:t>
            </w:r>
          </w:p>
        </w:tc>
        <w:tc>
          <w:tcPr>
            <w:tcW w:w="5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2,231</w:t>
            </w:r>
          </w:p>
        </w:tc>
        <w:tc>
          <w:tcPr>
            <w:tcW w:w="46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Year to Date</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2,231</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002D69"/>
        </w:rPr>
        <w:t>Investor Relations Contact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002D69"/>
        </w:rPr>
        <w:t>Reagan Culbertson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2D69"/>
        </w:rPr>
        <w:t>reagan.culbertson@oildri.com</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002D69"/>
        </w:rPr>
        <w:t>(312) 706 3256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1332230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2910205</wp:posOffset>
            </wp:positionH>
            <wp:positionV relativeFrom="page">
              <wp:posOffset>586105</wp:posOffset>
            </wp:positionV>
            <wp:extent cx="1715135" cy="5746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7151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6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w w:val="95"/>
              </w:rPr>
              <w:t>For the Three Months Ended</w:t>
            </w:r>
          </w:p>
        </w:tc>
        <w:tc>
          <w:tcPr>
            <w:tcW w:w="0" w:type="dxa"/>
            <w:vAlign w:val="bottom"/>
          </w:tcPr>
          <w:p>
            <w:pPr>
              <w:spacing w:after="0"/>
              <w:rPr>
                <w:sz w:val="1"/>
                <w:szCs w:val="1"/>
                <w:color w:val="auto"/>
              </w:rPr>
            </w:pPr>
          </w:p>
        </w:tc>
      </w:tr>
      <w:tr>
        <w:trPr>
          <w:trHeight w:val="234"/>
        </w:trPr>
        <w:tc>
          <w:tcPr>
            <w:tcW w:w="5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October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80" w:type="dxa"/>
            <w:vAlign w:val="bottom"/>
            <w:gridSpan w:val="2"/>
            <w:vMerge w:val="continue"/>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2013</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348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2,887</w:t>
            </w:r>
          </w:p>
        </w:tc>
        <w:tc>
          <w:tcPr>
            <w:tcW w:w="48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Adjustments to reconcile net income to net cash</w:t>
            </w:r>
          </w:p>
        </w:tc>
        <w:tc>
          <w:tcPr>
            <w:tcW w:w="30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(used in) provided by operating activities:</w:t>
            </w: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rPr>
              <w:t>Depreciation and Amortization</w:t>
            </w:r>
          </w:p>
        </w:tc>
        <w:tc>
          <w:tcPr>
            <w:tcW w:w="30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2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2,231</w:t>
            </w:r>
          </w:p>
        </w:tc>
        <w:tc>
          <w:tcPr>
            <w:tcW w:w="480" w:type="dxa"/>
            <w:vAlign w:val="bottom"/>
            <w:shd w:val="clear" w:color="auto" w:fill="CCFFCC"/>
          </w:tcPr>
          <w:p>
            <w:pPr>
              <w:spacing w:after="0"/>
              <w:rPr>
                <w:sz w:val="18"/>
                <w:szCs w:val="18"/>
                <w:color w:val="auto"/>
              </w:rPr>
            </w:pPr>
          </w:p>
        </w:tc>
        <w:tc>
          <w:tcPr>
            <w:tcW w:w="10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20"/>
              <w:spacing w:after="0"/>
              <w:rPr>
                <w:sz w:val="20"/>
                <w:szCs w:val="20"/>
                <w:color w:val="auto"/>
              </w:rPr>
            </w:pPr>
            <w:r>
              <w:rPr>
                <w:rFonts w:ascii="Arial" w:cs="Arial" w:eastAsia="Arial" w:hAnsi="Arial"/>
                <w:sz w:val="18"/>
                <w:szCs w:val="18"/>
                <w:b w:val="1"/>
                <w:bCs w:val="1"/>
                <w:color w:val="auto"/>
              </w:rPr>
              <w:t>Capacity Rationalization Plan Charges</w:t>
            </w: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rPr>
              <w:t>Increase in Accounts Receivable</w:t>
            </w:r>
          </w:p>
        </w:tc>
        <w:tc>
          <w:tcPr>
            <w:tcW w:w="30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2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(604)</w:t>
            </w:r>
          </w:p>
        </w:tc>
        <w:tc>
          <w:tcPr>
            <w:tcW w:w="4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20"/>
              <w:spacing w:after="0"/>
              <w:rPr>
                <w:sz w:val="20"/>
                <w:szCs w:val="20"/>
                <w:color w:val="auto"/>
              </w:rPr>
            </w:pPr>
            <w:r>
              <w:rPr>
                <w:rFonts w:ascii="Arial" w:cs="Arial" w:eastAsia="Arial" w:hAnsi="Arial"/>
                <w:sz w:val="18"/>
                <w:szCs w:val="18"/>
                <w:b w:val="1"/>
                <w:bCs w:val="1"/>
                <w:color w:val="auto"/>
              </w:rPr>
              <w:t>Increase in Inventories</w:t>
            </w: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(1,621)</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rPr>
              <w:t>Increase in Accounts Payable</w:t>
            </w:r>
          </w:p>
        </w:tc>
        <w:tc>
          <w:tcPr>
            <w:tcW w:w="30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2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367</w:t>
            </w:r>
          </w:p>
        </w:tc>
        <w:tc>
          <w:tcPr>
            <w:tcW w:w="480" w:type="dxa"/>
            <w:vAlign w:val="bottom"/>
            <w:shd w:val="clear" w:color="auto" w:fill="CCFFCC"/>
          </w:tcPr>
          <w:p>
            <w:pPr>
              <w:spacing w:after="0"/>
              <w:rPr>
                <w:sz w:val="18"/>
                <w:szCs w:val="18"/>
                <w:color w:val="auto"/>
              </w:rPr>
            </w:pPr>
          </w:p>
        </w:tc>
        <w:tc>
          <w:tcPr>
            <w:tcW w:w="10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20"/>
              <w:spacing w:after="0"/>
              <w:rPr>
                <w:sz w:val="20"/>
                <w:szCs w:val="20"/>
                <w:color w:val="auto"/>
              </w:rPr>
            </w:pPr>
            <w:r>
              <w:rPr>
                <w:rFonts w:ascii="Arial" w:cs="Arial" w:eastAsia="Arial" w:hAnsi="Arial"/>
                <w:sz w:val="18"/>
                <w:szCs w:val="18"/>
                <w:b w:val="1"/>
                <w:bCs w:val="1"/>
                <w:color w:val="auto"/>
              </w:rPr>
              <w:t>Decrease in Accrued Expenses</w:t>
            </w: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(4,313)</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rPr>
              <w:t>Increase in Pension and Postretirement Benefits</w:t>
            </w:r>
          </w:p>
        </w:tc>
        <w:tc>
          <w:tcPr>
            <w:tcW w:w="30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2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277</w:t>
            </w:r>
          </w:p>
        </w:tc>
        <w:tc>
          <w:tcPr>
            <w:tcW w:w="480" w:type="dxa"/>
            <w:vAlign w:val="bottom"/>
            <w:shd w:val="clear" w:color="auto" w:fill="CCFFCC"/>
          </w:tcPr>
          <w:p>
            <w:pPr>
              <w:spacing w:after="0"/>
              <w:rPr>
                <w:sz w:val="18"/>
                <w:szCs w:val="18"/>
                <w:color w:val="auto"/>
              </w:rPr>
            </w:pPr>
          </w:p>
        </w:tc>
        <w:tc>
          <w:tcPr>
            <w:tcW w:w="10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Borders>
              <w:bottom w:val="single" w:sz="8" w:color="CCFFCC"/>
            </w:tcBorders>
          </w:tcPr>
          <w:p>
            <w:pPr>
              <w:ind w:left="220"/>
              <w:spacing w:after="0"/>
              <w:rPr>
                <w:sz w:val="20"/>
                <w:szCs w:val="20"/>
                <w:color w:val="auto"/>
              </w:rPr>
            </w:pPr>
            <w:r>
              <w:rPr>
                <w:rFonts w:ascii="Arial" w:cs="Arial" w:eastAsia="Arial" w:hAnsi="Arial"/>
                <w:sz w:val="18"/>
                <w:szCs w:val="18"/>
                <w:b w:val="1"/>
                <w:bCs w:val="1"/>
                <w:color w:val="auto"/>
              </w:rPr>
              <w:t>Other</w:t>
            </w:r>
          </w:p>
        </w:tc>
        <w:tc>
          <w:tcPr>
            <w:tcW w:w="3060" w:type="dxa"/>
            <w:vAlign w:val="bottom"/>
            <w:tcBorders>
              <w:bottom w:val="single" w:sz="8" w:color="CCFFC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124</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FFCC"/>
          </w:tcPr>
          <w:p>
            <w:pPr>
              <w:ind w:left="440"/>
              <w:spacing w:after="0"/>
              <w:rPr>
                <w:sz w:val="20"/>
                <w:szCs w:val="20"/>
                <w:color w:val="auto"/>
              </w:rPr>
            </w:pPr>
            <w:r>
              <w:rPr>
                <w:rFonts w:ascii="Arial" w:cs="Arial" w:eastAsia="Arial" w:hAnsi="Arial"/>
                <w:sz w:val="18"/>
                <w:szCs w:val="18"/>
                <w:b w:val="1"/>
                <w:bCs w:val="1"/>
                <w:color w:val="auto"/>
              </w:rPr>
              <w:t>Total Adjustments</w:t>
            </w:r>
          </w:p>
        </w:tc>
        <w:tc>
          <w:tcPr>
            <w:tcW w:w="3060" w:type="dxa"/>
            <w:vAlign w:val="bottom"/>
            <w:shd w:val="clear" w:color="auto" w:fill="CCFFCC"/>
          </w:tcPr>
          <w:p>
            <w:pPr>
              <w:spacing w:after="0"/>
              <w:rPr>
                <w:sz w:val="18"/>
                <w:szCs w:val="18"/>
                <w:color w:val="auto"/>
              </w:rPr>
            </w:pPr>
          </w:p>
        </w:tc>
        <w:tc>
          <w:tcPr>
            <w:tcW w:w="420" w:type="dxa"/>
            <w:vAlign w:val="bottom"/>
            <w:tcBorders>
              <w:bottom w:val="single" w:sz="8" w:color="auto"/>
            </w:tcBorders>
            <w:shd w:val="clear" w:color="auto" w:fill="CCFFCC"/>
          </w:tcPr>
          <w:p>
            <w:pPr>
              <w:spacing w:after="0"/>
              <w:rPr>
                <w:sz w:val="18"/>
                <w:szCs w:val="18"/>
                <w:color w:val="auto"/>
              </w:rPr>
            </w:pPr>
          </w:p>
        </w:tc>
        <w:tc>
          <w:tcPr>
            <w:tcW w:w="128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(3,539)</w:t>
            </w:r>
          </w:p>
        </w:tc>
        <w:tc>
          <w:tcPr>
            <w:tcW w:w="4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bottom w:val="single" w:sz="8" w:color="CCFFCC"/>
            </w:tcBorders>
          </w:tcPr>
          <w:p>
            <w:pPr>
              <w:ind w:left="22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3060" w:type="dxa"/>
            <w:vAlign w:val="bottom"/>
            <w:tcBorders>
              <w:bottom w:val="single" w:sz="8" w:color="CCFFC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(652)</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shd w:val="clear" w:color="auto" w:fill="CCFFCC"/>
          </w:tcPr>
          <w:p>
            <w:pPr>
              <w:spacing w:after="0"/>
              <w:rPr>
                <w:sz w:val="18"/>
                <w:szCs w:val="18"/>
                <w:color w:val="auto"/>
              </w:rPr>
            </w:pPr>
          </w:p>
        </w:tc>
        <w:tc>
          <w:tcPr>
            <w:tcW w:w="30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rPr>
              <w:t>Capital Expenditures</w:t>
            </w:r>
          </w:p>
        </w:tc>
        <w:tc>
          <w:tcPr>
            <w:tcW w:w="30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2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(3,382)</w:t>
            </w:r>
          </w:p>
        </w:tc>
        <w:tc>
          <w:tcPr>
            <w:tcW w:w="4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b w:val="1"/>
                <w:bCs w:val="1"/>
                <w:color w:val="auto"/>
              </w:rPr>
              <w:t>Advance Payment for Acquisition</w:t>
            </w: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(800)</w:t>
            </w:r>
          </w:p>
        </w:tc>
        <w:tc>
          <w:tcPr>
            <w:tcW w:w="4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rPr>
              <w:t>Net Dispositions of Investment Securities</w:t>
            </w:r>
          </w:p>
        </w:tc>
        <w:tc>
          <w:tcPr>
            <w:tcW w:w="30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2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3,273</w:t>
            </w:r>
          </w:p>
        </w:tc>
        <w:tc>
          <w:tcPr>
            <w:tcW w:w="480" w:type="dxa"/>
            <w:vAlign w:val="bottom"/>
            <w:shd w:val="clear" w:color="auto" w:fill="CCFFCC"/>
          </w:tcPr>
          <w:p>
            <w:pPr>
              <w:spacing w:after="0"/>
              <w:rPr>
                <w:sz w:val="18"/>
                <w:szCs w:val="18"/>
                <w:color w:val="auto"/>
              </w:rPr>
            </w:pPr>
          </w:p>
        </w:tc>
        <w:tc>
          <w:tcPr>
            <w:tcW w:w="10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Borders>
              <w:bottom w:val="single" w:sz="8" w:color="CCFFCC"/>
            </w:tcBorders>
          </w:tcPr>
          <w:p>
            <w:pPr>
              <w:ind w:left="220"/>
              <w:spacing w:after="0"/>
              <w:rPr>
                <w:sz w:val="20"/>
                <w:szCs w:val="20"/>
                <w:color w:val="auto"/>
              </w:rPr>
            </w:pPr>
            <w:r>
              <w:rPr>
                <w:rFonts w:ascii="Arial" w:cs="Arial" w:eastAsia="Arial" w:hAnsi="Arial"/>
                <w:sz w:val="18"/>
                <w:szCs w:val="18"/>
                <w:b w:val="1"/>
                <w:bCs w:val="1"/>
                <w:color w:val="auto"/>
              </w:rPr>
              <w:t>Other</w:t>
            </w:r>
          </w:p>
        </w:tc>
        <w:tc>
          <w:tcPr>
            <w:tcW w:w="3060" w:type="dxa"/>
            <w:vAlign w:val="bottom"/>
            <w:tcBorders>
              <w:bottom w:val="single" w:sz="8" w:color="CCFFC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rPr>
              <w:t>Net Cash Used in Investing Activities</w:t>
            </w:r>
          </w:p>
        </w:tc>
        <w:tc>
          <w:tcPr>
            <w:tcW w:w="3060" w:type="dxa"/>
            <w:vAlign w:val="bottom"/>
            <w:shd w:val="clear" w:color="auto" w:fill="CCFFCC"/>
          </w:tcPr>
          <w:p>
            <w:pPr>
              <w:spacing w:after="0"/>
              <w:rPr>
                <w:sz w:val="18"/>
                <w:szCs w:val="18"/>
                <w:color w:val="auto"/>
              </w:rPr>
            </w:pPr>
          </w:p>
        </w:tc>
        <w:tc>
          <w:tcPr>
            <w:tcW w:w="420" w:type="dxa"/>
            <w:vAlign w:val="bottom"/>
            <w:tcBorders>
              <w:bottom w:val="single" w:sz="8" w:color="auto"/>
            </w:tcBorders>
            <w:shd w:val="clear" w:color="auto" w:fill="CCFFCC"/>
          </w:tcPr>
          <w:p>
            <w:pPr>
              <w:spacing w:after="0"/>
              <w:rPr>
                <w:sz w:val="18"/>
                <w:szCs w:val="18"/>
                <w:color w:val="auto"/>
              </w:rPr>
            </w:pPr>
          </w:p>
        </w:tc>
        <w:tc>
          <w:tcPr>
            <w:tcW w:w="128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(895)</w:t>
            </w:r>
          </w:p>
        </w:tc>
        <w:tc>
          <w:tcPr>
            <w:tcW w:w="4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20"/>
              <w:spacing w:after="0"/>
              <w:rPr>
                <w:sz w:val="20"/>
                <w:szCs w:val="20"/>
                <w:color w:val="auto"/>
              </w:rPr>
            </w:pPr>
            <w:r>
              <w:rPr>
                <w:rFonts w:ascii="Arial" w:cs="Arial" w:eastAsia="Arial" w:hAnsi="Arial"/>
                <w:sz w:val="18"/>
                <w:szCs w:val="18"/>
                <w:b w:val="1"/>
                <w:bCs w:val="1"/>
                <w:color w:val="auto"/>
              </w:rPr>
              <w:t>Principal Payments on Long-Term Debt</w:t>
            </w: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(3,500)</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rPr>
              <w:t>Dividends Paid</w:t>
            </w:r>
          </w:p>
        </w:tc>
        <w:tc>
          <w:tcPr>
            <w:tcW w:w="30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2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(1,236)</w:t>
            </w:r>
          </w:p>
        </w:tc>
        <w:tc>
          <w:tcPr>
            <w:tcW w:w="4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20"/>
              <w:spacing w:after="0"/>
              <w:rPr>
                <w:sz w:val="20"/>
                <w:szCs w:val="20"/>
                <w:color w:val="auto"/>
              </w:rPr>
            </w:pPr>
            <w:r>
              <w:rPr>
                <w:rFonts w:ascii="Arial" w:cs="Arial" w:eastAsia="Arial" w:hAnsi="Arial"/>
                <w:sz w:val="18"/>
                <w:szCs w:val="18"/>
                <w:b w:val="1"/>
                <w:bCs w:val="1"/>
                <w:color w:val="auto"/>
              </w:rPr>
              <w:t>Purchase of Treasury Stock</w:t>
            </w: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rPr>
              <w:t>Other</w:t>
            </w:r>
          </w:p>
        </w:tc>
        <w:tc>
          <w:tcPr>
            <w:tcW w:w="3060" w:type="dxa"/>
            <w:vAlign w:val="bottom"/>
            <w:shd w:val="clear" w:color="auto" w:fill="CCFFCC"/>
          </w:tcPr>
          <w:p>
            <w:pPr>
              <w:spacing w:after="0"/>
              <w:rPr>
                <w:sz w:val="19"/>
                <w:szCs w:val="19"/>
                <w:color w:val="auto"/>
              </w:rPr>
            </w:pPr>
          </w:p>
        </w:tc>
        <w:tc>
          <w:tcPr>
            <w:tcW w:w="420" w:type="dxa"/>
            <w:vAlign w:val="bottom"/>
            <w:tcBorders>
              <w:bottom w:val="single" w:sz="8" w:color="auto"/>
            </w:tcBorders>
            <w:shd w:val="clear" w:color="auto" w:fill="CCFFCC"/>
          </w:tcPr>
          <w:p>
            <w:pPr>
              <w:spacing w:after="0"/>
              <w:rPr>
                <w:sz w:val="19"/>
                <w:szCs w:val="19"/>
                <w:color w:val="auto"/>
              </w:rPr>
            </w:pPr>
          </w:p>
        </w:tc>
        <w:tc>
          <w:tcPr>
            <w:tcW w:w="128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64</w:t>
            </w:r>
          </w:p>
        </w:tc>
        <w:tc>
          <w:tcPr>
            <w:tcW w:w="480" w:type="dxa"/>
            <w:vAlign w:val="bottom"/>
            <w:tcBorders>
              <w:bottom w:val="single" w:sz="8" w:color="auto"/>
            </w:tcBorders>
            <w:shd w:val="clear" w:color="auto" w:fill="CCFFCC"/>
          </w:tcPr>
          <w:p>
            <w:pPr>
              <w:spacing w:after="0"/>
              <w:rPr>
                <w:sz w:val="19"/>
                <w:szCs w:val="19"/>
                <w:color w:val="auto"/>
              </w:rPr>
            </w:pPr>
          </w:p>
        </w:tc>
        <w:tc>
          <w:tcPr>
            <w:tcW w:w="10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bottom w:val="single" w:sz="8" w:color="CCFFCC"/>
            </w:tcBorders>
          </w:tcPr>
          <w:p>
            <w:pPr>
              <w:ind w:left="220"/>
              <w:spacing w:after="0"/>
              <w:rPr>
                <w:sz w:val="20"/>
                <w:szCs w:val="20"/>
                <w:color w:val="auto"/>
              </w:rPr>
            </w:pPr>
            <w:r>
              <w:rPr>
                <w:rFonts w:ascii="Arial" w:cs="Arial" w:eastAsia="Arial" w:hAnsi="Arial"/>
                <w:sz w:val="18"/>
                <w:szCs w:val="18"/>
                <w:b w:val="1"/>
                <w:bCs w:val="1"/>
                <w:color w:val="auto"/>
              </w:rPr>
              <w:t>Net Cash Used in Financing Activities</w:t>
            </w:r>
          </w:p>
        </w:tc>
        <w:tc>
          <w:tcPr>
            <w:tcW w:w="3060" w:type="dxa"/>
            <w:vAlign w:val="bottom"/>
            <w:tcBorders>
              <w:bottom w:val="single" w:sz="8" w:color="CCFFC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(4,672)</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shd w:val="clear" w:color="auto" w:fill="CCFFCC"/>
          </w:tcPr>
          <w:p>
            <w:pPr>
              <w:spacing w:after="0"/>
              <w:rPr>
                <w:sz w:val="18"/>
                <w:szCs w:val="18"/>
                <w:color w:val="auto"/>
              </w:rPr>
            </w:pPr>
          </w:p>
        </w:tc>
        <w:tc>
          <w:tcPr>
            <w:tcW w:w="30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w w:val="95"/>
              </w:rPr>
              <w:t>Effect of exchange rate changes on cash and cash equivalents</w:t>
            </w: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(40)</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shd w:val="clear" w:color="auto" w:fill="CCFFCC"/>
          </w:tcPr>
          <w:p>
            <w:pPr>
              <w:spacing w:after="0"/>
              <w:rPr>
                <w:sz w:val="18"/>
                <w:szCs w:val="18"/>
                <w:color w:val="auto"/>
              </w:rPr>
            </w:pPr>
          </w:p>
        </w:tc>
        <w:tc>
          <w:tcPr>
            <w:tcW w:w="30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(6,259)</w:t>
            </w:r>
          </w:p>
        </w:tc>
        <w:tc>
          <w:tcPr>
            <w:tcW w:w="4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3060" w:type="dxa"/>
            <w:vAlign w:val="bottom"/>
            <w:shd w:val="clear" w:color="auto" w:fill="CCFFCC"/>
          </w:tcPr>
          <w:p>
            <w:pPr>
              <w:spacing w:after="0"/>
              <w:rPr>
                <w:sz w:val="19"/>
                <w:szCs w:val="19"/>
                <w:color w:val="auto"/>
              </w:rPr>
            </w:pPr>
          </w:p>
        </w:tc>
        <w:tc>
          <w:tcPr>
            <w:tcW w:w="420" w:type="dxa"/>
            <w:vAlign w:val="bottom"/>
            <w:tcBorders>
              <w:bottom w:val="single" w:sz="8" w:color="auto"/>
            </w:tcBorders>
            <w:shd w:val="clear" w:color="auto" w:fill="CCFFCC"/>
          </w:tcPr>
          <w:p>
            <w:pPr>
              <w:spacing w:after="0"/>
              <w:rPr>
                <w:sz w:val="19"/>
                <w:szCs w:val="19"/>
                <w:color w:val="auto"/>
              </w:rPr>
            </w:pPr>
          </w:p>
        </w:tc>
        <w:tc>
          <w:tcPr>
            <w:tcW w:w="128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24,035</w:t>
            </w:r>
          </w:p>
        </w:tc>
        <w:tc>
          <w:tcPr>
            <w:tcW w:w="480" w:type="dxa"/>
            <w:vAlign w:val="bottom"/>
            <w:tcBorders>
              <w:bottom w:val="single" w:sz="8" w:color="auto"/>
            </w:tcBorders>
            <w:shd w:val="clear" w:color="auto" w:fill="CCFFCC"/>
          </w:tcPr>
          <w:p>
            <w:pPr>
              <w:spacing w:after="0"/>
              <w:rPr>
                <w:sz w:val="19"/>
                <w:szCs w:val="19"/>
                <w:color w:val="auto"/>
              </w:rPr>
            </w:pPr>
          </w:p>
        </w:tc>
        <w:tc>
          <w:tcPr>
            <w:tcW w:w="10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27,093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Cash and Cash Equivalents, October 31</w:t>
            </w:r>
          </w:p>
        </w:tc>
        <w:tc>
          <w:tcPr>
            <w:tcW w:w="3060" w:type="dxa"/>
            <w:vAlign w:val="bottom"/>
          </w:tcPr>
          <w:p>
            <w:pPr>
              <w:spacing w:after="0"/>
              <w:rPr>
                <w:sz w:val="19"/>
                <w:szCs w:val="19"/>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17,776</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060" w:type="dxa"/>
            <w:vAlign w:val="bottom"/>
            <w:vMerge w:val="restart"/>
          </w:tcPr>
          <w:p>
            <w:pPr>
              <w:jc w:val="right"/>
              <w:ind w:right="2390"/>
              <w:spacing w:after="0"/>
              <w:rPr>
                <w:sz w:val="20"/>
                <w:szCs w:val="20"/>
                <w:color w:val="auto"/>
              </w:rPr>
            </w:pPr>
            <w:r>
              <w:rPr>
                <w:rFonts w:ascii="Arial" w:cs="Arial" w:eastAsia="Arial" w:hAnsi="Arial"/>
                <w:sz w:val="18"/>
                <w:szCs w:val="18"/>
                <w:color w:val="auto"/>
              </w:rPr>
              <w:t>7</w:t>
            </w: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160" w:type="dxa"/>
            <w:vAlign w:val="bottom"/>
            <w:tcBorders>
              <w:bottom w:val="single" w:sz="8" w:color="333399"/>
            </w:tcBorders>
          </w:tcPr>
          <w:p>
            <w:pPr>
              <w:spacing w:after="0"/>
              <w:rPr>
                <w:sz w:val="24"/>
                <w:szCs w:val="24"/>
                <w:color w:val="auto"/>
              </w:rPr>
            </w:pPr>
          </w:p>
        </w:tc>
        <w:tc>
          <w:tcPr>
            <w:tcW w:w="3060" w:type="dxa"/>
            <w:vAlign w:val="bottom"/>
            <w:tcBorders>
              <w:bottom w:val="single" w:sz="8" w:color="333399"/>
            </w:tcBorders>
            <w:vMerge w:val="continue"/>
          </w:tcPr>
          <w:p>
            <w:pPr>
              <w:spacing w:after="0"/>
              <w:rPr>
                <w:sz w:val="24"/>
                <w:szCs w:val="24"/>
                <w:color w:val="auto"/>
              </w:rPr>
            </w:pPr>
          </w:p>
        </w:tc>
        <w:tc>
          <w:tcPr>
            <w:tcW w:w="420" w:type="dxa"/>
            <w:vAlign w:val="bottom"/>
            <w:tcBorders>
              <w:bottom w:val="single" w:sz="8" w:color="333399"/>
            </w:tcBorders>
          </w:tcPr>
          <w:p>
            <w:pPr>
              <w:spacing w:after="0"/>
              <w:rPr>
                <w:sz w:val="24"/>
                <w:szCs w:val="24"/>
                <w:color w:val="auto"/>
              </w:rPr>
            </w:pPr>
          </w:p>
        </w:tc>
        <w:tc>
          <w:tcPr>
            <w:tcW w:w="1280" w:type="dxa"/>
            <w:vAlign w:val="bottom"/>
            <w:tcBorders>
              <w:bottom w:val="single" w:sz="8" w:color="333399"/>
            </w:tcBorders>
          </w:tcPr>
          <w:p>
            <w:pPr>
              <w:spacing w:after="0"/>
              <w:rPr>
                <w:sz w:val="24"/>
                <w:szCs w:val="24"/>
                <w:color w:val="auto"/>
              </w:rPr>
            </w:pPr>
          </w:p>
        </w:tc>
        <w:tc>
          <w:tcPr>
            <w:tcW w:w="480" w:type="dxa"/>
            <w:vAlign w:val="bottom"/>
            <w:tcBorders>
              <w:bottom w:val="single" w:sz="8" w:color="333399"/>
            </w:tcBorders>
          </w:tcPr>
          <w:p>
            <w:pPr>
              <w:spacing w:after="0"/>
              <w:rPr>
                <w:sz w:val="24"/>
                <w:szCs w:val="24"/>
                <w:color w:val="auto"/>
              </w:rPr>
            </w:pPr>
          </w:p>
        </w:tc>
        <w:tc>
          <w:tcPr>
            <w:tcW w:w="1000" w:type="dxa"/>
            <w:vAlign w:val="bottom"/>
            <w:tcBorders>
              <w:bottom w:val="single" w:sz="8" w:color="33339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002D69"/>
        </w:rPr>
        <w:t>Investor Relations Contact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002D69"/>
        </w:rPr>
        <w:t>Reagan Culbertson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2D69"/>
        </w:rPr>
        <w:t>reagan.culbertson@oildri.com</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002D69"/>
        </w:rPr>
        <w:t>(312) 706 3256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2020-02-21T15:06:52Z</dcterms:created>
  <dcterms:modified xsi:type="dcterms:W3CDTF">2020-02-21T15:06:52Z</dcterms:modified>
</cp:coreProperties>
</file>