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960"/>
              <w:spacing w:after="0"/>
              <w:rPr>
                <w:sz w:val="20"/>
                <w:szCs w:val="20"/>
                <w:color w:val="auto"/>
              </w:rPr>
            </w:pPr>
            <w:r>
              <w:rPr>
                <w:rFonts w:ascii="Arial" w:cs="Arial" w:eastAsia="Arial" w:hAnsi="Arial"/>
                <w:sz w:val="18"/>
                <w:szCs w:val="18"/>
                <w:color w:val="auto"/>
                <w:w w:val="87"/>
              </w:rPr>
              <w:t>December 7, 2022</w:t>
            </w: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ind w:left="28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held its annual meeting of stockholders on December 7, 2022. See the Company’s 2022 Proxy Statement for more information on the proposals presented at the meeting, the relevant portions of which are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stockholders elected all of the nominees for director recommended by the Company’s Board of Directors (the “Board”). The voting results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c>
          <w:tcPr>
            <w:tcW w:w="2620" w:type="dxa"/>
            <w:vAlign w:val="bottom"/>
            <w:gridSpan w:val="2"/>
            <w:shd w:val="clear" w:color="auto" w:fill="CCEEFF"/>
          </w:tcPr>
          <w:p>
            <w:pPr>
              <w:ind w:left="2240"/>
              <w:spacing w:after="0"/>
              <w:rPr>
                <w:sz w:val="20"/>
                <w:szCs w:val="20"/>
                <w:color w:val="auto"/>
              </w:rPr>
            </w:pPr>
            <w:r>
              <w:rPr>
                <w:rFonts w:ascii="Arial" w:cs="Arial" w:eastAsia="Arial" w:hAnsi="Arial"/>
                <w:sz w:val="18"/>
                <w:szCs w:val="18"/>
                <w:b w:val="1"/>
                <w:bCs w:val="1"/>
                <w:color w:val="auto"/>
              </w:rPr>
              <w:t>For</w:t>
            </w:r>
          </w:p>
        </w:tc>
        <w:tc>
          <w:tcPr>
            <w:tcW w:w="264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Withheld</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Ellen-Blair Chube</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22,463,838</w:t>
            </w:r>
          </w:p>
        </w:tc>
        <w:tc>
          <w:tcPr>
            <w:tcW w:w="8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871,606</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781,529</w:t>
            </w: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Paul M. Hindsley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20,919,035</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2,416,409</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781,529</w:t>
            </w: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Daniel S. Jaffee</w:t>
            </w:r>
          </w:p>
        </w:tc>
        <w:tc>
          <w:tcPr>
            <w:tcW w:w="2540" w:type="dxa"/>
            <w:vAlign w:val="bottom"/>
          </w:tcPr>
          <w:p>
            <w:pPr>
              <w:jc w:val="right"/>
              <w:spacing w:after="0"/>
              <w:rPr>
                <w:sz w:val="20"/>
                <w:szCs w:val="20"/>
                <w:color w:val="auto"/>
              </w:rPr>
            </w:pPr>
            <w:r>
              <w:rPr>
                <w:rFonts w:ascii="Arial" w:cs="Arial" w:eastAsia="Arial" w:hAnsi="Arial"/>
                <w:sz w:val="18"/>
                <w:szCs w:val="18"/>
                <w:color w:val="auto"/>
              </w:rPr>
              <w:t>23,082,101</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781,529</w:t>
            </w: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 Nemeroff</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21,777,667</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1,557,777</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781,529</w:t>
            </w: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George C. Roeth</w:t>
            </w:r>
          </w:p>
        </w:tc>
        <w:tc>
          <w:tcPr>
            <w:tcW w:w="2540" w:type="dxa"/>
            <w:vAlign w:val="bottom"/>
          </w:tcPr>
          <w:p>
            <w:pPr>
              <w:jc w:val="right"/>
              <w:spacing w:after="0"/>
              <w:rPr>
                <w:sz w:val="20"/>
                <w:szCs w:val="20"/>
                <w:color w:val="auto"/>
              </w:rPr>
            </w:pPr>
            <w:r>
              <w:rPr>
                <w:rFonts w:ascii="Arial" w:cs="Arial" w:eastAsia="Arial" w:hAnsi="Arial"/>
                <w:sz w:val="18"/>
                <w:szCs w:val="18"/>
                <w:color w:val="auto"/>
              </w:rPr>
              <w:t>23,201,579</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133,865</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781,529</w:t>
            </w: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Allan H. Selig</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23,112,905</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222,539</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781,529</w:t>
            </w: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Paul E. Suckow</w:t>
            </w:r>
          </w:p>
        </w:tc>
        <w:tc>
          <w:tcPr>
            <w:tcW w:w="2540" w:type="dxa"/>
            <w:vAlign w:val="bottom"/>
          </w:tcPr>
          <w:p>
            <w:pPr>
              <w:jc w:val="right"/>
              <w:spacing w:after="0"/>
              <w:rPr>
                <w:sz w:val="20"/>
                <w:szCs w:val="20"/>
                <w:color w:val="auto"/>
              </w:rPr>
            </w:pPr>
            <w:r>
              <w:rPr>
                <w:rFonts w:ascii="Arial" w:cs="Arial" w:eastAsia="Arial" w:hAnsi="Arial"/>
                <w:sz w:val="18"/>
                <w:szCs w:val="18"/>
                <w:color w:val="auto"/>
              </w:rPr>
              <w:t>23,038,965</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296,479</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781,529</w:t>
            </w: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Lawrence E. Washow</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22,920,051</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415,393</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781,529</w:t>
            </w: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Amy L. Ryan</w:t>
            </w:r>
          </w:p>
        </w:tc>
        <w:tc>
          <w:tcPr>
            <w:tcW w:w="2540" w:type="dxa"/>
            <w:vAlign w:val="bottom"/>
          </w:tcPr>
          <w:p>
            <w:pPr>
              <w:jc w:val="right"/>
              <w:spacing w:after="0"/>
              <w:rPr>
                <w:sz w:val="20"/>
                <w:szCs w:val="20"/>
                <w:color w:val="auto"/>
              </w:rPr>
            </w:pPr>
            <w:r>
              <w:rPr>
                <w:rFonts w:ascii="Arial" w:cs="Arial" w:eastAsia="Arial" w:hAnsi="Arial"/>
                <w:sz w:val="18"/>
                <w:szCs w:val="18"/>
                <w:color w:val="auto"/>
              </w:rPr>
              <w:t>20,831,684</w:t>
            </w:r>
          </w:p>
        </w:tc>
        <w:tc>
          <w:tcPr>
            <w:tcW w:w="8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2,503,760</w:t>
            </w:r>
          </w:p>
        </w:tc>
        <w:tc>
          <w:tcPr>
            <w:tcW w:w="1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781,529</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AUDITOR</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stockholders ratified the appointment of Grant Thornton LLP as independent auditor for the fiscal year ending July 31, 2023. The voting results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23,888,597</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Against</w:t>
            </w:r>
          </w:p>
        </w:tc>
        <w:tc>
          <w:tcPr>
            <w:tcW w:w="5760" w:type="dxa"/>
            <w:vAlign w:val="bottom"/>
          </w:tcPr>
          <w:p>
            <w:pPr>
              <w:jc w:val="right"/>
              <w:spacing w:after="0"/>
              <w:rPr>
                <w:sz w:val="20"/>
                <w:szCs w:val="20"/>
                <w:color w:val="auto"/>
              </w:rPr>
            </w:pPr>
            <w:r>
              <w:rPr>
                <w:rFonts w:ascii="Arial" w:cs="Arial" w:eastAsia="Arial" w:hAnsi="Arial"/>
                <w:sz w:val="18"/>
                <w:szCs w:val="18"/>
                <w:color w:val="auto"/>
              </w:rPr>
              <w:t>224,708</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Abstain</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r>
    </w:tbl>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its regular meeting on December 7, 2022, the Board declared quarterly cash dividends of $0.28 per share of the Company’s Common Stock and $0.21 per share of the Company’s Class B Stock. The dividends will be payable on February 24, 2022, to stockholders of record at the close of business on February 10, 2022. A copy of the Company’s press release announcing these matters is attached as Exhibit 99.1 and the information contained therein is incorporated herein by reference.</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820" w:type="dxa"/>
            <w:vAlign w:val="bottom"/>
            <w:vMerge w:val="restart"/>
          </w:tcPr>
          <w:p>
            <w:pPr>
              <w:ind w:left="116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0000FF"/>
              </w:rPr>
              <w:t>Press Release dated December 8, 2022</w:t>
            </w:r>
          </w:p>
        </w:tc>
        <w:tc>
          <w:tcPr>
            <w:tcW w:w="0" w:type="dxa"/>
            <w:vAlign w:val="bottom"/>
          </w:tcPr>
          <w:p>
            <w:pPr>
              <w:spacing w:after="0"/>
              <w:rPr>
                <w:sz w:val="1"/>
                <w:szCs w:val="1"/>
                <w:color w:val="auto"/>
              </w:rPr>
            </w:pPr>
          </w:p>
        </w:tc>
      </w:tr>
      <w:tr>
        <w:trPr>
          <w:trHeight w:val="1202"/>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80" w:type="dxa"/>
            <w:vAlign w:val="bottom"/>
            <w:tcBorders>
              <w:top w:val="single" w:sz="8" w:color="0000FF"/>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p>
      <w:pPr>
        <w:ind w:left="54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Laura G. Scheland</w:t>
      </w:r>
    </w:p>
    <w:p>
      <w:pPr>
        <w:spacing w:after="0" w:line="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Strategic Partnerships and General</w:t>
      </w:r>
    </w:p>
    <w:p>
      <w:pPr>
        <w:ind w:left="6120"/>
        <w:spacing w:after="0"/>
        <w:rPr>
          <w:sz w:val="20"/>
          <w:szCs w:val="20"/>
          <w:color w:val="auto"/>
        </w:rPr>
      </w:pPr>
      <w:r>
        <w:rPr>
          <w:rFonts w:ascii="Arial" w:cs="Arial" w:eastAsia="Arial" w:hAnsi="Arial"/>
          <w:sz w:val="18"/>
          <w:szCs w:val="18"/>
          <w:color w:val="auto"/>
        </w:rPr>
        <w:t>Counsel &amp; Secretary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2022</w:t>
      </w:r>
    </w:p>
    <w:p>
      <w:pPr>
        <w:sectPr>
          <w:pgSz w:w="11900" w:h="16838" w:orient="portrait"/>
          <w:cols w:equalWidth="0" w:num="1">
            <w:col w:w="11040"/>
          </w:cols>
          <w:pgMar w:left="320" w:top="891" w:right="5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39"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CHICAGO—(December 8, 2022)— The Board of Directors of Oil-Dri Corporation of America (NYSE: ODC) yesterday declared quarterly cash dividends of $0.28 per share of the Company’s Common Stock and $0.21 per share of the Company’s Class B Stock.</w:t>
      </w:r>
    </w:p>
    <w:p>
      <w:pPr>
        <w:spacing w:after="0" w:line="21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The dividends declared will be payable on February 24, 2023 to stockholders of record at the close of business on February 10, 2023. The Company has paid cash dividends continuously since 1974 and has increased dividends annually for nineteen consecutive years.</w:t>
      </w:r>
    </w:p>
    <w:p>
      <w:pPr>
        <w:spacing w:after="0" w:line="213"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The Company expects to release earnings for its second quarter of fiscal 2023 after the close of the U.S. stock market on Thursday, March 9, 2023 and to host an earnings discussion via webcast on Friday, March 10, 2023. Webcast participation details will be communicated via email alert and posted on the Events page of the Company’s website approximately one week prior to the call.</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both"/>
        <w:spacing w:after="0" w:line="301" w:lineRule="auto"/>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Leslie A. Garber</w:t>
      </w:r>
    </w:p>
    <w:p>
      <w:pPr>
        <w:spacing w:after="0" w:line="230" w:lineRule="auto"/>
        <w:rPr>
          <w:sz w:val="20"/>
          <w:szCs w:val="20"/>
          <w:color w:val="auto"/>
        </w:rPr>
      </w:pPr>
      <w:r>
        <w:rPr>
          <w:rFonts w:ascii="Arial" w:cs="Arial" w:eastAsia="Arial" w:hAnsi="Arial"/>
          <w:sz w:val="22"/>
          <w:szCs w:val="22"/>
          <w:color w:val="auto"/>
        </w:rPr>
        <w:t>Manager of Investor Relations</w:t>
      </w:r>
    </w:p>
    <w:p>
      <w:pPr>
        <w:spacing w:after="0" w:line="218" w:lineRule="auto"/>
        <w:rPr>
          <w:sz w:val="20"/>
          <w:szCs w:val="20"/>
          <w:color w:val="auto"/>
        </w:rPr>
      </w:pPr>
      <w:r>
        <w:rPr>
          <w:rFonts w:ascii="Arial" w:cs="Arial" w:eastAsia="Arial" w:hAnsi="Arial"/>
          <w:sz w:val="22"/>
          <w:szCs w:val="22"/>
          <w:color w:val="auto"/>
        </w:rPr>
        <w:t>Oil-Dri Corporation of America</w:t>
      </w:r>
    </w:p>
    <w:p>
      <w:pPr>
        <w:spacing w:after="0"/>
        <w:rPr>
          <w:sz w:val="20"/>
          <w:szCs w:val="20"/>
          <w:color w:val="auto"/>
        </w:rPr>
      </w:pPr>
      <w:r>
        <w:rPr>
          <w:rFonts w:ascii="Arial" w:cs="Arial" w:eastAsia="Arial" w:hAnsi="Arial"/>
          <w:sz w:val="22"/>
          <w:szCs w:val="22"/>
          <w:color w:val="auto"/>
        </w:rPr>
        <w:t>InvestorRelations@oildri.com</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2022-12-08T15:14:10Z</dcterms:created>
  <dcterms:modified xsi:type="dcterms:W3CDTF">2022-12-08T15:14:10Z</dcterms:modified>
</cp:coreProperties>
</file>