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2220" w:right="34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2011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233"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233"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233"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Yes o No 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440" w:space="720"/>
            <w:col w:w="3160" w:space="720"/>
            <w:col w:w="1900" w:space="720"/>
            <w:col w:w="760"/>
          </w:cols>
          <w:pgMar w:left="240" w:top="125" w:right="239" w:bottom="1440" w:gutter="0" w:footer="0" w:header="0"/>
          <w:type w:val="continuous"/>
        </w:sectPr>
      </w:pPr>
    </w:p>
    <w:p>
      <w:pPr>
        <w:spacing w:after="0" w:line="156"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440" w:space="720"/>
            <w:col w:w="3160" w:space="720"/>
            <w:col w:w="1960" w:space="660"/>
            <w:col w:w="760"/>
          </w:cols>
          <w:pgMar w:left="240" w:top="125"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2011 was $94,874,000.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2011:</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5,110,925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2,048,118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2011 Annual Meeting of Stockholders (“Proxy Statement”), which will be filed with the Securities and Exchange Commission (“SEC”) not later than November 28, 2011 (120 days after the end of Oil-Dri’s fiscal year ended July 31, 2011), is incorporated into Part III of this Annual Report on Form 10-K, as indicated herein.</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240" w:type="dxa"/>
            <w:vAlign w:val="bottom"/>
            <w:gridSpan w:val="5"/>
          </w:tcPr>
          <w:p>
            <w:pPr>
              <w:jc w:val="center"/>
              <w:ind w:right="4180"/>
              <w:spacing w:after="0"/>
              <w:rPr>
                <w:sz w:val="20"/>
                <w:szCs w:val="20"/>
                <w:color w:val="auto"/>
              </w:rPr>
            </w:pPr>
            <w:r>
              <w:rPr>
                <w:rFonts w:ascii="Arial" w:cs="Arial" w:eastAsia="Arial" w:hAnsi="Arial"/>
                <w:sz w:val="18"/>
                <w:szCs w:val="18"/>
                <w:b w:val="1"/>
                <w:bCs w:val="1"/>
                <w:color w:val="auto"/>
                <w:w w:val="98"/>
              </w:rPr>
              <w:t>CONTENTS</w:t>
            </w:r>
          </w:p>
        </w:tc>
      </w:tr>
      <w:tr>
        <w:trPr>
          <w:trHeight w:val="412"/>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Item</w:t>
            </w:r>
          </w:p>
        </w:tc>
        <w:tc>
          <w:tcPr>
            <w:tcW w:w="31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5"/>
          </w:tcPr>
          <w:p>
            <w:pPr>
              <w:ind w:left="5960"/>
              <w:spacing w:after="0"/>
              <w:rPr>
                <w:sz w:val="20"/>
                <w:szCs w:val="20"/>
                <w:color w:val="auto"/>
              </w:rPr>
            </w:pPr>
            <w:r>
              <w:rPr>
                <w:rFonts w:ascii="Arial" w:cs="Arial" w:eastAsia="Arial" w:hAnsi="Arial"/>
                <w:sz w:val="14"/>
                <w:szCs w:val="14"/>
                <w:color w:val="auto"/>
              </w:rPr>
              <w:t>Page</w:t>
            </w: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5"/>
            <w:shd w:val="clear" w:color="auto" w:fill="CCEEFF"/>
          </w:tcPr>
          <w:p>
            <w:pPr>
              <w:jc w:val="center"/>
              <w:ind w:right="4180"/>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r>
      <w:tr>
        <w:trPr>
          <w:trHeight w:val="203"/>
        </w:trPr>
        <w:tc>
          <w:tcPr>
            <w:tcW w:w="10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1A.</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10">
              <w:r>
                <w:rPr>
                  <w:rFonts w:ascii="Arial" w:cs="Arial" w:eastAsia="Arial" w:hAnsi="Arial"/>
                  <w:sz w:val="14"/>
                  <w:szCs w:val="14"/>
                  <w:color w:val="0000FF"/>
                </w:rPr>
                <w:t>Risk Factors</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10">
              <w:r>
                <w:rPr>
                  <w:rFonts w:ascii="Arial" w:cs="Arial" w:eastAsia="Arial" w:hAnsi="Arial"/>
                  <w:sz w:val="14"/>
                  <w:szCs w:val="14"/>
                  <w:color w:val="0000FF"/>
                </w:rPr>
                <w:t>11</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1B.</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16">
              <w:r>
                <w:rPr>
                  <w:rFonts w:ascii="Arial" w:cs="Arial" w:eastAsia="Arial" w:hAnsi="Arial"/>
                  <w:sz w:val="14"/>
                  <w:szCs w:val="14"/>
                  <w:color w:val="0000FF"/>
                </w:rPr>
                <w:t>Unresolved Staff Comments</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16">
              <w:r>
                <w:rPr>
                  <w:rFonts w:ascii="Arial" w:cs="Arial" w:eastAsia="Arial" w:hAnsi="Arial"/>
                  <w:sz w:val="14"/>
                  <w:szCs w:val="14"/>
                  <w:color w:val="0000FF"/>
                </w:rPr>
                <w:t>Properties</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16">
              <w:r>
                <w:rPr>
                  <w:rFonts w:ascii="Arial" w:cs="Arial" w:eastAsia="Arial" w:hAnsi="Arial"/>
                  <w:sz w:val="14"/>
                  <w:szCs w:val="14"/>
                  <w:color w:val="0000FF"/>
                </w:rPr>
                <w:t>17</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19">
              <w:r>
                <w:rPr>
                  <w:rFonts w:ascii="Arial" w:cs="Arial" w:eastAsia="Arial" w:hAnsi="Arial"/>
                  <w:sz w:val="14"/>
                  <w:szCs w:val="14"/>
                  <w:color w:val="0000FF"/>
                </w:rPr>
                <w:t>Legal Proceedings</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19">
              <w:r>
                <w:rPr>
                  <w:rFonts w:ascii="Arial" w:cs="Arial" w:eastAsia="Arial" w:hAnsi="Arial"/>
                  <w:sz w:val="14"/>
                  <w:szCs w:val="14"/>
                  <w:color w:val="0000FF"/>
                </w:rPr>
                <w:t>20</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3160" w:type="dxa"/>
            <w:vAlign w:val="bottom"/>
            <w:shd w:val="clear" w:color="auto" w:fill="CCEEFF"/>
          </w:tcPr>
          <w:p>
            <w:pPr>
              <w:ind w:left="480"/>
              <w:spacing w:after="0"/>
              <w:rPr>
                <w:rFonts w:ascii="Arial" w:cs="Arial" w:eastAsia="Arial" w:hAnsi="Arial"/>
                <w:sz w:val="14"/>
                <w:szCs w:val="14"/>
                <w:color w:val="0000FF"/>
              </w:rPr>
            </w:pPr>
            <w:hyperlink w:anchor="page20">
              <w:r>
                <w:rPr>
                  <w:rFonts w:ascii="Arial" w:cs="Arial" w:eastAsia="Arial" w:hAnsi="Arial"/>
                  <w:sz w:val="14"/>
                  <w:szCs w:val="14"/>
                  <w:color w:val="0000FF"/>
                </w:rPr>
                <w:t>[Reserved]</w:t>
              </w:r>
            </w:hyperlink>
          </w:p>
        </w:tc>
        <w:tc>
          <w:tcPr>
            <w:tcW w:w="7240" w:type="dxa"/>
            <w:vAlign w:val="bottom"/>
            <w:gridSpan w:val="5"/>
            <w:shd w:val="clear" w:color="auto" w:fill="CCEEFF"/>
          </w:tcPr>
          <w:p>
            <w:pPr>
              <w:jc w:val="right"/>
              <w:ind w:right="20"/>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r>
      <w:tr>
        <w:trPr>
          <w:trHeight w:val="203"/>
        </w:trPr>
        <w:tc>
          <w:tcPr>
            <w:tcW w:w="102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7060" w:type="dxa"/>
            <w:vAlign w:val="bottom"/>
            <w:tcBorders>
              <w:top w:val="single" w:sz="8" w:color="CCEE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43"/>
        </w:trPr>
        <w:tc>
          <w:tcPr>
            <w:tcW w:w="102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7240" w:type="dxa"/>
            <w:vAlign w:val="bottom"/>
            <w:gridSpan w:val="5"/>
            <w:shd w:val="clear" w:color="auto" w:fill="CCEEFF"/>
          </w:tcPr>
          <w:p>
            <w:pPr>
              <w:jc w:val="center"/>
              <w:ind w:right="4180"/>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PART II</w:t>
              </w:r>
            </w:hyperlink>
          </w:p>
        </w:tc>
      </w:tr>
      <w:tr>
        <w:trPr>
          <w:trHeight w:val="27"/>
        </w:trPr>
        <w:tc>
          <w:tcPr>
            <w:tcW w:w="10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6</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7A.</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9A.</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9B.</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Market for Registrant's Common Equity, Related Stockholder Matters and Issuer Purchases of Equity Securities</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21">
              <w:r>
                <w:rPr>
                  <w:rFonts w:ascii="Arial" w:cs="Arial" w:eastAsia="Arial" w:hAnsi="Arial"/>
                  <w:sz w:val="14"/>
                  <w:szCs w:val="14"/>
                  <w:color w:val="0000FF"/>
                  <w:w w:val="89"/>
                </w:rPr>
                <w:t>21</w:t>
              </w:r>
            </w:hyperlink>
          </w:p>
        </w:tc>
      </w:tr>
      <w:tr>
        <w:trPr>
          <w:trHeight w:val="520"/>
        </w:trPr>
        <w:tc>
          <w:tcPr>
            <w:tcW w:w="9740" w:type="dxa"/>
            <w:vAlign w:val="bottom"/>
          </w:tcPr>
          <w:p>
            <w:pPr>
              <w:spacing w:after="0"/>
              <w:rPr>
                <w:rFonts w:ascii="Arial" w:cs="Arial" w:eastAsia="Arial" w:hAnsi="Arial"/>
                <w:sz w:val="14"/>
                <w:szCs w:val="14"/>
                <w:color w:val="0000FF"/>
              </w:rPr>
            </w:pPr>
            <w:hyperlink w:anchor="page22">
              <w:r>
                <w:rPr>
                  <w:rFonts w:ascii="Arial" w:cs="Arial" w:eastAsia="Arial" w:hAnsi="Arial"/>
                  <w:sz w:val="14"/>
                  <w:szCs w:val="14"/>
                  <w:color w:val="0000FF"/>
                </w:rPr>
                <w:t>Selected Financial Data</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22">
              <w:r>
                <w:rPr>
                  <w:rFonts w:ascii="Arial" w:cs="Arial" w:eastAsia="Arial" w:hAnsi="Arial"/>
                  <w:sz w:val="14"/>
                  <w:szCs w:val="14"/>
                  <w:color w:val="0000FF"/>
                  <w:w w:val="89"/>
                </w:rPr>
                <w:t>23</w:t>
              </w:r>
            </w:hyperlink>
          </w:p>
        </w:tc>
      </w:tr>
      <w:tr>
        <w:trPr>
          <w:trHeight w:val="453"/>
        </w:trPr>
        <w:tc>
          <w:tcPr>
            <w:tcW w:w="9740" w:type="dxa"/>
            <w:vAlign w:val="bottom"/>
          </w:tcPr>
          <w:p>
            <w:pPr>
              <w:spacing w:after="0"/>
              <w:rPr>
                <w:rFonts w:ascii="Arial" w:cs="Arial" w:eastAsia="Arial" w:hAnsi="Arial"/>
                <w:sz w:val="14"/>
                <w:szCs w:val="14"/>
                <w:color w:val="0000FF"/>
              </w:rPr>
            </w:pPr>
            <w:hyperlink w:anchor="page24">
              <w:r>
                <w:rPr>
                  <w:rFonts w:ascii="Arial" w:cs="Arial" w:eastAsia="Arial" w:hAnsi="Arial"/>
                  <w:sz w:val="14"/>
                  <w:szCs w:val="14"/>
                  <w:color w:val="0000FF"/>
                </w:rPr>
                <w:t>Management's Discussion and Analysis of Financial Condition and Results of Operations</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24">
              <w:r>
                <w:rPr>
                  <w:rFonts w:ascii="Arial" w:cs="Arial" w:eastAsia="Arial" w:hAnsi="Arial"/>
                  <w:sz w:val="14"/>
                  <w:szCs w:val="14"/>
                  <w:color w:val="0000FF"/>
                  <w:w w:val="89"/>
                </w:rPr>
                <w:t>24</w:t>
              </w:r>
            </w:hyperlink>
          </w:p>
        </w:tc>
      </w:tr>
      <w:tr>
        <w:trPr>
          <w:trHeight w:val="520"/>
        </w:trPr>
        <w:tc>
          <w:tcPr>
            <w:tcW w:w="9740" w:type="dxa"/>
            <w:vAlign w:val="bottom"/>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Quantitative and Qualitative Disclosures About Market Risk</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35">
              <w:r>
                <w:rPr>
                  <w:rFonts w:ascii="Arial" w:cs="Arial" w:eastAsia="Arial" w:hAnsi="Arial"/>
                  <w:sz w:val="14"/>
                  <w:szCs w:val="14"/>
                  <w:color w:val="0000FF"/>
                  <w:w w:val="89"/>
                </w:rPr>
                <w:t>36</w:t>
              </w:r>
            </w:hyperlink>
          </w:p>
        </w:tc>
      </w:tr>
      <w:tr>
        <w:trPr>
          <w:trHeight w:val="453"/>
        </w:trPr>
        <w:tc>
          <w:tcPr>
            <w:tcW w:w="9740" w:type="dxa"/>
            <w:vAlign w:val="bottom"/>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Financial Statements and Supplementary Data</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36">
              <w:r>
                <w:rPr>
                  <w:rFonts w:ascii="Arial" w:cs="Arial" w:eastAsia="Arial" w:hAnsi="Arial"/>
                  <w:sz w:val="14"/>
                  <w:szCs w:val="14"/>
                  <w:color w:val="0000FF"/>
                  <w:w w:val="89"/>
                </w:rPr>
                <w:t>37</w:t>
              </w:r>
            </w:hyperlink>
          </w:p>
        </w:tc>
      </w:tr>
      <w:tr>
        <w:trPr>
          <w:trHeight w:val="385"/>
        </w:trPr>
        <w:tc>
          <w:tcPr>
            <w:tcW w:w="9740" w:type="dxa"/>
            <w:vAlign w:val="bottom"/>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Management's Report on Internal Control Over Financial Reporting</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64">
              <w:r>
                <w:rPr>
                  <w:rFonts w:ascii="Arial" w:cs="Arial" w:eastAsia="Arial" w:hAnsi="Arial"/>
                  <w:sz w:val="14"/>
                  <w:szCs w:val="14"/>
                  <w:color w:val="0000FF"/>
                  <w:w w:val="89"/>
                </w:rPr>
                <w:t>65</w:t>
              </w:r>
            </w:hyperlink>
          </w:p>
        </w:tc>
      </w:tr>
      <w:tr>
        <w:trPr>
          <w:trHeight w:val="385"/>
        </w:trPr>
        <w:tc>
          <w:tcPr>
            <w:tcW w:w="9740" w:type="dxa"/>
            <w:vAlign w:val="bottom"/>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Report of Independent Registered Public Accounting Firm</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65">
              <w:r>
                <w:rPr>
                  <w:rFonts w:ascii="Arial" w:cs="Arial" w:eastAsia="Arial" w:hAnsi="Arial"/>
                  <w:sz w:val="14"/>
                  <w:szCs w:val="14"/>
                  <w:color w:val="0000FF"/>
                  <w:w w:val="89"/>
                </w:rPr>
                <w:t>66</w:t>
              </w:r>
            </w:hyperlink>
          </w:p>
        </w:tc>
      </w:tr>
      <w:tr>
        <w:trPr>
          <w:trHeight w:val="453"/>
        </w:trPr>
        <w:tc>
          <w:tcPr>
            <w:tcW w:w="9740" w:type="dxa"/>
            <w:vAlign w:val="bottom"/>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Changes in and Disagreements with Accountants on Accounting and Financial Disclosure</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66">
              <w:r>
                <w:rPr>
                  <w:rFonts w:ascii="Arial" w:cs="Arial" w:eastAsia="Arial" w:hAnsi="Arial"/>
                  <w:sz w:val="14"/>
                  <w:szCs w:val="14"/>
                  <w:color w:val="0000FF"/>
                  <w:w w:val="89"/>
                </w:rPr>
                <w:t>67</w:t>
              </w:r>
            </w:hyperlink>
          </w:p>
        </w:tc>
      </w:tr>
      <w:tr>
        <w:trPr>
          <w:trHeight w:val="520"/>
        </w:trPr>
        <w:tc>
          <w:tcPr>
            <w:tcW w:w="9740" w:type="dxa"/>
            <w:vAlign w:val="bottom"/>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Controls and Procedures</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67">
              <w:r>
                <w:rPr>
                  <w:rFonts w:ascii="Arial" w:cs="Arial" w:eastAsia="Arial" w:hAnsi="Arial"/>
                  <w:sz w:val="14"/>
                  <w:szCs w:val="14"/>
                  <w:color w:val="0000FF"/>
                  <w:w w:val="89"/>
                </w:rPr>
                <w:t>67</w:t>
              </w:r>
            </w:hyperlink>
          </w:p>
        </w:tc>
      </w:tr>
      <w:tr>
        <w:trPr>
          <w:trHeight w:val="453"/>
        </w:trPr>
        <w:tc>
          <w:tcPr>
            <w:tcW w:w="9740" w:type="dxa"/>
            <w:vAlign w:val="bottom"/>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Other Information</w:t>
              </w:r>
            </w:hyperlink>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67">
              <w:r>
                <w:rPr>
                  <w:rFonts w:ascii="Arial" w:cs="Arial" w:eastAsia="Arial" w:hAnsi="Arial"/>
                  <w:sz w:val="14"/>
                  <w:szCs w:val="14"/>
                  <w:color w:val="0000FF"/>
                  <w:w w:val="89"/>
                </w:rPr>
                <w:t>67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-2555240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-2254885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-1911985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-1611630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-1311275</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-1054100</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-796925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-454025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-153670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146050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jc w:val="center"/>
        <w:ind w:right="1500"/>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III</w:t>
        </w:r>
      </w:hyperlink>
    </w:p>
    <w:p>
      <w:pPr>
        <w:spacing w:after="0" w:line="200" w:lineRule="exact"/>
        <w:rPr>
          <w:sz w:val="20"/>
          <w:szCs w:val="20"/>
          <w:color w:val="auto"/>
        </w:rPr>
      </w:pPr>
    </w:p>
    <w:p>
      <w:pPr>
        <w:sectPr>
          <w:pgSz w:w="11900" w:h="16838" w:orient="portrait"/>
          <w:cols w:equalWidth="0" w:num="2">
            <w:col w:w="780" w:space="720"/>
            <w:col w:w="9920"/>
          </w:cols>
          <w:pgMar w:left="240" w:top="121" w:right="2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10</w:t>
            </w:r>
          </w:p>
        </w:tc>
        <w:tc>
          <w:tcPr>
            <w:tcW w:w="8420" w:type="dxa"/>
            <w:vAlign w:val="bottom"/>
            <w:shd w:val="clear" w:color="auto" w:fill="CCEEFF"/>
          </w:tcPr>
          <w:p>
            <w:pPr>
              <w:ind w:left="640"/>
              <w:spacing w:after="0"/>
              <w:rPr>
                <w:rFonts w:ascii="Arial" w:cs="Arial" w:eastAsia="Arial" w:hAnsi="Arial"/>
                <w:sz w:val="14"/>
                <w:szCs w:val="14"/>
                <w:color w:val="0000FF"/>
              </w:rPr>
            </w:pPr>
            <w:hyperlink w:anchor="page68">
              <w:r>
                <w:rPr>
                  <w:rFonts w:ascii="Arial" w:cs="Arial" w:eastAsia="Arial" w:hAnsi="Arial"/>
                  <w:sz w:val="14"/>
                  <w:szCs w:val="14"/>
                  <w:color w:val="0000FF"/>
                </w:rPr>
                <w:t>Directors, Executive Officers and Corporate Governance</w:t>
              </w:r>
            </w:hyperlink>
          </w:p>
        </w:tc>
        <w:tc>
          <w:tcPr>
            <w:tcW w:w="2140" w:type="dxa"/>
            <w:vAlign w:val="bottom"/>
            <w:gridSpan w:val="3"/>
            <w:shd w:val="clear" w:color="auto" w:fill="CCEEFF"/>
          </w:tcPr>
          <w:p>
            <w:pPr>
              <w:jc w:val="right"/>
              <w:ind w:right="20"/>
              <w:spacing w:after="0"/>
              <w:rPr>
                <w:rFonts w:ascii="Arial" w:cs="Arial" w:eastAsia="Arial" w:hAnsi="Arial"/>
                <w:sz w:val="14"/>
                <w:szCs w:val="14"/>
                <w:color w:val="0000FF"/>
              </w:rPr>
            </w:pPr>
            <w:hyperlink w:anchor="page68">
              <w:r>
                <w:rPr>
                  <w:rFonts w:ascii="Arial" w:cs="Arial" w:eastAsia="Arial" w:hAnsi="Arial"/>
                  <w:sz w:val="14"/>
                  <w:szCs w:val="14"/>
                  <w:color w:val="0000FF"/>
                </w:rPr>
                <w:t>68</w:t>
              </w:r>
            </w:hyperlink>
          </w:p>
        </w:tc>
      </w:tr>
      <w:tr>
        <w:trPr>
          <w:trHeight w:val="203"/>
        </w:trPr>
        <w:tc>
          <w:tcPr>
            <w:tcW w:w="86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89"/>
              </w:rPr>
              <w:t>11</w:t>
            </w:r>
          </w:p>
        </w:tc>
        <w:tc>
          <w:tcPr>
            <w:tcW w:w="8420" w:type="dxa"/>
            <w:vAlign w:val="bottom"/>
            <w:shd w:val="clear" w:color="auto" w:fill="CCEEFF"/>
          </w:tcPr>
          <w:p>
            <w:pPr>
              <w:ind w:left="640"/>
              <w:spacing w:after="0"/>
              <w:rPr>
                <w:rFonts w:ascii="Arial" w:cs="Arial" w:eastAsia="Arial" w:hAnsi="Arial"/>
                <w:sz w:val="14"/>
                <w:szCs w:val="14"/>
                <w:color w:val="0000FF"/>
              </w:rPr>
            </w:pPr>
            <w:hyperlink w:anchor="page68">
              <w:r>
                <w:rPr>
                  <w:rFonts w:ascii="Arial" w:cs="Arial" w:eastAsia="Arial" w:hAnsi="Arial"/>
                  <w:sz w:val="14"/>
                  <w:szCs w:val="14"/>
                  <w:color w:val="0000FF"/>
                </w:rPr>
                <w:t>Executive Compensation</w:t>
              </w:r>
            </w:hyperlink>
          </w:p>
        </w:tc>
        <w:tc>
          <w:tcPr>
            <w:tcW w:w="2140" w:type="dxa"/>
            <w:vAlign w:val="bottom"/>
            <w:gridSpan w:val="3"/>
            <w:shd w:val="clear" w:color="auto" w:fill="CCEEFF"/>
          </w:tcPr>
          <w:p>
            <w:pPr>
              <w:jc w:val="right"/>
              <w:ind w:right="20"/>
              <w:spacing w:after="0"/>
              <w:rPr>
                <w:rFonts w:ascii="Arial" w:cs="Arial" w:eastAsia="Arial" w:hAnsi="Arial"/>
                <w:sz w:val="14"/>
                <w:szCs w:val="14"/>
                <w:color w:val="0000FF"/>
              </w:rPr>
            </w:pPr>
            <w:hyperlink w:anchor="page68">
              <w:r>
                <w:rPr>
                  <w:rFonts w:ascii="Arial" w:cs="Arial" w:eastAsia="Arial" w:hAnsi="Arial"/>
                  <w:sz w:val="14"/>
                  <w:szCs w:val="14"/>
                  <w:color w:val="0000FF"/>
                </w:rPr>
                <w:t>68</w:t>
              </w:r>
            </w:hyperlink>
          </w:p>
        </w:tc>
      </w:tr>
      <w:tr>
        <w:trPr>
          <w:trHeight w:val="203"/>
        </w:trPr>
        <w:tc>
          <w:tcPr>
            <w:tcW w:w="86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12</w:t>
            </w:r>
          </w:p>
        </w:tc>
        <w:tc>
          <w:tcPr>
            <w:tcW w:w="8420" w:type="dxa"/>
            <w:vAlign w:val="bottom"/>
            <w:shd w:val="clear" w:color="auto" w:fill="CCEEFF"/>
          </w:tcPr>
          <w:p>
            <w:pPr>
              <w:ind w:left="640"/>
              <w:spacing w:after="0"/>
              <w:rPr>
                <w:rFonts w:ascii="Arial" w:cs="Arial" w:eastAsia="Arial" w:hAnsi="Arial"/>
                <w:sz w:val="14"/>
                <w:szCs w:val="14"/>
                <w:color w:val="0000FF"/>
              </w:rPr>
            </w:pPr>
            <w:hyperlink w:anchor="page68">
              <w:r>
                <w:rPr>
                  <w:rFonts w:ascii="Arial" w:cs="Arial" w:eastAsia="Arial" w:hAnsi="Arial"/>
                  <w:sz w:val="14"/>
                  <w:szCs w:val="14"/>
                  <w:color w:val="0000FF"/>
                </w:rPr>
                <w:t>Security Ownership of Certain Beneficial Owners and Management and Related Stockholder Matters</w:t>
              </w:r>
            </w:hyperlink>
          </w:p>
        </w:tc>
        <w:tc>
          <w:tcPr>
            <w:tcW w:w="2140" w:type="dxa"/>
            <w:vAlign w:val="bottom"/>
            <w:gridSpan w:val="3"/>
            <w:shd w:val="clear" w:color="auto" w:fill="CCEEFF"/>
          </w:tcPr>
          <w:p>
            <w:pPr>
              <w:jc w:val="right"/>
              <w:ind w:right="20"/>
              <w:spacing w:after="0"/>
              <w:rPr>
                <w:rFonts w:ascii="Arial" w:cs="Arial" w:eastAsia="Arial" w:hAnsi="Arial"/>
                <w:sz w:val="14"/>
                <w:szCs w:val="14"/>
                <w:color w:val="0000FF"/>
              </w:rPr>
            </w:pPr>
            <w:hyperlink w:anchor="page68">
              <w:r>
                <w:rPr>
                  <w:rFonts w:ascii="Arial" w:cs="Arial" w:eastAsia="Arial" w:hAnsi="Arial"/>
                  <w:sz w:val="14"/>
                  <w:szCs w:val="14"/>
                  <w:color w:val="0000FF"/>
                </w:rPr>
                <w:t>68</w:t>
              </w:r>
            </w:hyperlink>
          </w:p>
        </w:tc>
      </w:tr>
      <w:tr>
        <w:trPr>
          <w:trHeight w:val="203"/>
        </w:trPr>
        <w:tc>
          <w:tcPr>
            <w:tcW w:w="86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13</w:t>
            </w:r>
          </w:p>
        </w:tc>
        <w:tc>
          <w:tcPr>
            <w:tcW w:w="8420" w:type="dxa"/>
            <w:vAlign w:val="bottom"/>
            <w:shd w:val="clear" w:color="auto" w:fill="CCEEFF"/>
          </w:tcPr>
          <w:p>
            <w:pPr>
              <w:ind w:left="640"/>
              <w:spacing w:after="0"/>
              <w:rPr>
                <w:rFonts w:ascii="Arial" w:cs="Arial" w:eastAsia="Arial" w:hAnsi="Arial"/>
                <w:sz w:val="14"/>
                <w:szCs w:val="14"/>
                <w:color w:val="0000FF"/>
              </w:rPr>
            </w:pPr>
            <w:hyperlink w:anchor="page68">
              <w:r>
                <w:rPr>
                  <w:rFonts w:ascii="Arial" w:cs="Arial" w:eastAsia="Arial" w:hAnsi="Arial"/>
                  <w:sz w:val="14"/>
                  <w:szCs w:val="14"/>
                  <w:color w:val="0000FF"/>
                </w:rPr>
                <w:t>Certain Relationships and Related Transactions, and Director Independence</w:t>
              </w:r>
            </w:hyperlink>
          </w:p>
        </w:tc>
        <w:tc>
          <w:tcPr>
            <w:tcW w:w="2140" w:type="dxa"/>
            <w:vAlign w:val="bottom"/>
            <w:gridSpan w:val="3"/>
            <w:shd w:val="clear" w:color="auto" w:fill="CCEEFF"/>
          </w:tcPr>
          <w:p>
            <w:pPr>
              <w:jc w:val="right"/>
              <w:ind w:right="20"/>
              <w:spacing w:after="0"/>
              <w:rPr>
                <w:rFonts w:ascii="Arial" w:cs="Arial" w:eastAsia="Arial" w:hAnsi="Arial"/>
                <w:sz w:val="14"/>
                <w:szCs w:val="14"/>
                <w:color w:val="0000FF"/>
              </w:rPr>
            </w:pPr>
            <w:hyperlink w:anchor="page68">
              <w:r>
                <w:rPr>
                  <w:rFonts w:ascii="Arial" w:cs="Arial" w:eastAsia="Arial" w:hAnsi="Arial"/>
                  <w:sz w:val="14"/>
                  <w:szCs w:val="14"/>
                  <w:color w:val="0000FF"/>
                </w:rPr>
                <w:t>68</w:t>
              </w:r>
            </w:hyperlink>
          </w:p>
        </w:tc>
      </w:tr>
      <w:tr>
        <w:trPr>
          <w:trHeight w:val="203"/>
        </w:trPr>
        <w:tc>
          <w:tcPr>
            <w:tcW w:w="86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14</w:t>
            </w:r>
          </w:p>
        </w:tc>
        <w:tc>
          <w:tcPr>
            <w:tcW w:w="8420" w:type="dxa"/>
            <w:vAlign w:val="bottom"/>
            <w:shd w:val="clear" w:color="auto" w:fill="CCEEFF"/>
          </w:tcPr>
          <w:p>
            <w:pPr>
              <w:ind w:left="640"/>
              <w:spacing w:after="0"/>
              <w:rPr>
                <w:rFonts w:ascii="Arial" w:cs="Arial" w:eastAsia="Arial" w:hAnsi="Arial"/>
                <w:sz w:val="14"/>
                <w:szCs w:val="14"/>
                <w:color w:val="0000FF"/>
              </w:rPr>
            </w:pPr>
            <w:hyperlink w:anchor="page68">
              <w:r>
                <w:rPr>
                  <w:rFonts w:ascii="Arial" w:cs="Arial" w:eastAsia="Arial" w:hAnsi="Arial"/>
                  <w:sz w:val="14"/>
                  <w:szCs w:val="14"/>
                  <w:color w:val="0000FF"/>
                </w:rPr>
                <w:t>Principal Accountant Fees and Services</w:t>
              </w:r>
            </w:hyperlink>
          </w:p>
        </w:tc>
        <w:tc>
          <w:tcPr>
            <w:tcW w:w="2140" w:type="dxa"/>
            <w:vAlign w:val="bottom"/>
            <w:gridSpan w:val="3"/>
            <w:shd w:val="clear" w:color="auto" w:fill="CCEEFF"/>
          </w:tcPr>
          <w:p>
            <w:pPr>
              <w:jc w:val="right"/>
              <w:ind w:right="20"/>
              <w:spacing w:after="0"/>
              <w:rPr>
                <w:rFonts w:ascii="Arial" w:cs="Arial" w:eastAsia="Arial" w:hAnsi="Arial"/>
                <w:sz w:val="14"/>
                <w:szCs w:val="14"/>
                <w:color w:val="0000FF"/>
              </w:rPr>
            </w:pPr>
            <w:hyperlink w:anchor="page68">
              <w:r>
                <w:rPr>
                  <w:rFonts w:ascii="Arial" w:cs="Arial" w:eastAsia="Arial" w:hAnsi="Arial"/>
                  <w:sz w:val="14"/>
                  <w:szCs w:val="14"/>
                  <w:color w:val="0000FF"/>
                </w:rPr>
                <w:t>68</w:t>
              </w:r>
            </w:hyperlink>
          </w:p>
        </w:tc>
      </w:tr>
      <w:tr>
        <w:trPr>
          <w:trHeight w:val="932"/>
        </w:trPr>
        <w:tc>
          <w:tcPr>
            <w:tcW w:w="860" w:type="dxa"/>
            <w:vAlign w:val="bottom"/>
            <w:tcBorders>
              <w:top w:val="single" w:sz="8" w:color="CCEEFF"/>
            </w:tcBorders>
          </w:tcPr>
          <w:p>
            <w:pPr>
              <w:spacing w:after="0"/>
              <w:rPr>
                <w:sz w:val="24"/>
                <w:szCs w:val="24"/>
                <w:color w:val="auto"/>
              </w:rPr>
            </w:pPr>
          </w:p>
        </w:tc>
        <w:tc>
          <w:tcPr>
            <w:tcW w:w="8420" w:type="dxa"/>
            <w:vAlign w:val="bottom"/>
            <w:tcBorders>
              <w:top w:val="single" w:sz="8" w:color="CCEEFF"/>
            </w:tcBorders>
          </w:tcPr>
          <w:p>
            <w:pPr>
              <w:ind w:left="4800"/>
              <w:spacing w:after="0"/>
              <w:rPr>
                <w:sz w:val="20"/>
                <w:szCs w:val="20"/>
                <w:color w:val="auto"/>
              </w:rPr>
            </w:pPr>
            <w:r>
              <w:rPr>
                <w:rFonts w:ascii="Arial" w:cs="Arial" w:eastAsia="Arial" w:hAnsi="Arial"/>
                <w:sz w:val="18"/>
                <w:szCs w:val="18"/>
                <w:color w:val="auto"/>
              </w:rPr>
              <w:t>3</w:t>
            </w:r>
          </w:p>
        </w:tc>
        <w:tc>
          <w:tcPr>
            <w:tcW w:w="1960" w:type="dxa"/>
            <w:vAlign w:val="bottom"/>
            <w:tcBorders>
              <w:top w:val="single" w:sz="8" w:color="CCEE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76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rPr>
              <w:t>CONTENTS (CONTINUED)</w:t>
            </w:r>
          </w:p>
        </w:tc>
      </w:tr>
      <w:tr>
        <w:trPr>
          <w:trHeight w:val="412"/>
        </w:trPr>
        <w:tc>
          <w:tcPr>
            <w:tcW w:w="3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Item</w:t>
            </w:r>
          </w:p>
        </w:tc>
        <w:tc>
          <w:tcPr>
            <w:tcW w:w="6760" w:type="dxa"/>
            <w:vAlign w:val="bottom"/>
            <w:tcBorders>
              <w:bottom w:val="single" w:sz="8" w:color="auto"/>
            </w:tcBorders>
            <w:gridSpan w:val="3"/>
          </w:tcPr>
          <w:p>
            <w:pPr>
              <w:ind w:left="5500"/>
              <w:spacing w:after="0"/>
              <w:rPr>
                <w:sz w:val="20"/>
                <w:szCs w:val="20"/>
                <w:color w:val="auto"/>
              </w:rPr>
            </w:pPr>
            <w:r>
              <w:rPr>
                <w:rFonts w:ascii="Arial" w:cs="Arial" w:eastAsia="Arial" w:hAnsi="Arial"/>
                <w:sz w:val="14"/>
                <w:szCs w:val="14"/>
                <w:color w:val="auto"/>
              </w:rPr>
              <w:t>Page</w:t>
            </w: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jc w:val="center"/>
              <w:ind w:right="4440"/>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PART IV</w:t>
              </w:r>
            </w:hyperlink>
          </w:p>
        </w:tc>
      </w:tr>
      <w:tr>
        <w:trPr>
          <w:trHeight w:val="203"/>
        </w:trPr>
        <w:tc>
          <w:tcPr>
            <w:tcW w:w="3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w:t>
            </w:r>
          </w:p>
        </w:tc>
        <w:tc>
          <w:tcPr>
            <w:tcW w:w="4080" w:type="dxa"/>
            <w:vAlign w:val="bottom"/>
            <w:shd w:val="clear" w:color="auto" w:fill="CCEEFF"/>
          </w:tcPr>
          <w:p>
            <w:pPr>
              <w:ind w:left="1220"/>
              <w:spacing w:after="0"/>
              <w:rPr>
                <w:rFonts w:ascii="Arial" w:cs="Arial" w:eastAsia="Arial" w:hAnsi="Arial"/>
                <w:sz w:val="14"/>
                <w:szCs w:val="14"/>
                <w:color w:val="0000FF"/>
              </w:rPr>
            </w:pPr>
            <w:hyperlink w:anchor="page69">
              <w:r>
                <w:rPr>
                  <w:rFonts w:ascii="Arial" w:cs="Arial" w:eastAsia="Arial" w:hAnsi="Arial"/>
                  <w:sz w:val="14"/>
                  <w:szCs w:val="14"/>
                  <w:color w:val="0000FF"/>
                </w:rPr>
                <w:t>Exhibits and Financial Statement Schedules</w:t>
              </w:r>
            </w:hyperlink>
          </w:p>
        </w:tc>
        <w:tc>
          <w:tcPr>
            <w:tcW w:w="6740" w:type="dxa"/>
            <w:vAlign w:val="bottom"/>
            <w:gridSpan w:val="2"/>
            <w:shd w:val="clear" w:color="auto" w:fill="CCEEFF"/>
          </w:tcPr>
          <w:p>
            <w:pPr>
              <w:jc w:val="right"/>
              <w:spacing w:after="0"/>
              <w:rPr>
                <w:rFonts w:ascii="Arial" w:cs="Arial" w:eastAsia="Arial" w:hAnsi="Arial"/>
                <w:sz w:val="14"/>
                <w:szCs w:val="14"/>
                <w:color w:val="0000FF"/>
              </w:rPr>
            </w:pPr>
            <w:hyperlink w:anchor="page69">
              <w:r>
                <w:rPr>
                  <w:rFonts w:ascii="Arial" w:cs="Arial" w:eastAsia="Arial" w:hAnsi="Arial"/>
                  <w:sz w:val="14"/>
                  <w:szCs w:val="14"/>
                  <w:color w:val="0000FF"/>
                </w:rPr>
                <w:t>69</w:t>
              </w:r>
            </w:hyperlink>
          </w:p>
        </w:tc>
        <w:tc>
          <w:tcPr>
            <w:tcW w:w="20" w:type="dxa"/>
            <w:vAlign w:val="bottom"/>
            <w:shd w:val="clear" w:color="auto" w:fill="CCEEFF"/>
          </w:tcPr>
          <w:p>
            <w:pPr>
              <w:spacing w:after="0"/>
              <w:rPr>
                <w:sz w:val="21"/>
                <w:szCs w:val="21"/>
                <w:color w:val="auto"/>
              </w:rPr>
            </w:pPr>
          </w:p>
        </w:tc>
      </w:tr>
      <w:tr>
        <w:trPr>
          <w:trHeight w:val="203"/>
        </w:trPr>
        <w:tc>
          <w:tcPr>
            <w:tcW w:w="3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83"/>
        </w:trPr>
        <w:tc>
          <w:tcPr>
            <w:tcW w:w="380" w:type="dxa"/>
            <w:vAlign w:val="bottom"/>
            <w:shd w:val="clear" w:color="auto" w:fill="CCEEFF"/>
          </w:tcPr>
          <w:p>
            <w:pPr>
              <w:spacing w:after="0"/>
              <w:rPr>
                <w:sz w:val="15"/>
                <w:szCs w:val="15"/>
                <w:color w:val="auto"/>
              </w:rPr>
            </w:pPr>
          </w:p>
        </w:tc>
        <w:tc>
          <w:tcPr>
            <w:tcW w:w="4080" w:type="dxa"/>
            <w:vAlign w:val="bottom"/>
            <w:shd w:val="clear" w:color="auto" w:fill="CCEEFF"/>
          </w:tcPr>
          <w:p>
            <w:pPr>
              <w:ind w:left="1220"/>
              <w:spacing w:after="0"/>
              <w:rPr>
                <w:rFonts w:ascii="Arial" w:cs="Arial" w:eastAsia="Arial" w:hAnsi="Arial"/>
                <w:sz w:val="14"/>
                <w:szCs w:val="14"/>
                <w:color w:val="0000FF"/>
              </w:rPr>
            </w:pPr>
            <w:hyperlink w:anchor="page73">
              <w:r>
                <w:rPr>
                  <w:rFonts w:ascii="Arial" w:cs="Arial" w:eastAsia="Arial" w:hAnsi="Arial"/>
                  <w:sz w:val="14"/>
                  <w:szCs w:val="14"/>
                  <w:color w:val="0000FF"/>
                </w:rPr>
                <w:t>Signatures</w:t>
              </w:r>
            </w:hyperlink>
          </w:p>
        </w:tc>
        <w:tc>
          <w:tcPr>
            <w:tcW w:w="6740" w:type="dxa"/>
            <w:vAlign w:val="bottom"/>
            <w:gridSpan w:val="2"/>
            <w:shd w:val="clear" w:color="auto" w:fill="CCEEFF"/>
          </w:tcPr>
          <w:p>
            <w:pPr>
              <w:jc w:val="right"/>
              <w:spacing w:after="0"/>
              <w:rPr>
                <w:rFonts w:ascii="Arial" w:cs="Arial" w:eastAsia="Arial" w:hAnsi="Arial"/>
                <w:sz w:val="14"/>
                <w:szCs w:val="14"/>
                <w:color w:val="0000FF"/>
              </w:rPr>
            </w:pPr>
            <w:hyperlink w:anchor="page73">
              <w:r>
                <w:rPr>
                  <w:rFonts w:ascii="Arial" w:cs="Arial" w:eastAsia="Arial" w:hAnsi="Arial"/>
                  <w:sz w:val="14"/>
                  <w:szCs w:val="14"/>
                  <w:color w:val="0000FF"/>
                </w:rPr>
                <w:t>74</w:t>
              </w:r>
            </w:hyperlink>
          </w:p>
        </w:tc>
        <w:tc>
          <w:tcPr>
            <w:tcW w:w="20" w:type="dxa"/>
            <w:vAlign w:val="bottom"/>
            <w:shd w:val="clear" w:color="auto" w:fill="CCEEFF"/>
          </w:tcPr>
          <w:p>
            <w:pPr>
              <w:spacing w:after="0"/>
              <w:rPr>
                <w:sz w:val="15"/>
                <w:szCs w:val="15"/>
                <w:color w:val="auto"/>
              </w:rPr>
            </w:pPr>
          </w:p>
        </w:tc>
      </w:tr>
      <w:tr>
        <w:trPr>
          <w:trHeight w:val="203"/>
        </w:trPr>
        <w:tc>
          <w:tcPr>
            <w:tcW w:w="3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83"/>
        </w:trPr>
        <w:tc>
          <w:tcPr>
            <w:tcW w:w="380" w:type="dxa"/>
            <w:vAlign w:val="bottom"/>
            <w:shd w:val="clear" w:color="auto" w:fill="CCEEFF"/>
          </w:tcPr>
          <w:p>
            <w:pPr>
              <w:spacing w:after="0"/>
              <w:rPr>
                <w:sz w:val="15"/>
                <w:szCs w:val="15"/>
                <w:color w:val="auto"/>
              </w:rPr>
            </w:pPr>
          </w:p>
        </w:tc>
        <w:tc>
          <w:tcPr>
            <w:tcW w:w="4080" w:type="dxa"/>
            <w:vAlign w:val="bottom"/>
            <w:shd w:val="clear" w:color="auto" w:fill="CCEEFF"/>
          </w:tcPr>
          <w:p>
            <w:pPr>
              <w:ind w:left="1220"/>
              <w:spacing w:after="0"/>
              <w:rPr>
                <w:rFonts w:ascii="Arial" w:cs="Arial" w:eastAsia="Arial" w:hAnsi="Arial"/>
                <w:sz w:val="14"/>
                <w:szCs w:val="14"/>
                <w:color w:val="0000FF"/>
                <w:w w:val="96"/>
              </w:rPr>
            </w:pPr>
            <w:hyperlink w:anchor="page75">
              <w:r>
                <w:rPr>
                  <w:rFonts w:ascii="Arial" w:cs="Arial" w:eastAsia="Arial" w:hAnsi="Arial"/>
                  <w:sz w:val="14"/>
                  <w:szCs w:val="14"/>
                  <w:color w:val="0000FF"/>
                  <w:w w:val="96"/>
                </w:rPr>
                <w:t>Schedule II - Valuation and Qualifying Accounts</w:t>
              </w:r>
            </w:hyperlink>
          </w:p>
        </w:tc>
        <w:tc>
          <w:tcPr>
            <w:tcW w:w="6740" w:type="dxa"/>
            <w:vAlign w:val="bottom"/>
            <w:gridSpan w:val="2"/>
            <w:shd w:val="clear" w:color="auto" w:fill="CCEEFF"/>
          </w:tcPr>
          <w:p>
            <w:pPr>
              <w:jc w:val="right"/>
              <w:spacing w:after="0"/>
              <w:rPr>
                <w:rFonts w:ascii="Arial" w:cs="Arial" w:eastAsia="Arial" w:hAnsi="Arial"/>
                <w:sz w:val="14"/>
                <w:szCs w:val="14"/>
                <w:color w:val="0000FF"/>
              </w:rPr>
            </w:pPr>
            <w:hyperlink w:anchor="page75">
              <w:r>
                <w:rPr>
                  <w:rFonts w:ascii="Arial" w:cs="Arial" w:eastAsia="Arial" w:hAnsi="Arial"/>
                  <w:sz w:val="14"/>
                  <w:szCs w:val="14"/>
                  <w:color w:val="0000FF"/>
                </w:rPr>
                <w:t>76</w:t>
              </w:r>
            </w:hyperlink>
          </w:p>
        </w:tc>
        <w:tc>
          <w:tcPr>
            <w:tcW w:w="20" w:type="dxa"/>
            <w:vAlign w:val="bottom"/>
            <w:shd w:val="clear" w:color="auto" w:fill="CCEEFF"/>
          </w:tcPr>
          <w:p>
            <w:pPr>
              <w:spacing w:after="0"/>
              <w:rPr>
                <w:sz w:val="15"/>
                <w:szCs w:val="15"/>
                <w:color w:val="auto"/>
              </w:rPr>
            </w:pPr>
          </w:p>
        </w:tc>
      </w:tr>
      <w:tr>
        <w:trPr>
          <w:trHeight w:val="203"/>
        </w:trPr>
        <w:tc>
          <w:tcPr>
            <w:tcW w:w="3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2"/>
        </w:trPr>
        <w:tc>
          <w:tcPr>
            <w:tcW w:w="380" w:type="dxa"/>
            <w:vAlign w:val="bottom"/>
            <w:shd w:val="clear" w:color="auto" w:fill="CCEEFF"/>
          </w:tcPr>
          <w:p>
            <w:pPr>
              <w:spacing w:after="0"/>
              <w:rPr>
                <w:sz w:val="14"/>
                <w:szCs w:val="14"/>
                <w:color w:val="auto"/>
              </w:rPr>
            </w:pPr>
          </w:p>
        </w:tc>
        <w:tc>
          <w:tcPr>
            <w:tcW w:w="4080" w:type="dxa"/>
            <w:vAlign w:val="bottom"/>
            <w:shd w:val="clear" w:color="auto" w:fill="CCEEFF"/>
          </w:tcPr>
          <w:p>
            <w:pPr>
              <w:ind w:left="1220"/>
              <w:spacing w:after="0"/>
              <w:rPr>
                <w:rFonts w:ascii="Arial" w:cs="Arial" w:eastAsia="Arial" w:hAnsi="Arial"/>
                <w:sz w:val="14"/>
                <w:szCs w:val="14"/>
                <w:color w:val="0000FF"/>
              </w:rPr>
            </w:pPr>
            <w:hyperlink w:anchor="page76">
              <w:r>
                <w:rPr>
                  <w:rFonts w:ascii="Arial" w:cs="Arial" w:eastAsia="Arial" w:hAnsi="Arial"/>
                  <w:sz w:val="14"/>
                  <w:szCs w:val="14"/>
                  <w:color w:val="0000FF"/>
                </w:rPr>
                <w:t>Exhibit Index</w:t>
              </w:r>
            </w:hyperlink>
          </w:p>
        </w:tc>
        <w:tc>
          <w:tcPr>
            <w:tcW w:w="6740" w:type="dxa"/>
            <w:vAlign w:val="bottom"/>
            <w:gridSpan w:val="2"/>
            <w:shd w:val="clear" w:color="auto" w:fill="CCEEFF"/>
          </w:tcPr>
          <w:p>
            <w:pPr>
              <w:jc w:val="right"/>
              <w:spacing w:after="0"/>
              <w:rPr>
                <w:rFonts w:ascii="Arial" w:cs="Arial" w:eastAsia="Arial" w:hAnsi="Arial"/>
                <w:sz w:val="14"/>
                <w:szCs w:val="14"/>
                <w:color w:val="0000FF"/>
              </w:rPr>
            </w:pPr>
            <w:hyperlink w:anchor="page76">
              <w:r>
                <w:rPr>
                  <w:rFonts w:ascii="Arial" w:cs="Arial" w:eastAsia="Arial" w:hAnsi="Arial"/>
                  <w:sz w:val="14"/>
                  <w:szCs w:val="14"/>
                  <w:color w:val="0000FF"/>
                </w:rPr>
                <w:t>77</w:t>
              </w:r>
            </w:hyperlink>
          </w:p>
        </w:tc>
        <w:tc>
          <w:tcPr>
            <w:tcW w:w="20" w:type="dxa"/>
            <w:vAlign w:val="bottom"/>
            <w:shd w:val="clear" w:color="auto" w:fill="CCEEFF"/>
          </w:tcPr>
          <w:p>
            <w:pPr>
              <w:spacing w:after="0"/>
              <w:rPr>
                <w:sz w:val="14"/>
                <w:szCs w:val="14"/>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but not limited to, those described in Item 1A “Risk Factors” below and other reports filed with the SEC.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Verge, Fresh &amp; Light and Resorb are trademarks of Oil-Dri Corporation of America. Fresh Step is a registered trademark of The Clorox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6"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fiscal 2011, our commitment to provide valuable products to our customers was rewarded with higher sales. Our efforts to add value to our products focused on new product development and promotion and on existing product improvements. The Retail and Wholesale Products Group saw increased sales of established branded cat litters and the development and introduction of our new Cat's Pride Fresh &amp; Light cat litter product in the fourth quarter. Our Business to Business Products Group also experienced increased sales of our fluid purification and traditional agricultural products and of Verge, our engineered granule product that we introduced late in fiscal 2010. We were challenged by higher costs related to commodities, depreciation and labor which, combined with increased spending for product market research and promotion development, resulted in lower operating margins and overall results. We issued new debt, continued to invest in our capital assets and maintained a strong consolidated balance sheet during fiscal 2011. For more information on recent business developments, see Item 7 “Management’s Discussion and Analysis of Financial Condition and Results of Operations”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leader in developing, manufacturing and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Agsorb and Verge agricultural chemical carriers and ConditionAde, Calibrin and Pel-Unite animal feed binders. Adsorbent products attract impurities in liquids, such as metals and surfactants, and form low-level chemical bonds. Examples of our adsorbent products are Oil-Dri synthetic sorbents, which are used for industrial cleanup, and Pure-Flo, Perform and Select bleaching clay products, which act as a filtration media for edible oils, fats and tallows. Also, our Ultra-Clear product serves as a clarification aid for petroleum-based oils and by-products. Both our absorbent and adsorbent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produce two types of cat litter products, traditional coarse and scoopable, both of which have absorbent and 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We also package and market Cat’s Pride Kat Kit and Jonny Cat cat litter in a disposable tray, as well as Cat's Pride and Jonny Cat litter pan liners. We manufacture Fresh Step brand coarse cat litter for The Clorox Company (“Clorox”). We also produce private label cat litters for other customers that are sold through independent food brokers and our sales force to major retail outlets.</w:t>
      </w:r>
    </w:p>
    <w:p>
      <w:pPr>
        <w:spacing w:after="0" w:line="1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two long-term supply arrangements (only one of which is material) under which we manufacture branded traditional litters for other marketers. Under these co-manufacturing relationships, the marketer controls all aspects of sales, marketing, and distribution, as well as the odor control formula, and we are responsible for manufacturing. Our material agreement is with Clorox, under which we have the exclusive right to supply Clorox’s requirements for Fresh Step coarse cat litter up to certain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Sorbent Products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manufacture products from clay, polypropylene and recycled cotton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surface for workers. These floor absorbents are used in automotive repair facilities and car dealerships to absorb oil and grease. They are also used in home applications in garages and driveways. Our Oil-Dri branded polypropylene-based and cotton-based products are sold in various forms, such as pads, rolls, socks, booms and spill kits. These products are used to absorb oil, grease, water and most chemical spills.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and catalogs.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Clarification Aid Products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produce an array of bleaching, purification and filtration applications used by edible oil and jet fuel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clarification aid is used as a filtration and purification medium for jet fuel and other petroleum-based products.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products are marketed in the United States and in international markets. The products are supported by our team of technical sales employees as well as by agent representatives and the services of our research and development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as carriers for crop protection chemicals, agricultural drying agents, bulk processing aids, growing media components and seed enhancement media. Our brands include: Agsorb, an agricultural chemical carrier and drying agent; Verge, an engineered granule agricultural chemical carrier; Flo-Fre, a highly absorbent microgranule flowability aid; and Terra-Green, a growing media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Agsorb and Verge carriers are used as an alternative to agricultural sprays. The clay granules absorb crop protection chemicals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preventing caking. We employ technical sales people to market agricultural products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produce several products used in the livestock feed industry. Calibrin and ConditionAde branded enterosorbent products are used in animal feed to absorb naturally-occurring mycotoxins in the feed and thereby improve animal health and productivity. Pel-Unite and Pel-Unite Plus are specialized animal feed binders used in the manufacture of pelleted feeds. These products are sold through a network of feed products distributors in the United States and primarily through exclusive distribution agreements with animal health and nutrition products distributors in Latin America, Africa and Asia.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Pro’s Choice sports field products are used on baseball, football and soccer fields. Pro’s Choice soil conditioners are used in field construction or as top dressing to absorb moisture, suppress dust and improve field performance. Pro Mound packing clay is used to construct pitcher’s mounds and batter’s boxes. Rapid Dry drying agent is used to dry up puddles and slick spots after rain. Sports field products are used at all levels of play, including professional, college and high school and on municipal fields. These products are sold through a network of distributors specializing in sports turf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based oils and biodiesel fuel, manufacturers of animal feed and agricultural chemicals and marketers of consumer products.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Beginning in fiscal 2011, our sports field products were included in the Retail and Wholesale Products Group to reflect a change in management organization intended to better serve our customers. Certain financial information on both segments is contained in Note 2 of the Notes to the Consolidated Financial Statements and is incorporated herein by reference. Prior year segment information has been restated to reflect this change.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and marketer of branded and private label cat litter in the Canadian market place. Among its leading brands are Saular, Cat’s Pride and Jonny Cat. Our Canadian business also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and marketer of industrial floor absorbents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international business of our domestic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foreign operations are subject to the normal risks of doing business overseas, such as currency devaluations and fluctuations, restrictions on the transfer of funds and import/export duties. We were not materially impacted by these foreign currency fluctuations in any of our last three fiscal years. Certain financial information about our foreign and domestic operations is contained in Note 2 of the Notes to the Consolidated Financial Statements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Sales to Wal-Mart Stores, Inc. (“Walmart”) and its affiliates accounted for approximately 21%, 20% and 26% of our total net sales for the fiscal years ended July 31, 2011, 2010 and 2009, respectively. Walmart is a customer in our Retail and Wholesale Products Group segment. During fiscal 2011, Walmart reinstated our branded scoopable litter following the reduction in the number of cat litter brands carried, including ours, during the first quarter of fiscal 2010. There are no customers in the Business to Business Products Group with sales equal to or greater than 10% of our total sales; however, sales to Clorox (a customer in our Business to Business Products Group) and its affiliates accounted for approximately 8%, 9% and 8% of total net sales for fiscal years 2011, 2010 and 2009, respectively. The degree of margin contribution of our significant customers in the Business to Business Products Group varies, with certain customers having a greater effect on our operating results</w:t>
      </w:r>
      <w:r>
        <w:rPr>
          <w:rFonts w:ascii="Arial" w:cs="Arial" w:eastAsia="Arial" w:hAnsi="Arial"/>
          <w:sz w:val="13"/>
          <w:szCs w:val="13"/>
          <w:color w:val="auto"/>
        </w:rPr>
        <w:t>. T</w:t>
      </w:r>
      <w:r>
        <w:rPr>
          <w:rFonts w:ascii="Arial" w:cs="Arial" w:eastAsia="Arial" w:hAnsi="Arial"/>
          <w:sz w:val="17"/>
          <w:szCs w:val="17"/>
          <w:color w:val="auto"/>
        </w:rPr>
        <w:t>he loss of any customer other than those described in this paragraph would not be expected to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Price, service, marketing, technical support, product quality and delivery are the principal methods of competition in our markets and competition has historically been very vigorous. Some of our competitors are large companies whose financial resources are substantially greater than ours.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Retail and Wholesale Products Group, we have six principal competitors, including one which is also a customer of ours. The cat litter market has been stable in recent years. Scoopable products have a majority of the cat litter market share followed by traditional coarse products. The overwhelming majority of all cat litter is mineral based; however, cat litters based on alternative strata such as paper, various agricultural waste products and silica gels have earned niche positions. The consumer trend away from regional grocery stores towards large national retailers, such as supercenter-type stores, dollar stores and pet specialty stores, has presented competitive challenges as well as opportunities. These stores enjoy substantial negotiating leverage over their suppliers, including us; however, our operations support nation-wide distribution, which gives us a potential advantage over smaller and regional manufacturers in selling to these stores.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Business to Business Products Group, we have 15 principal competitors. The agricultural chemical carrier portion of this segment has experienced competition from new technologies in the agricultural and horticultural markets. The bleaching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clay and fluids clarification aid portion of this Group operates in a highly cost competitive global marketplace. Product performance is also a primary competitive factor for these products. The animal health portion of this Group also operates in a global marketplace with price and performance competition from multi-national and local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beginning in February 2013. We expect no material impact on our business from the expiration of patents in the next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July 31, 2011, 2010 and 2009, our backlog of orders was approximately $5,145,000, $6,368,000, and $6,015,000, respectively. The value of backlog orders is determined by the number of tons on backlog order and the net selling prices. All backlog orders are expected to be filled within the next 12 months. We consider our business, taken as a whole, to be only moderately seasonal; however, business activities of certain customers (such as agricultural chemical manufacturers) are subject to such seasonal factors as crop acreage planted and product formulation cycles.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our clay on leased or owned land near our manufacturing facilities in Mississippi, Georgia, Illinois and California; we also have reserves in Nevada, Oregon and Tennessee. We estimate our proven mineral reserves are approximately 151,080,000 tons in aggregate and our probable reserves are approximately 146,835,000 tons in aggregate, for a total of 297,915,000 tons of mineral reserves. Based on our rate of consumption during fiscal year 2011,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is reflected at cost on our balance sheet.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ended July 31, 2011, we utilized these reserves to produce a majority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excavators or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8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Land</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r>
      <w:tr>
        <w:trPr>
          <w:trHeight w:val="270"/>
        </w:trPr>
        <w:tc>
          <w:tcPr>
            <w:tcW w:w="8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8,497</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1,773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12,263</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1,545</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11,211</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1,391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8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2011, we employed 815 persons, 54 of whom were employed by our foreign subsidiaries. Our corporate offices, research and development center and manufacturing facilities are adequately staffed and no material labor shortages are anticipated. Approximately 48 of our employees in the U.S. and approximately 26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and manufacturing operations and facilities in Georgia, Mississippi, California and Illinois are required to comply with state surface mining and wetland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exhausted mining sites. Historically, reclamation expenses have not had a material effect on our cost of sales.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to the environmental requirements relating to mining and manufacturing operations and facilities, there is increasing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natural gas, recycled oil and coal as permitted for energy sources in the processing of our clay products. Consistent with prior years, we have switched among the various energy sources during certain months due to seasonal availability and cost. See Item 7A “Quantitative and Qualitative Disclosures About Market Risk” below with respect to our use of forward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our research and development facility in Vernon Hills, Illinois, we develop new products and applications and improve existing products. The facility’s staff (and various consultants they engage from time to time) consists of geologists, mineralogists and chemists. In the past several years, our research efforts have resulted in a number of new sorbent products and processes. The facility produces prototype samples and tests new products for customer trial and evaluation.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spent approximately $1,933,000, $1,826,000, and $2,099,000 during the fiscal years ended July 31, 2011, 2010 and 2009, respectively, for research and development. None of this research and development was customer sponsored, and all research and development costs are expensed in the period in which incurred. See Note 1 of the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relating to corporate governance at Oil-Dri, including its Code of Ethics and Business Conduct, information concerning executive officers, directors and Board committees (including committee charters), and transactions in Oil-Dri securities by directors and officers, is available free of charge on or through the “Investor Information” section of our website at www.oildri.com. We are not including the information on our website as a part of, or incorporating it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deciding to purchase our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significant portion of our net sales comes from the sale of mature products, such as coarse cat litter, floor absorbent and agricultural chemical carriers, which have had little or no volume growth (in fact, several have had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markets are highly competitive and we expect that both direct and indirect competition will increase in the future. Our overall competitive position depends on a number of factors including price, customer service and technical support, product quality and delivery. Some of our competitors, particularly in the sale of cat litter (the largest product in our Retail and Wholesale Products Group), are much larger and have substantially greater financial resources. The competition in the future may, in some cases, result in price reductions, reduced margins or loss of market share, any of which could materially and adversely affect our business, operating results and financial condition. If we fail to compete successfully based on these or other factors, our business, financial condition and future financial results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5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assessing the value, strengths, and potential profitability of acquisition candidates, and in identifying the extent of all weaknesses, risks, contingent and other liabilities (including environmental or mining safety liabilities), of those candidates;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any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 adverse impact on our results of operations. If we lose a significant customer or if sales of our products to a significant customer materially decrease, it may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our energy costs increase disproportionately to our net sales, our earnings could be significantly reduced. Because we use energy, including natural gas, recycled oil, coal, electricity, diesel fuel and gasoline, to manufacture and transport our products, our operating costs increase if our energy costs rise. Increases in our operating costs may reduce our profitability if we are unable to pass all the increases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Typically, our most significant energy requirements are for natural gas and recycled oil. We are subject to volatility in the price and availability of natural gas and recycled oil, as well as other sources of energy. In the past, we have endeavored to reallocate a portion of our energy needs among these different sources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natural gas and recycled oil costs. The success or failure of any such hedging transactions depends on a number of factors including, but not limited to, our ability to anticipate and manage volatility in energy prices, the general demand for natural gas and recycled oil by the manufacturing sector, seasonality and the weather patterns throughout the United States and the world.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raw materials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supply disruptions.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Supply disruptions could adversely affect our ability to manufacture or package our products. Some of our products require raw materials that are provided by a limited number of suppliers, or are demanded by other industries or are simply not available at times.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customers in both our Retail and Wholesale Products Group and our Business to Business Products Group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 Similarly, inventory reductions by our agricultural chemical carrier customers or our contract cat litter manufacturing customers could also adversely affect our results of operations for the financial periods in which the reductions occur.</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value of our inventory may decline as a result of surplus inventory,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salability of our inventory; however, there is no guaranty that these arrangements will be sufficient to avoid write-offs in excess of our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subject to a variety of federal, state, local and foreign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expense, liabilities and requirements associated with environmental, health and safety regulations are costly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many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European Union, there is also increasing government scrutiny and regulation of the food chain and products entering or affecting the food chain.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19% of our net sales from sales outside of the United States in the fiscal year ended July 31, 2011.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are costly, create adverse publicity and may add further governmental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products that we sell cause harm to any of our customers or to consumers, we could be exposed to product liability lawsuits or governmental actions. If we are found liable under product liability claims, we could be required to pay substantial monetary damages or change our product formulations in response to governmental action. Further, even if we successfully defend ourselves against this type of claim, we could be forced to spend a substantial amount of money in litigation expenses, our management could be required to spend valuable time in the defense against these claims and our reputation could suffer, any of which could harm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2011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10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the Jaffee Investment Partnership, L.P., and its affiliates (including Richard M. Jaffee, our Chairman, and Daniel S. Jaffee, his son and our President and Chief Executive Officer) provides them with the ability to control the election of our Board of Directors and the outcome of most matters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composed entirely of independent directors with a written charter addressing the committee’s purpose and responsibilities;</w:t>
      </w:r>
    </w:p>
    <w:p>
      <w:pPr>
        <w:ind w:left="500" w:right="2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composed entirely of independent directors with a written charter addressing the committee’s purpose and responsibilities; and</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our industry;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industry,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9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80" w:type="dxa"/>
            <w:vAlign w:val="bottom"/>
            <w:gridSpan w:val="9"/>
          </w:tcPr>
          <w:p>
            <w:pPr>
              <w:ind w:left="60"/>
              <w:spacing w:after="0"/>
              <w:rPr>
                <w:sz w:val="20"/>
                <w:szCs w:val="20"/>
                <w:color w:val="auto"/>
              </w:rPr>
            </w:pPr>
            <w:r>
              <w:rPr>
                <w:rFonts w:ascii="Arial" w:cs="Arial" w:eastAsia="Arial" w:hAnsi="Arial"/>
                <w:sz w:val="18"/>
                <w:szCs w:val="18"/>
                <w:b w:val="1"/>
                <w:bCs w:val="1"/>
                <w:color w:val="auto"/>
                <w:w w:val="95"/>
              </w:rPr>
              <w:t>Real Property Holdings and Mineral Reserves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Land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Unpatented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Owned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Claims</w:t>
            </w: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1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gridSpan w:val="4"/>
          </w:tcPr>
          <w:p>
            <w:pPr>
              <w:ind w:left="40"/>
              <w:spacing w:after="0"/>
              <w:rPr>
                <w:sz w:val="20"/>
                <w:szCs w:val="20"/>
                <w:color w:val="auto"/>
              </w:rPr>
            </w:pPr>
            <w:r>
              <w:rPr>
                <w:rFonts w:ascii="Arial" w:cs="Arial" w:eastAsia="Arial" w:hAnsi="Arial"/>
                <w:sz w:val="18"/>
                <w:szCs w:val="18"/>
                <w:b w:val="1"/>
                <w:bCs w:val="1"/>
                <w:color w:val="auto"/>
              </w:rPr>
              <w:t>(acres)</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(000's of tons)</w:t>
            </w:r>
          </w:p>
        </w:tc>
        <w:tc>
          <w:tcPr>
            <w:tcW w:w="10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72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16,040</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63,286</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11,057</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Mississippi</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175,215</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Nevada</w:t>
            </w: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26,292</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Tennessee</w:t>
            </w: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6,000</w:t>
            </w:r>
          </w:p>
        </w:tc>
      </w:tr>
      <w:tr>
        <w:trPr>
          <w:trHeight w:val="27"/>
        </w:trPr>
        <w:tc>
          <w:tcPr>
            <w:tcW w:w="1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151,080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146,835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844,000 tons in fiscal 2011, 863,000 tons in fiscal 2010 and 943,000 tons in fiscal 2009. Parcels of such land are also sites of manufacturing facilities operated by us. We own approximately one acre of land in Laval, Quebec, Canada, which is the site of the processing and packaging facility for our Canadian subsidiary</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leased or owned land. The Georgia, Illinois and Mississippi mining leases generally require that we pay a minimum monthly rental to continue the lease term. The rental payments are generally applied against a stated royalty related to the number of unprocessed, or in some cases processed, tons of mineral extracted from the leased property. Many of our mining leases have no stated expiration dates. Some of our leases, however, do have expiration dates ranging from 2014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certain fluid purification and animal health products are further processed into a powder form. We also use a proprietary process for our engineered granules to create spherical, uniform-sized granules.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the clay has been dried to the desired level and sized the clay will be packaged. Our products have package sizes ranging from bags and jugs of cat litter to railcars of agricultural products. We also package some of our products into bulk (approximately one ton) bags or into bulk trucks. The size and delivery configuration of the finished product is determined by customer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manufacturing facilities on property owned or leased by us as shown on the map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154940</wp:posOffset>
            </wp:positionV>
            <wp:extent cx="4193540" cy="404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93540" cy="404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b w:val="1"/>
                <w:bCs w:val="1"/>
                <w:color w:val="auto"/>
              </w:rPr>
              <w:t>Facilities</w:t>
            </w:r>
          </w:p>
        </w:tc>
      </w:tr>
      <w:tr>
        <w:trPr>
          <w:trHeight w:val="27"/>
        </w:trPr>
        <w:tc>
          <w:tcPr>
            <w:tcW w:w="36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1840"/>
              <w:spacing w:after="0"/>
              <w:rPr>
                <w:sz w:val="20"/>
                <w:szCs w:val="20"/>
                <w:color w:val="auto"/>
              </w:rPr>
            </w:pPr>
            <w:r>
              <w:rPr>
                <w:rFonts w:ascii="Arial" w:cs="Arial" w:eastAsia="Arial" w:hAnsi="Arial"/>
                <w:sz w:val="18"/>
                <w:szCs w:val="18"/>
                <w:b w:val="1"/>
                <w:bCs w:val="1"/>
                <w:color w:val="auto"/>
              </w:rPr>
              <w:t>Location</w:t>
            </w:r>
          </w:p>
        </w:tc>
        <w:tc>
          <w:tcPr>
            <w:tcW w:w="2480" w:type="dxa"/>
            <w:vAlign w:val="bottom"/>
          </w:tcPr>
          <w:p>
            <w:pPr>
              <w:ind w:left="1120"/>
              <w:spacing w:after="0"/>
              <w:rPr>
                <w:sz w:val="20"/>
                <w:szCs w:val="20"/>
                <w:color w:val="auto"/>
              </w:rPr>
            </w:pPr>
            <w:r>
              <w:rPr>
                <w:rFonts w:ascii="Arial" w:cs="Arial" w:eastAsia="Arial" w:hAnsi="Arial"/>
                <w:sz w:val="18"/>
                <w:szCs w:val="18"/>
                <w:b w:val="1"/>
                <w:bCs w:val="1"/>
                <w:color w:val="auto"/>
              </w:rPr>
              <w:t>Owned/Leased</w:t>
            </w:r>
          </w:p>
        </w:tc>
        <w:tc>
          <w:tcPr>
            <w:tcW w:w="5320" w:type="dxa"/>
            <w:vAlign w:val="bottom"/>
          </w:tcPr>
          <w:p>
            <w:pPr>
              <w:ind w:left="240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36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Alpharetta, Georgia</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Leased</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Non-clay processing and packaging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Bentonville, Arkansas</w:t>
            </w:r>
          </w:p>
        </w:tc>
        <w:tc>
          <w:tcPr>
            <w:tcW w:w="2480" w:type="dxa"/>
            <w:vAlign w:val="bottom"/>
          </w:tcPr>
          <w:p>
            <w:pPr>
              <w:ind w:left="1120"/>
              <w:spacing w:after="0"/>
              <w:rPr>
                <w:sz w:val="20"/>
                <w:szCs w:val="20"/>
                <w:color w:val="auto"/>
              </w:rPr>
            </w:pPr>
            <w:r>
              <w:rPr>
                <w:rFonts w:ascii="Arial" w:cs="Arial" w:eastAsia="Arial" w:hAnsi="Arial"/>
                <w:sz w:val="18"/>
                <w:szCs w:val="18"/>
                <w:color w:val="auto"/>
              </w:rPr>
              <w:t>Leased</w:t>
            </w:r>
          </w:p>
        </w:tc>
        <w:tc>
          <w:tcPr>
            <w:tcW w:w="5320" w:type="dxa"/>
            <w:vAlign w:val="bottom"/>
          </w:tcPr>
          <w:p>
            <w:pPr>
              <w:ind w:left="220"/>
              <w:spacing w:after="0"/>
              <w:rPr>
                <w:sz w:val="20"/>
                <w:szCs w:val="20"/>
                <w:color w:val="auto"/>
              </w:rPr>
            </w:pPr>
            <w:r>
              <w:rPr>
                <w:rFonts w:ascii="Arial" w:cs="Arial" w:eastAsia="Arial" w:hAnsi="Arial"/>
                <w:sz w:val="18"/>
                <w:szCs w:val="18"/>
                <w:color w:val="auto"/>
              </w:rPr>
              <w:t>Sales office</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 Mountain, Mississippi</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Both</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Chicago, Illinois</w:t>
            </w:r>
          </w:p>
        </w:tc>
        <w:tc>
          <w:tcPr>
            <w:tcW w:w="2480" w:type="dxa"/>
            <w:vAlign w:val="bottom"/>
          </w:tcPr>
          <w:p>
            <w:pPr>
              <w:ind w:left="1120"/>
              <w:spacing w:after="0"/>
              <w:rPr>
                <w:sz w:val="20"/>
                <w:szCs w:val="20"/>
                <w:color w:val="auto"/>
              </w:rPr>
            </w:pPr>
            <w:r>
              <w:rPr>
                <w:rFonts w:ascii="Arial" w:cs="Arial" w:eastAsia="Arial" w:hAnsi="Arial"/>
                <w:sz w:val="18"/>
                <w:szCs w:val="18"/>
                <w:color w:val="auto"/>
              </w:rPr>
              <w:t>Leased</w:t>
            </w:r>
          </w:p>
        </w:tc>
        <w:tc>
          <w:tcPr>
            <w:tcW w:w="5320" w:type="dxa"/>
            <w:vAlign w:val="bottom"/>
          </w:tcPr>
          <w:p>
            <w:pPr>
              <w:ind w:left="220"/>
              <w:spacing w:after="0"/>
              <w:rPr>
                <w:sz w:val="20"/>
                <w:szCs w:val="20"/>
                <w:color w:val="auto"/>
              </w:rPr>
            </w:pPr>
            <w:r>
              <w:rPr>
                <w:rFonts w:ascii="Arial" w:cs="Arial" w:eastAsia="Arial" w:hAnsi="Arial"/>
                <w:sz w:val="18"/>
                <w:szCs w:val="18"/>
                <w:color w:val="auto"/>
              </w:rPr>
              <w:t>Principal executive office</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Coppet, Switzerland</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Leased</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service office</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Laval, Quebec, Canada</w:t>
            </w:r>
          </w:p>
        </w:tc>
        <w:tc>
          <w:tcPr>
            <w:tcW w:w="2480" w:type="dxa"/>
            <w:vAlign w:val="bottom"/>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Pr>
          <w:p>
            <w:pPr>
              <w:ind w:left="220"/>
              <w:spacing w:after="0"/>
              <w:rPr>
                <w:sz w:val="20"/>
                <w:szCs w:val="20"/>
                <w:color w:val="auto"/>
              </w:rPr>
            </w:pPr>
            <w:r>
              <w:rPr>
                <w:rFonts w:ascii="Arial" w:cs="Arial" w:eastAsia="Arial" w:hAnsi="Arial"/>
                <w:sz w:val="18"/>
                <w:szCs w:val="18"/>
                <w:color w:val="auto"/>
              </w:rPr>
              <w:t>Non-clay production and clay and non-clay packaging</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Ochlocknee, Georgia</w:t>
            </w:r>
          </w:p>
        </w:tc>
        <w:tc>
          <w:tcPr>
            <w:tcW w:w="2480" w:type="dxa"/>
            <w:vAlign w:val="bottom"/>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Pr>
          <w:p>
            <w:pPr>
              <w:ind w:left="22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Ripley, Mississippi</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Taft, California</w:t>
            </w:r>
          </w:p>
        </w:tc>
        <w:tc>
          <w:tcPr>
            <w:tcW w:w="2480" w:type="dxa"/>
            <w:vAlign w:val="bottom"/>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Pr>
          <w:p>
            <w:pPr>
              <w:ind w:left="22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2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Owned</w:t>
            </w: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Wisbech, United Kingdom</w:t>
            </w:r>
          </w:p>
        </w:tc>
        <w:tc>
          <w:tcPr>
            <w:tcW w:w="2480" w:type="dxa"/>
            <w:vAlign w:val="bottom"/>
          </w:tcPr>
          <w:p>
            <w:pPr>
              <w:ind w:left="1120"/>
              <w:spacing w:after="0"/>
              <w:rPr>
                <w:sz w:val="20"/>
                <w:szCs w:val="20"/>
                <w:color w:val="auto"/>
              </w:rPr>
            </w:pPr>
            <w:r>
              <w:rPr>
                <w:rFonts w:ascii="Arial" w:cs="Arial" w:eastAsia="Arial" w:hAnsi="Arial"/>
                <w:sz w:val="18"/>
                <w:szCs w:val="18"/>
                <w:color w:val="auto"/>
              </w:rPr>
              <w:t>Leased</w:t>
            </w:r>
          </w:p>
        </w:tc>
        <w:tc>
          <w:tcPr>
            <w:tcW w:w="5320" w:type="dxa"/>
            <w:vAlign w:val="bottom"/>
          </w:tcPr>
          <w:p>
            <w:pPr>
              <w:ind w:left="220"/>
              <w:spacing w:after="0"/>
              <w:rPr>
                <w:sz w:val="20"/>
                <w:szCs w:val="20"/>
                <w:color w:val="auto"/>
              </w:rPr>
            </w:pPr>
            <w:r>
              <w:rPr>
                <w:rFonts w:ascii="Arial" w:cs="Arial" w:eastAsia="Arial" w:hAnsi="Arial"/>
                <w:sz w:val="18"/>
                <w:szCs w:val="18"/>
                <w:color w:val="auto"/>
              </w:rPr>
              <w:t>Non-clay production and clay and non-clay packaging</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leases for the Alpharetta, Georgia facility and the Bentonville, Arkansas office expire in 2013. The lease for the Chicago, Illinois corporate office space expires in 2018. The lease for the Wisbech, United Kingdom facility expires in 2032. The lease for the Coppet, Switzerland office is on a year-to-year basis. We consider that our properties are generally in good condition, are well maintained and are suitable and adequate to carry on our business.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[RESERVED]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6 of the Notes to the Consolidated Financial Statements for a description of our Common Stock, Class B Stock and Class A Common Stock. The number of holders of record of Common Stock and Class B Stock on September 30, 2011 were 693 and 29, respectively, as reported by our transfer agent. In the last three years, we have not sold any securities which were not registered under the Securities Act of 1933.</w:t>
      </w:r>
    </w:p>
    <w:p>
      <w:pPr>
        <w:spacing w:after="0" w:line="229" w:lineRule="exact"/>
        <w:rPr>
          <w:sz w:val="20"/>
          <w:szCs w:val="20"/>
          <w:color w:val="auto"/>
        </w:rPr>
      </w:pPr>
    </w:p>
    <w:p>
      <w:pPr>
        <w:jc w:val="both"/>
        <w:ind w:firstLine="702"/>
        <w:spacing w:after="0" w:line="324"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paid on our Common Stock and Class B Stock.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8"/>
                <w:szCs w:val="18"/>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Price Range</w:t>
            </w:r>
          </w:p>
        </w:tc>
        <w:tc>
          <w:tcPr>
            <w:tcW w:w="120" w:type="dxa"/>
            <w:vAlign w:val="bottom"/>
          </w:tcPr>
          <w:p>
            <w:pPr>
              <w:spacing w:after="0"/>
              <w:rPr>
                <w:sz w:val="20"/>
                <w:szCs w:val="20"/>
                <w:color w:val="auto"/>
              </w:rPr>
            </w:pPr>
          </w:p>
        </w:tc>
        <w:tc>
          <w:tcPr>
            <w:tcW w:w="21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7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Class B</w:t>
            </w:r>
          </w:p>
        </w:tc>
      </w:t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Common</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0.1200</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0.1200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0.1200</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0.1275</w:t>
            </w:r>
          </w:p>
        </w:tc>
      </w:tr>
      <w:tr>
        <w:trPr>
          <w:trHeight w:val="297"/>
        </w:trPr>
        <w:tc>
          <w:tcPr>
            <w:tcW w:w="70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0.6500</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0.4875</w:t>
            </w:r>
          </w:p>
        </w:tc>
      </w:tr>
      <w:tr>
        <w:trPr>
          <w:trHeight w:val="176"/>
        </w:trPr>
        <w:tc>
          <w:tcPr>
            <w:tcW w:w="7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Fiscal 2010</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0.1125</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0.1125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0.1125</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0.1200</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0.6100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0.4575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909"/>
        <w:spacing w:after="0" w:line="302"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The declaration and payment of future dividends, if any, will depend, among other things, upon our future earnings, capital requirements, financial condition, legal requirements, contractual restrictions and other factors that our Board of Directors deems relevant. Our 1998 Note Agreement with Prudential Financial, our Credit Agreement with Harris N.A.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203" w:lineRule="exact"/>
        <w:rPr>
          <w:sz w:val="20"/>
          <w:szCs w:val="20"/>
          <w:color w:val="auto"/>
        </w:rPr>
      </w:pPr>
    </w:p>
    <w:p>
      <w:pPr>
        <w:jc w:val="both"/>
        <w:ind w:firstLine="977"/>
        <w:spacing w:after="0" w:line="347" w:lineRule="auto"/>
        <w:rPr>
          <w:sz w:val="20"/>
          <w:szCs w:val="20"/>
          <w:color w:val="auto"/>
        </w:rPr>
      </w:pPr>
      <w:r>
        <w:rPr>
          <w:rFonts w:ascii="Arial" w:cs="Arial" w:eastAsia="Arial" w:hAnsi="Arial"/>
          <w:sz w:val="16"/>
          <w:szCs w:val="16"/>
          <w:b w:val="1"/>
          <w:bCs w:val="1"/>
          <w:color w:val="auto"/>
        </w:rPr>
        <w:t xml:space="preserve">Issuer Repurchase of Equity Securities. </w:t>
      </w:r>
      <w:r>
        <w:rPr>
          <w:rFonts w:ascii="Arial" w:cs="Arial" w:eastAsia="Arial" w:hAnsi="Arial"/>
          <w:sz w:val="16"/>
          <w:szCs w:val="16"/>
          <w:color w:val="auto"/>
        </w:rPr>
        <w:t>On October 10, 2005, our Board of Directors authorized the repurchase of up to 500,000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with repurchases to be made from time to time at the discretion of our management and in accordance with applicable laws, rules and regulations. All shares under this authorization have been repurchased. On March 11, 2010 and also on March 11, 2011, our Board of Directors authorized the repurchase of an additional 250,000 shares of Common Stock. These authorizations do not have a stated expiration date. We did not repurchase any shares of our Common Stock in the three months ended July 31, 2011. As of July 31, 2011, a total of 366,877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2011 on an assumed investment of $100 on July 31, 2006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2600" w:right="2960" w:hanging="1944"/>
        <w:spacing w:after="0" w:line="261" w:lineRule="auto"/>
        <w:rPr>
          <w:sz w:val="20"/>
          <w:szCs w:val="20"/>
          <w:color w:val="auto"/>
        </w:rPr>
      </w:pPr>
      <w:r>
        <w:rPr>
          <w:rFonts w:ascii="Arial" w:cs="Arial" w:eastAsia="Arial" w:hAnsi="Arial"/>
          <w:sz w:val="18"/>
          <w:szCs w:val="18"/>
          <w:b w:val="1"/>
          <w:bCs w:val="1"/>
          <w:color w:val="auto"/>
        </w:rPr>
        <w:t>Oil-Dri Corporation of America, Russell Microcap Index , Russell 2000-Materials &amp; Processing Index (Performance results through 7/31/2011)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848985" cy="3027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60" w:type="dxa"/>
            <w:vAlign w:val="bottom"/>
            <w:tcBorders>
              <w:top w:val="single" w:sz="8" w:color="auto"/>
              <w:left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2006</w:t>
            </w: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2009</w:t>
            </w: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306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69"/>
        </w:trPr>
        <w:tc>
          <w:tcPr>
            <w:tcW w:w="30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ODC</w:t>
            </w:r>
          </w:p>
        </w:tc>
        <w:tc>
          <w:tcPr>
            <w:tcW w:w="700" w:type="dxa"/>
            <w:vAlign w:val="bottom"/>
            <w:tcBorders>
              <w:bottom w:val="single" w:sz="8" w:color="CCEEFF"/>
              <w:right w:val="single" w:sz="8" w:color="auto"/>
            </w:tcBorders>
            <w:shd w:val="clear" w:color="auto" w:fill="CCEEFF"/>
          </w:tcPr>
          <w:p>
            <w:pPr>
              <w:jc w:val="center"/>
              <w:ind w:right="44"/>
              <w:spacing w:after="0"/>
              <w:rPr>
                <w:sz w:val="20"/>
                <w:szCs w:val="20"/>
                <w:color w:val="auto"/>
              </w:rPr>
            </w:pPr>
            <w:r>
              <w:rPr>
                <w:rFonts w:ascii="Arial" w:cs="Arial" w:eastAsia="Arial" w:hAnsi="Arial"/>
                <w:sz w:val="18"/>
                <w:szCs w:val="18"/>
                <w:color w:val="auto"/>
                <w:w w:val="79"/>
              </w:rPr>
              <w:t>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151.31</w:t>
            </w:r>
          </w:p>
        </w:tc>
      </w:tr>
      <w:tr>
        <w:trPr>
          <w:trHeight w:val="254"/>
        </w:trPr>
        <w:tc>
          <w:tcPr>
            <w:tcW w:w="30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Russell Microcap</w:t>
            </w:r>
          </w:p>
        </w:tc>
        <w:tc>
          <w:tcPr>
            <w:tcW w:w="70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20"/>
                <w:szCs w:val="20"/>
                <w:color w:val="auto"/>
                <w:w w:val="89"/>
              </w:rPr>
              <w:t>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103.58</w:t>
            </w:r>
          </w:p>
        </w:tc>
      </w:tr>
      <w:tr>
        <w:trPr>
          <w:trHeight w:val="23"/>
        </w:trPr>
        <w:tc>
          <w:tcPr>
            <w:tcW w:w="306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57"/>
        </w:trPr>
        <w:tc>
          <w:tcPr>
            <w:tcW w:w="30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Russell 2000-Materials &amp; Processing</w:t>
            </w:r>
          </w:p>
        </w:tc>
        <w:tc>
          <w:tcPr>
            <w:tcW w:w="700" w:type="dxa"/>
            <w:vAlign w:val="bottom"/>
            <w:tcBorders>
              <w:bottom w:val="single" w:sz="8" w:color="CCEEFF"/>
              <w:right w:val="single" w:sz="8" w:color="auto"/>
            </w:tcBorders>
            <w:shd w:val="clear" w:color="auto" w:fill="CCEEFF"/>
          </w:tcPr>
          <w:p>
            <w:pPr>
              <w:jc w:val="center"/>
              <w:ind w:right="44"/>
              <w:spacing w:after="0"/>
              <w:rPr>
                <w:sz w:val="20"/>
                <w:szCs w:val="20"/>
                <w:color w:val="auto"/>
              </w:rPr>
            </w:pPr>
            <w:r>
              <w:rPr>
                <w:rFonts w:ascii="Arial" w:cs="Arial" w:eastAsia="Arial" w:hAnsi="Arial"/>
                <w:sz w:val="20"/>
                <w:szCs w:val="20"/>
                <w:color w:val="auto"/>
                <w:w w:val="96"/>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w:t>
            </w:r>
          </w:p>
        </w:tc>
      </w:tr>
      <w:tr>
        <w:trPr>
          <w:trHeight w:val="20"/>
        </w:trPr>
        <w:tc>
          <w:tcPr>
            <w:tcW w:w="30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IN THOUSANDS EXCEPT FOR PER SHARE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MOUNTS</w:t>
      </w:r>
      <w:r>
        <w:rPr>
          <w:rFonts w:ascii="Arial" w:cs="Arial" w:eastAsia="Arial" w:hAnsi="Arial"/>
          <w:sz w:val="18"/>
          <w:szCs w:val="18"/>
          <w:b w:val="1"/>
          <w:bCs w:val="1"/>
          <w:color w:val="auto"/>
        </w:rPr>
        <w:t>)</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Fiscal 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226,755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219,050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236,245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232,359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212,117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(1)</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(176,715)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(186,861)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(166,417)</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50,040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49,688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46,070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45,700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(36,331)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(35,163)</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13,709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13,549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14,583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12,730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Foreign Exchange (Losses) Gains</w:t>
            </w: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 (2)</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7"/>
        </w:trPr>
        <w:tc>
          <w:tcPr>
            <w:tcW w:w="4560" w:type="dxa"/>
            <w:vAlign w:val="bottom"/>
          </w:tcPr>
          <w:p>
            <w:pPr>
              <w:ind w:left="66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9,051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9,458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Common (3)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Basic Class B Common (3)</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173,393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148,988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142,087</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29,700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18,300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65,336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50,895</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Working Capital Ratio</w:t>
            </w:r>
          </w:p>
        </w:tc>
        <w:tc>
          <w:tcPr>
            <w:tcW w:w="4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4,305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 per Common Share</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0.6500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0.4900</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Dividends Declared per Class B Common Share</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0.4875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0.4575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0.4275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0.3975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0.3675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8,473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7,406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as a Percent of Net Sales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Return on Average Stockholders' Equity</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Operating Expenses as a Percent of Net Sales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702"/>
        </w:trPr>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5" w:right="4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fiscal year 2008, cost of sales was reduced by pre-tax net proceeds of $831,000 from the sale of emission reduction credits to unaffiliated third parties.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fiscal year 2007, Other Income (Expense) included pre-tax proceeds of $389,000 from life insurance on former employees.</w:t>
      </w:r>
    </w:p>
    <w:p>
      <w:pPr>
        <w:spacing w:after="0" w:line="225" w:lineRule="exact"/>
        <w:rPr>
          <w:rFonts w:ascii="Arial" w:cs="Arial" w:eastAsia="Arial" w:hAnsi="Arial"/>
          <w:sz w:val="18"/>
          <w:szCs w:val="18"/>
          <w:color w:val="auto"/>
        </w:rPr>
      </w:pPr>
    </w:p>
    <w:p>
      <w:pPr>
        <w:jc w:val="both"/>
        <w:ind w:firstLine="8"/>
        <w:spacing w:after="0" w:line="25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fiscal year 2010, we adopted guidance under Accounting Standards Codification Topic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diluted average shares outstanding and net income per share for all prior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in Item 1A “Risk Factors” in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cat litter, industrial and automotive floor absorbents, fluids purification and filtration bleaching clays, agricultural and horticultural chemical carriers, animal health and nutrition products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 Beginning in fiscal 2011, our sports field products were moved to the Retail and Wholesale Products Group to reflect a change in management organization intended to better serve our customers. Prior year segment information has been restated to reflect this change.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net income was $9,051,000, or $1.26 per diluted share, for the year ended July 31, 2011, a 4% decrease from net income of $9,458,000, or $1.30 per diluted share, for the year ended July 31, 2010.</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fiscal 2011, our commitment to provide valuable products to our customers was rewarded with higher sales. Our efforts to add value to our products focused on new product development and promotion and on existing product improvements. In the Retail and Wholesale Products Group, sales of our established branded cat litters increased during fiscal 2011. In addition, we developed and introduced our new Cat's Pride Fresh &amp; Light product in the fourth quarter. In the Business to Business Products Group, sales of our fluid purification and traditional agricultural products increased during the year. Verge, our engineered granule product that we introduced late in fiscal 2010, provided incremental sales in the professional pesticides and agricultural markets. Further opportunities opened for our animal health and nutrition products as registration was approved in new markets. Both Groups were challenged by higher costs related to commodities, depreciation and labor which, combined with increased spending for product market research and promotion development, resulted in lower operating margins and overall results. We issued new debt, continued to invest in our capital assets and maintained a strong consolidated balance sheet during fiscal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 C</w:t>
      </w:r>
      <w:r>
        <w:rPr>
          <w:rFonts w:ascii="Arial" w:cs="Arial" w:eastAsia="Arial" w:hAnsi="Arial"/>
          <w:sz w:val="14"/>
          <w:szCs w:val="14"/>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net sales for the year ended July 31, 2011 were $226,755,000, a 4% increase from net sales of $219,050,000 in fiscal 2010. Net sales increased for our Business to Business Products Group and our Retail and Wholesale Products Group as discussed below. Net income for fiscal 2011 was $9,051,000, a 4% decrease from net income of $9,458,000 in fiscal 2010. Net income was negatively impacted by a 3% decrease in tons sold for both of our operating segments, higher costs for freight, packaging and materials and increased spending for product market research and promotion development. These negative factors outweighed the favorable affects of increased net selling prices, an increased proportion of sales from products with a higher net selling price and a lower cost for fuel used in our manufacturing processes. Segment operating income declined for both the Retail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Wholesale and the Business to Business Products Groups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Business to Business Products Group for fiscal 2011 were $74,479,000, an increase of $2,488,000, or 3%, from net sales of $71,991,000 in fiscal 2010. A higher average net selling price in fiscal 2011 more than offset a 3% decrease in tons sold for the Group compared to fiscal 2010. Net sales of agricultural and horticultural products, fluid purification products and animal health products all increased, while net sales of co-packaged cat litter decreased. Net sales of agricultural and horticultural products increased 19% with approximately 5% more tons sold. Our traditional agricultural chemical carrier products tons sold increased in fiscal 2011 after the downturn in the agricultural chemical carriers market during fiscal 2010. Our new engineered granule product, that was introduced late in fiscal 2010, also provided incremental sales in the professional pesticides and agricultural markets for fiscal 2011. Net sales of fluid purification products increased 5% from fiscal 2010 with a 5% increase in tons sold. Sales in some export and domestic markets improved for fluid purification products used in edible oil and recycled oil processing; however, sales of our products used for biodiesel processing declined. Net sales of animal health and nutrition products rose 1% in fiscal 2011 as a higher average net selling price outweighed a 2% decrease in tons sold. Product registration in new countries, including China, opened additional markets during fiscal 2011; however, sales in certain existing foreign markets were temporarily disrupted during the year due to implementation of new distribution processes. In addition, our co-packaged traditional coarse cat litter net sales decreased 7% as the coarse cat litter market continued to decline as a whole.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to Business Products Group’s operating income was $19,504,000 in fiscal 2011, a decrease of $421,000, or 2%, from operating income of $19,925,000 in fiscal 2010. This decrease was driven by an increase of approximately 8% for combined freight, packaging and material costs. Freight costs increased approximately 20% due primarily to higher diesel fuel prices. Packaging costs increased 10% due to fluctuations in the price of paper and resin. Material costs increased approximately 4% as higher non-fuel manufacturing costs more than offset the lower cost of fuel used in our manufacturing processes. See further discussion of manufacturing costs under Consolidated Results below. The Group’s selling and administrative expenses in fiscal 2011 were even with fiscal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Retail and Wholesale Products Group for fiscal 2011 were $152,276,000, an increase of $5,217,000, or 4%, from net sales of $147,059,000 in fiscal 2010. The Group's net sales benefited from higher average net selling prices and a greater proportion of sales from higher priced products, which more than offset a 3% decrease in tons sold. Sales increased for both cat litter and industrial absorbent products. These increases outweighed a decrease in sales by our foreign subsidiaries, which is described under Foreign Operations below. Cat litter net sales increased approximately 5% due to a higher average net selling price and a greater proportion of sales from higher priced products. Net sales of branded cat litter increased approximately 17% due to more tons sold and lower trade spending. Sales to Walmart increased during fiscal 2011 as our branded scoopable litter was reinstated following the reduction in the number of cat litter brands carried, including ours, in the first quarter of fiscal 2010. We also introduced our new Cat's Pride Fresh &amp; Light product in the fourth quarter of fiscal 2011. Net sales of private label cat litter decreased approximately 4% compared to fiscal 2010 as the coarse cat litter market continued to decline as a whole. Sales of cat litter box liners increased 10% due primarily to increased distribution to existing customers. Net sales of industrial absorbents increased approximately 3% compared to fiscal 2010. The increase in sales was due primarily to selling price increases that outweighed a decline in tons sold.</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Retail and Wholesale Products Group’s segment operating income for fiscal 2011 was $10,439,000, a decrease of $1,230,000, or 11%, from operating income of $11,669,000 in fiscal 2010. This decrease was driven by higher costs, which more than offset the increased net sales described above. The Group’s combined freight, packaging and material costs increased approximately 9% compared to fiscal 2010. Freight costs increased approximately 10% due primarily to higher diesel fuel prices. Packaging costs increased 9% due to fluctuations in the price of paper and resin. Material costs increased approximately 7% as higher non-fuel manufacturing costs more than offset the lower cost of fuel used in manufacturing. See further discussion of manufacturing costs under Consolidated Results below. The Group’s selling, general and administrative expenses increased 16% compared to fiscal 2010 due primarily to significant spending for new product market research and promotion development.</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fiscal 2011, we made substantial outlays for capital investment and for market research and promotion development related to our new Cat's Pride Fresh &amp; Light product launched in the fourth quarter of fiscal 2011. We will continue to invest heavily in promotion activities throughout fiscal 2012. We anticipate such spending thereafter will be higher than historic levels, but lower than in fiscal 2012. We do not anticipate the new product to positively impact earnings until fiscal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gross profit as a percentage of net sales in fiscal 2011 decreased to 22% from 23% in fiscal 2010. Gross profit was negatively impacted by increased costs for freight, packaging and materials. The increase in packaging and freight costs are described in the operating segment discussions above. Material costs were negatively impacted by a 6% increase in non-fuel manufacturing cost per ton produced, which included depreciation and amortization. This cost increase was driven primarily by increased manufacturing of products that required purchased additives, fragrances and other materials. Labor and employee benefit costs also increased compared to the prior year. These cost increases exceeded the benefit from a 13% lower cost of fuel used in our manufacturing processes. We use natural gas, recycled oil and coal in the manufacturing process to operate kilns that dry our clay.</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expenses as a percentage of net sales were 16% in fiscal 2011, compared to 17% in fiscal 2010. The discussions of the Groups’ operating income above describes the increased selling and administrative expenses that were allocated to the operating segments. The remaining unallocated corporate expenses in fiscal 2011 included a lower estimated annual incentive plan bonus accrual. The incentive bonus expense was based on performance targets that are established for each fiscal year. The lower bonus expense was partially offset by higher depreciation expense for computer software and equipment, additional compensation expense related to restricted stock awards and increased spending for research and development.</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expense in fiscal 2011 increased $708,000 from fiscal 2010. Interest expense increased due primarily to the discontinued capitalization of interest for a capital project and additional interest on new debt issued in the second quarter of fiscal 2011. See Liquidity and Capital Resources below for more information on the new debt. Interest income in fiscal 2011 decreased $65,000 from fiscal 2010 due to less interest earned on a lease receivable, which exceeded the additional interest received on higher average investment balances at a slightly higher average interest rate.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other income in fiscal 2011 decreased $251,000 from fiscal 2010 due to a reduction in lease income related to a lease arrangement with a co-packaging partner and regulatory expense accruals.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effective tax rate was 25.5% of pre-tax income in fiscal 2011 compared to 26.2% in fiscal 2010. The effective tax rate was lower in fiscal 2011 due to the net impact of foreign tax attributes. See Note 5 of the Notes to the Consolidated Financial Statements.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Total assets increased $19,411,000, or 13%, during fiscal 2011. Current assets increased $15,627,000, or 21%, from fiscal 2010 year-end balances due primarily to increased investment in short-term securities, inventories, prepaid expenses and accounts receivable. These increases were partially offset by lower deferred income taxes, cash and cash equivalents and prepaid repairs expense. The changes in current assets are described in the Liquidity and Capital Resources section below. Property, plant and equipment, net of accumulated depreciation, increased $5,526,000 due to additions to fixed assets in excess of the increase in accumulated depreciation. Fixed asset additions included new product-related projects at our manufacturing facilities, replacement of machinery and land purchases. Other noncurrent assets decreased $1,742,000 due to amortization of intangible assets and lower deferred taxes, which were partially offset by capitalization of costs related to the issuance of new debt and increased cash surrender value of life insurance on key employees.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liabilities increased $14,702,000, or 23%, during fiscal 2011. Current liabilities decreased $1,311,000, or 5%, during fiscal 2011. The changes in current liabilities are described in the Liquidity and Capital Resources section below. Noncurrent liabilities increased $16,013,000, or 45%, due primarily to new debt, increased accruals for pension and postretirement health benefits and higher deferred compensation balances. See Note 8 of the Notes to the Consolidated Financial Statements for more information on pension and postretirement health benefit plans. Deferred compensation accruals increased due to new deferrals and earnings on deferred balances in excess of payouts.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 C</w:t>
      </w:r>
      <w:r>
        <w:rPr>
          <w:rFonts w:ascii="Arial" w:cs="Arial" w:eastAsia="Arial" w:hAnsi="Arial"/>
          <w:sz w:val="14"/>
          <w:szCs w:val="14"/>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2009</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net sales for the year ended July 31, 2011 were $219,050,000, a 7% decrease from net sales of $236,245,000 in fiscal 2009. The decline in net sales was driven by our Retail and Wholesale Products Group as discussed below. Net income for fiscal 2010 was $9,458,000, a 1% decrease from net income of $9,586,000 in fiscal 2009. Fiscal 2010 net income was negatively affected by 7% fewer tons sold; however, increased sales of higher margin products and lower costs for natural gas used to dry our clay positively impacted this year’s results. The Retail and Wholesale Products Group’s segment operating income declined as a reduction in tons sold prevailed over the benefit of lower costs. The Business to Business Products Group’s segment operating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improved as increased sales of higher margin products outweighed the impact of fewer tons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Net sales of the Business to Business Products Group for fiscal 2010 were $71,991,000, an increase of $1,285,000, or 2%, from net sales of $70,706,000 in fiscal 2009. Increased sales of higher margin products in fiscal 2010 more than offset a 4% decrease in tons sold for the Group compared to fiscal 2009. Net sales of fluid purification and animal health and nutrition products increased, while net sales of co-packaged cat litter and agricultural chemical carrier products decreased. Net sales of fluid purification products increased 21% from fiscal 2009, with a 17% increase in tons sold. Sales to new customers and a greater proportion of sales from higher margin products contributed to the higher fluid purification products net sales. Sales in some export markets improved in part due to a weaker U.S. dollar relative to certain foreign currencies, which made our products more competitive in the global marketplace. A decline in the quality of oil from this year’s soybean crop also resulted in increased demand for our fluid purification products. In addition, sales of our fluid purification products used in the biodiesel industry and in palm oil processing increased compared to fiscal 2009. Net sales of animal health and nutrition products rose 6% in fiscal 2010. Higher sales of our enterosorbent animal health products, which were introduced during fiscal 2009, overcame a decline in sales of our traditional animal health and nutrition products. Increased net sales of these products were partially offset by a 19% decline in net sales of our agricultural chemical carriers in fiscal 2010 compared to fiscal 2009. The agricultural chemical carriers market continued to experience economic challenges, which resulted in 18% fewer tons sold. Economic conditions and price competition impacted net sales of our flowability aid product used in animal feed, which declined 24% in fiscal 2010. In addition, our co-packaged traditional coarse cat litter net sales decreased 10%, with 4% fewer tons sold. Net sales were adversely affected by a lower net selling price during most of fiscal 2010; however, the net selling price increased in April 2010 under our agreement with Clorox. Both the loss of a small co-packaging customer during the latter part of fiscal 2009 and a decline in the coarse cat litter market also contributed to the decreased net sales and tons sold.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Business to Business Products Group’s operating income was $19,925,000 in fiscal 2010, an increase of $4,691,000, or 31%, from operating income of $15,234,000 in fiscal 2009. This increase was driven primarily by a greater proportion of sales from higher margin products. The Group’s combined packaging, freight and material costs in fiscal 2010 were comparable with fiscal 2009, as lower packaging and freight costs were offset by higher material costs. Packaging costs declined approximately 5% due primarily to price fluctuations for resin and paper commodities used in packaging materials. Freight costs decreased approximately 2% due primarily to changes in the price of diesel fuel and the cost of ocean freight. Material costs increased 1% as the negative cost impact of fewer tons produced at some of our manufacturing facilities prevailed over the benefit of lower energy-related costs in our mining and manufacturing processes. The Group’s selling and administrative expenses were 7% higher in fiscal 2010 compared to fiscal 2009, including higher sales bonuses and commissions based on the improved operating results. Fiscal 2010 selling and administrative expenses also included additional costs for personnel, market research, product promotion and technical services related to our new agricultural engineered granule product, which more than offset the decrease in similar costs related to our animal health enterosorbent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Net sales of the Retail and Wholesale Products Group for fiscal 2010 were $147,059,000, a decrease of $18,480,000, or 11%, from net sales of $165,539,000 in fiscal 2009. The decline in net sales was driven by lower tons sold, a lower average net selling price and a lower proportion of sales from higher margin products. The Group’s total tons sold decreased 9% compared fiscal 2009. Cat litter net sales were down approximately 17% compared to fiscal 2009 due primarily to 11% lower tons sold. The average net selling price for cat litter declined in part due to increased trade spending for product promotions, which were deducted from net sales, and a lower proportion of sales from higher margin products. Net sales of branded cat litter decreased 28% due primarily to 18% fewer tons sold. Walmart began to carry a reduced number of cat litter brands in August 2009. During the third quarter of fiscal 2010, Walmart reinstated our branded scoopable litter in a limited number of stores; however, the new store count remained materially reduced from the store count at the end of fiscal 2009. Incremental net sales at customers other than Walmart and increased marketing to promote brand awareness partially offset the overall sales decline. Net sales of private label cat litter decreased 6% compared to fiscal 2009 due to 8% fewer tons sold. The reduction in tons sold was due primarily to a continued overall decline in the coarse cat litter category. In contrast, sales of cat litter box liners increased 17% due primarily to increased distribution to an existing customer. Net sales of industrial absorbents decreased 3% compared to fiscal 2009. Tons sold decreased 6% due primarily to continued weak economic conditions in the manufacturing and automotive industries. See Foreign Operations below for further information regarding our foreign subsidiaries’ results.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Retail and Wholesale Products Group’s segment operating income for fiscal 2010 was $11,669,000, a decrease of $5,052,000, or 30%, from operating income of $16,721,000 in fiscal 2009. The decrease is attributed to the lower net sales described above that prevailed over a decrease of approximately 3% for the Group’s combined freight, materials and packaging costs. Packaging costs decreased approximately 10% due to price fluctuations for resin and paper commodities. Freight costs decreased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approximately 3% due primarily to changes in the price of diesel fuel. The decline in packaging and freight costs was partially offset by a 1% increase in material costs. Material costs increased as the negative cost impact of lower tons produced at some of our manufacturing facilities prevailed over the benefit of lower energy-related costs in our mining and manufacturing processes. The Group’s selling, general and administrative expenses increased 2% compared to fiscal 2009 due primarily to increased advertising costs and broker commissions, which were partially offset by lower bad debt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Consolidated gross profit as a percentage of net sales in fiscal 2010 increased to 23% from 21% in fiscal 2009. Gross profit was positively impacted by increased sales of higher margin products and lower costs for packaging, freight and fuel used in our manufacturing processes. The cost of fuel was 36% lower in fiscal 2010 compared to fiscal 2009. We use natural gas, recycled oil and coal in the manufacturing process to operate kilns that dry our clay. Gross profit for fiscal 2010, however, was negatively impacted by an 11% increase in non-fuel manufacturing costs per ton produced, which included depreciation and amortization. This cost increase per ton was driven primarily by 8% fewer tons produced and increased expenditures for employee benefits and repairs. Many of the other non-fuel manufacturing costs, such as salaries and certain labor costs, and depreciation, were relatively consistent with fiscal 2009 levels, despite the reduced number of tons produced, due to their generally fixed nature.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Selling, general and administrative expenses as a percentage of net sales were 17% in fiscal 2010 compared to 15% in fiscal 2009. The discussion of the Groups’ operating income above describes the increased selling and administrative expenses that were allocated to the operating segments. The remaining unallocated corporate expenses in fiscal 2010 included a higher estimated annual incentive plan bonus accrual and higher employee postretirement benefit costs. The higher incentive bonus expense was based on performance targets that are established for each fiscal year. The postretirement benefit costs are based on actuarial calculations as described in Note 8 of the Notes to the Consolidated Financial Statements. These higher costs were partially offset by lower costs for outside legal services, reduced spending for research and development and lower stock option compensation expense. Research and development costs were lower compared to fiscal 2009 as fewer new products were in the development stage. Stock option compensation was lower as more stock options became fully vested and no new options were issued.</w:t>
      </w:r>
    </w:p>
    <w:p>
      <w:pPr>
        <w:spacing w:after="0" w:line="1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in fiscal 2010 decreased $565,000 from fiscal 2009 due to a reduction in debt outstanding and the capitalized interest expense for a new product-related capital project. Interest income in fiscal 2010 decreased $239,000 from fiscal 2009 due to lower average interest rates.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in fiscal 2010 increased $102,000 from fiscal 2009 due to higher royalty income, miscellaneous investment income and insurance proceeds.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effective tax rate was 26.2% of pre-tax income in fiscal 2010 compared to 28% in fiscal 2009. The effective tax rate was lower in fiscal 2010 due to utilization of prior period Alternative Minimum Tax credits.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assets increased $4,721,000, or 3%, during fiscal 2010. Current assets increased $2,472,000, or 3%, from fiscal 2009 year-end balances due primarily to higher cash and cash equivalents and deferred income taxes. These increases were partially offset by lower investment in short-term securities, accounts receivable, inventories and prepaid expenses. The changes in current assets are described in the Liquidity and Capital Resources section below. Property, plant and equipment, net of accumulated depreciation, increased $3,017,000 due primarily to purchases of land and machinery and equipment and increased construction in progress. These increases were partially offset by additional accumulated depreciation. Other noncurrent assets decreased $768,000 due to a reduction in a lease receivable and amortization of intangible assets, which were partially offset by an increase in the cash surrender value of life insurance policies on key employees.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Total liabilities increased $3,695,000, or 6%, during fiscal 2010. Current liabilities increased $4,023,000, or 17%, during fiscal 2010. The changes in current liabilities are described in the Liquidity and Capital Resources section below. Noncurrent liabilities decreased $328,000, or 1%, due primarily to schedule payments that reduced long term debt. This decrease was partially offset by higher accruals for pension and postretirement health benefits, deferred compensation and reclamation costs for mining properties. See Note 8 of the Notes to the Consolidated Financial Statements for more information on pension and postretirement health benefit plans. Deferred compensation accruals increased due to new deferrals and earnings on deferred balances in excess of payouts. The higher reclamation liability is the result of ongoing mining activities and acquisition of mining property during fiscal 2010.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sales by our foreign subsidiaries during fiscal 2011 were $12,516,000, a decrease of $1,212,000, or 9%, from net sales of $13,728,000 during fiscal 2010. Net sales by our foreign subsidiaries represented 6% of our consolidated net sales during fiscal year 2011. Net sales declined 15% for our United Kingdom subsidiary and 7% for our Canadian subsidiary. Bleaching earth and industrial absorbents sales by our United Kingdom subsidiary declined in a strong competitive and price sensitive marketplace. Industrial product sales for our Canadian subsidiary were relatively flat and cat litter sales were lower due to the loss of a customer and lower sales to existing customers. The impact of these sales declines was lessened by the relative strength of the Canadian Dollar and British Pound compared to the U.S. Dollar. The Canadian Dollar was about 5% stronger on average and the British Pound was about 2% stronger on average against the U.S. Dollar during fiscal 2011 compared to fiscal 2010, which resulted in higher sales values after translation to U.S. Dollars.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fiscal 2011, our foreign subsidiaries reported a net loss of $567,000, compared to a net loss of $519,000 in fiscal 2010. The decrease in the net income was due primarily to lower sales and increased costs for freight and purchased materials, which were partially offset by the foreign currency exchange gain described above.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Identifiable assets of our foreign subsidiaries as of July 31, 2011 were $9,697,000 compared to $9,424,000 as of July 31, 2010. The increase is primarily due to higher accounts receivable and cash and cash equivalents, which were partially offset by lower inventories and prepaid taxes.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by our foreign subsidiaries during fiscal 2010 were $13,728,000, an increase of $281,000, or 2%, from net sales of $13,447,000 during fiscal 2009. Net sales by our foreign subsidiaries represented 6% of our consolidated net sales during fiscal year 2010. Tons sold increased 5% in our Canadian subsidiary, but decreased 21% in our United Kingdom subsidiary. Net sales of our Canadian subsidiary increased due to higher sales of industrial products and a favorable exchange rate for the Canadian Dollar. The Canadian Dollar was about 11% stronger on average against the U.S. Dollar during fiscal 2010 compared to fiscal 2009, which resulted in higher sales values after translation to U.S. Dollars. Partially offsetting the higher Canadian net sales was a decline in net sales of industrial absorbents by our United Kingdom subsidiary due primarily to the loss of a key distributor.</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fiscal 2010, our foreign subsidiaries reported a net loss of $519,000, compared to a net loss of $559,000 in fiscal 2009. The decrease in the net loss was due in part to the higher sales for our Canadian subsidiary, which more than offset the sales decline of our United Kingdom subsidiary. In addition, the currency translation loss reported by our foreign operations in fiscal 2010 was significantly less than the loss reported in fiscal 2009. The British Pound declined significantly in value compared to the U.S. Dollar during fiscal 2009, which resulted in a substantial currency translation loss. During fiscal 2010, the British Pound did not fluctuate considerably in value compared to the U.S. Dollar. Negatively impacting the foreign subsidiaries’ operating results were higher packaging and freight costs in our Canadian subsidiary. Packaging costs increased due to fluctuations in the cost of polystyrene and freight costs included a multi-year withholding tax charge on our leased railcars.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Identifiable assets of our foreign subsidiaries as of July 31, 2010 were $9,424,000 compared to $9,692,000 as of July 31, 2009. The decrease is primarily due to lower fixed assets that resulted from the sale of a building in our United Kingdom subsidiary and lower accounts receivable and inventories. These decreases were partially offset by higher cash and cash equivalents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principal capital requirements include funding working capital needs, purchasing and upgrading real estate, equipment and facilities, and investing in infrastructure and potential acquisitions. We have principally used cash generated from operations and, to the extent needed, issuance of debt securities and borrowings under our credit facilities to fund these requirements. Cash and cash equivalents totaled $17,885,000, $18,762,000 and $11,389,000 at July 31, 2011, 2010 and 2009, respectively. As of July 31, 2011, there were no outstanding borrowings under our revolving credit facility with Harris N.A.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rPr>
              <w:t>Fiscal Year Ended</w:t>
            </w:r>
          </w:p>
        </w:tc>
        <w:tc>
          <w:tcPr>
            <w:tcW w:w="8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July 31,</w:t>
            </w:r>
          </w:p>
        </w:tc>
      </w:tr>
      <w:tr>
        <w:trPr>
          <w:trHeight w:val="234"/>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r>
      <w:tr>
        <w:trPr>
          <w:trHeight w:val="27"/>
        </w:trPr>
        <w:tc>
          <w:tcPr>
            <w:tcW w:w="7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15,814</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7"/>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448</w:t>
            </w:r>
          </w:p>
        </w:tc>
      </w:tr>
      <w:tr>
        <w:trPr>
          <w:trHeight w:val="27"/>
        </w:trPr>
        <w:tc>
          <w:tcPr>
            <w:tcW w:w="7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4,991</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$13,108,000 for fiscal 2011 compared to $26,216,000 for fiscal 2010. The change was due primarily to working capital fluctuations and changes in other accounts. The changes in the primary components of working capital and other accounts that impacted operating cash flows for these years are as follows: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Deferred income taxes were $3,515,000 lower at fiscal year-end 2011 compared to fiscal year-end 2010 due primarily to lower accrued expenses and higher depreciation and amortization expense. Deferred income taxes were $1,763,000 higher at fiscal year-end 2010 compared to fiscal year-end 2009 due primarily to higher accrued expenses and increased postretirement benefits liabilities. Depreciation and amortization expense has increased in both years due to replacement of machinery and new capital projects at our manufacturing facilities. The change in accrued expenses for both years is discussed below. See Note 8 of the Notes to the Consolidated Financial Statements for more information regarding our employee benefit plans.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receivable, less allowance for doubtful accounts, increased $2,039,000 at fiscal year-end 2011 compared to fiscal year-end 2010. The increase was due primarily to higher fiscal 2011 fourth quarter sales compared to fiscal 2010 fourth quarter sales. Accounts receivable, less allowance for doubtful accounts, decreased $1,822,000 at fiscal year-end 2010 compared to fiscal year-end 2009. The decrease was due primarily to lower fiscal 2010 fourth quarter sales compared to fiscal 2009 fourth quarter sales.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were $3,207,000 higher at fiscal year-end 2011 compared to fiscal year-end 2010. Finished goods and packaging inventories were up due primarily to higher costs. Purchased materials inventories were also up due to cost increases and the mix of products produced. Inventories were $1,772,000 lower at fiscal year-end 2010 compared to fiscal year-end 2009. Finished goods and packaging inventories were down due to lower sales requirements. Lower packaging costs also contributed to lower packaging inventories.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Prepaid expenses increased $2,954,000 at fiscal year-end 2011 compared to fiscal year-end 2010 due primarily to an increase in prepaid income taxes and higher prepaid advertising costs at July 31, 2011. Prepaid expenses decreased $505,000 at fiscal year-end 2010 compared to fiscal year-end 2009 primarily due to lower prepaid repair expense, which was impacted by the timing of repairs and the ongoing efforts to improve spare parts inventory management.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assets increased $110,000 at fiscal year-end 2011 compared to fiscal year-end 2011 due primarily to capitalization of costs related to the issuance of new debt and increased cash surrender value of life insurance on key employees. These increases were partially offset by amortization of intangible assets. Other assets decreased $466,000 at fiscal year-end 2010 compared to fiscal year-end 2009. The decrease included the reclassification of the current portion of a lease receivable and amortization of intangible assets, which were partially offset by an increase in the cash surrender value of life insurance on key employees.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payable increased $275,000 at fiscal year-end 2011 compared to fiscal year-end 2010 due primarily to an increase in trade accounts payable which was partially offset by lower income taxes payable. Income taxes payable decreased due to a combination of lower income in the current year, the utilization of certain deferred tax assets and additional depreciation deductions due to recent legislative changes. See Note 5 of the Notes to the Consolidated Financial Statements for additional information about income taxes. Accounts payable increased $1,702,000 at fiscal year-end 2010 compared to fiscal year-end 2009 due primarily to higher income taxes payable. Income taxes payable increased due to current year tax accruals. Changes in trade accounts payable in all periods are also subject to normal fluctuations in the timing of payments.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Accrued expenses decreased $1,384,000 at fiscal year-end 2011 compared to fiscal year-end 2010. Accrued expenses included a lower discretionary bonus accrual for fiscal 2011. This decrease was partially offset by increased accrued freight and other accrued operating expenses due to higher freight costs and timing of payments. Accrued expenses increased $2,496,000 at fiscal year-end 2010 compared to fiscal year-end 2009. Accrued expenses included a higher discretionary bonus accrual for fiscal 2010. Accrued freight and other accrued operating expenses increased due to timing of payments. Accrued trade promotions and advertising increased due to more marketing programs.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compensation increased $378,000 at fiscal year-end 2011 compared to fiscal year-end 2010 as employee deferrals and interest on accumulated deferred compensation balances exceeded payouts, including the first payout of an executive deferred bonus award under our annual incentive plan. Deferred compensation increased $926,000 at fiscal year-end 2010 compared to fiscal 2009 as employee deferrals and interest on accumulated deferred compensation balances exceeded payouts.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liabilities increased $613,000 at fiscal year-end 2011 compared to fiscal year-end 2010 due primarily to higher accruals for postretirement benefits. The postretirement benefits are based on actuarially calculated benefit obligations. See Note 8 of the Notes to the Consolidated Financial Statements for more information regarding our employee benefit plans. Other liabilities increased $1,468,000 at fiscal year-end 2010 compared to fiscal year-end 2009 due primarily to higher accruals for postretirement benefits and projected future reclamation obligations for mining properties.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used in investing activities was $23,665,000 in fiscal 2011 compared to $7,890,000 in fiscal 2010. Purchases of investment securities were $10,008,000 greater than dispositions in fiscal 2011 due to the investment of cash received from the issuance of new debt. In fiscal 2010, dispositions of investment securities exceeded purchases by $2,148,000. Purchases and dispositions of investment securities in both periods are subject to variations in the timing of investment maturities. Cash used for capital expenditures of $13,806,000 in fiscal 2011 included new product-related projects at our manufacturing facilities, replacement of machinery and land purchases. Capital expenditures for the same period in fiscal 2010 of $10,413,000 included approximately $3,000,000 to purchase land and mineral rights near our Georgia production plant.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used in investing activities was $7,890,000 in fiscal 2010 compared to $2,189,000 in fiscal 2009. During fiscal 2010, cash provided by net dispositions of short-term investment securities was $2,148,000 compared to $13,037,000 in fiscal 2009. In fiscal 2009, the additional proceeds from disposition of short-term securities were used to fund higher debt payments and capital expenditures, including projects related to new product development at our manufacturing facilities. Capital expenditures were $15,253,000 in fiscal 2009 compared to $10,413,000 in fiscal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Cash provided by financing activities was $9,929,000 in fiscal 2011 compared to cash used in financing activities of $11,314,000 in fiscal 2010. Issuance of new debt during fiscal 2011 provided $18,500,000 in additional cash. Payments on long-term debt in fiscal 2011 were $3,500,000 compared to $3,200,000 in fiscal 2010. Dividend payments during fiscal 2011 of $4,218,000 were higher than the $3,992,000 paid during fiscal 2010 due to a dividend rate increase. Cash used to purchase treasury stock was $2,474,000 and $5,988,000 in fiscal 2011 and 2010, respectively. Proceeds from issuance of Common Stock and treasury stock related to stock option exercises were $1,135,000 and $1,361,000 in fiscal 2011 and 2010, respectively.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financing activities was $11,314,000 in fiscal 2010 compared to $9,082,000 in fiscal 2009. In fiscal 2010, payments for purchases of treasury stock were $5,988,000 compared to $656,000 in fiscal 2009. In addition, cash payments for dividends were $3,992,000 in fiscal 2010 compared to $3,684,000 in fiscal 2009. Payments on long-term debt were $2,380,000 lower in fiscal 2010 compared to fiscal 2009 in accordance with our debt agreements. Proceeds from issuance of Common Stock and treasury stock were $1,361,000 and $666,000 in fiscal 2010 and 2009, respectively, as a result of more stock option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at July 31, 2011, 2010 and 2009 were $1,904,000, $1,773,000 and $1,030,000, respectively. Cash and investment balances fluctuated due to normal business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$15,000,000 unsecured revolving credit agreement with Harris N.A. (“Harris”) which will expire December 31, 2011. The credit agreement provides that we may select a variable rate based on either Harris’ prime rate or a LIBOR-based rate, plus a margin which varies depending on our debt to earnings ratio, or a fixed rate as agreed between us and Harris. At July 31, 2011, the variable rates would have been 3.3% for the Harris’ prime-based rate or 0.8% for the LIBOR-based rate. The credit agreement contains restrictive covenants that, among other things and under various conditions, limit our ability to incur additional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indebtedness or to dispose of assets. The agreement also requires us to maintain a minimum fixed coverage ratio and a minimum consolidated net worth. As of July 31, 2011 and 2010, there were no outstanding borrowings under this credit facility and we were in compliance with its covenants. While there can be no assurance regarding the terms, timing or consummation of any successor agreement, on or before the expiration of this agreement on December 31, 2011, we expect to enter into a successor credit arrangement with Harris N.A. or another financing source under terms and conditions reasonably acceptable to us; however, future developments in the financial and credit markets could limit our ability to draw on or to enter into any such credit arrangement.</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12, 2010, we sold at aggregate face value $18,500,000 in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 Agreement”).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believe that cash flow from operations, availability under our current revolving credit facility, and any successor agreements,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2012 to be lower than in fiscal 2011 due to completion of projects at our manufacturing facilities related to new products; however, we intend to spend significantly for product promotion activities throughout the new product introduction in fiscal 2012 and we anticipate such spending thereafter will be higher than historic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current credit agreement and any successor agreements,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at July 31, 2011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94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Less Than 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9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33,300,000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6,983,000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15,417,000</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6,980,000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1,562,000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2,400,000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1,543,000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1,475,000</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8,957,000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2,073,000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2,895,000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2,044,000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1,945,000</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49,403,000</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7,401,000</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12,595,000</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10,570,000</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18,837,000</w:t>
            </w: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unconditional purchase obligations represent forward purchase contracts we have entered into for a portion of our natural gas fuel needs for fiscal 2012. As of July 31, 2011, the remaining purchase obligation was $134,000 for 30,000 MMBtu for fiscal 2012. These contracts were entered into in the normal course of business and no contracts were entered into for speculative purposes.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third quarter of fiscal 2011, we made a contribution of approximately $1,281,000 to our defined benefit pension plan. We have not presented this obligation for future years in the table above because the funding requirement can vary from year to year based on changes in the fair value of plan assets and actuarial assumptions. See Item 7A “Quantitative and Qualitative Disclosures About Market Risk” below for certain information regarding the potential impact of financial market fluctuations on pension plan assets and future funding contributions.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8"/>
          </w:tcPr>
          <w:p>
            <w:pPr>
              <w:ind w:left="12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Total Amounts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Committed</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Other Commercial Commitments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28,945,000</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w w:val="99"/>
              </w:rPr>
              <w:t>$   27,920,000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1,025,000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2011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promotional programs, allowance for doubtful accounts, pension accounting and income taxes. Actual results could differ from these estimates.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for an allowance for doubtful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recorded an allowance for doubtful accounts of $607,000 and $572,000 at July 31, 2011 and 2010, respectively.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We value inventories at the lower of cost (first-in, first-out) or market. Inventory costs include the cost of raw materials, packaging</w:t>
      </w:r>
      <w:r>
        <w:rPr>
          <w:rFonts w:ascii="Arial" w:cs="Arial" w:eastAsia="Arial" w:hAnsi="Arial"/>
          <w:sz w:val="17"/>
          <w:szCs w:val="17"/>
          <w:b w:val="1"/>
          <w:bCs w:val="1"/>
          <w:color w:val="auto"/>
        </w:rPr>
        <w:t xml:space="preserve"> </w:t>
      </w:r>
      <w:r>
        <w:rPr>
          <w:rFonts w:ascii="Arial" w:cs="Arial" w:eastAsia="Arial" w:hAnsi="Arial"/>
          <w:sz w:val="17"/>
          <w:szCs w:val="17"/>
          <w:color w:val="auto"/>
        </w:rPr>
        <w:t>supplies, 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2011 and 2010 were $326,000 and $449,000, respectively.</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Reclamation. </w:t>
      </w:r>
      <w:r>
        <w:rPr>
          <w:rFonts w:ascii="Arial" w:cs="Arial" w:eastAsia="Arial" w:hAnsi="Arial"/>
          <w:sz w:val="18"/>
          <w:szCs w:val="18"/>
          <w:color w:val="auto"/>
        </w:rPr>
        <w:t>During the normal course of our mining process we remove overburden and perform on-going reclamation activities. As overburden is</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from a pit, it is hauled to a previously mined pit and used to refill older sites. This process allows us to continuously reclaim older pits and dispose of overburden simultaneously, therefore minimizing the liability of the reclamation process.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As of July 31, 2011 and 2010, we have recorded an estimated net reclamation asset of $495,000 and $498,000, respectively, and a corresponding estimated reclamation liability of $1,114,000 and $996,000, respectively. These values represent the discounted present value of the estimated future mining reclamation costs at the production plants. The reclamation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are depreciated over the estimated useful lives of the various mines. The reclamation liabilities are increased based on a yearly accretion charge, once again over the estimated useful lives of the mines.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costs incurred in the future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Impairment of goodwill, trademarks and other intangible assets. </w:t>
      </w:r>
      <w:r>
        <w:rPr>
          <w:rFonts w:ascii="Arial" w:cs="Arial" w:eastAsia="Arial" w:hAnsi="Arial"/>
          <w:sz w:val="18"/>
          <w:szCs w:val="18"/>
          <w:color w:val="auto"/>
        </w:rPr>
        <w:t>We review carrying values of goodwill, trademarks and other indefinite lived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intangible assets periodically for possible impairment in accordance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Our impairment review is based on a discounted cash flow approach that requires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 We use judgment in assessing whether assets may have become impaired. Our analysis in the first quarter of fiscal 2011 did not indicate any impairment. We continue to monitor events, circumstances or changes in the business that might imply a reduction in value and might lead to impairment.</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$2,259,000 and $2,303,000 for trade promotions at July 31, 2011 and 2010, respectively.</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account for stock options and restricted stock issued under our long term incentive plans in accordance with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requires the determination of the fair value of stock-based compensation at the grant date and the recognition in the financial statements of the related compensation expense over the appropriate vesting period. The fair value of stock-based compensation was estimated on the grant date using the Black-Scholes Option Pricing Method. This method requires management to make certain estimates, including estimating the expected term of stock options, expected volatility of our stock and expected dividends. In addition, judgment is required in estimating the amount of stock-based awards that are expected to be forfeited. It could have a material effect on our Consolidated Financial Statements if actual results differ significantly from these estimates or different key assumptions were used. We recognized stock-based compensation expense of $478,000 in fiscal 2011 and $251,000 in fiscal 2010, net of related tax effect. These amounts include expense related to stock option grants and restricted stock.</w:t>
      </w:r>
    </w:p>
    <w:p>
      <w:pPr>
        <w:spacing w:after="0" w:line="1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cashflows discounted with spot rates on a yield curve of investment-grade corporate bonds. The yield curve is the Citigroup Pension Liability Index.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develop a composite rate of return assumption. See Note 8 of the Notes to the Consolidated Financial Statements for additional information.</w:t>
      </w:r>
    </w:p>
    <w:p>
      <w:pPr>
        <w:spacing w:after="0" w:line="2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is based on expected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is required in determining our effective tax rate and in evaluating our tax positions.</w:t>
      </w:r>
    </w:p>
    <w:p>
      <w:pPr>
        <w:spacing w:after="0" w:line="1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determine our current and deferred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tax effect of the expected reversal of tax differences is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 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We recorded valuation allowances for income taxes of $3,106,000 and $2,909,000 at July 31, 2011 and 2010, respectively. The valuation allowance at July 31, 2011 has been established for the full amount of the deferred tax benefit related to our alternative minimum tax credit carryforwards since we believe it is more likely than not that the benefit of these credits will not be realized.</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valuation allowances, we provide for uncertain tax positions when such tax positions do not meet certain recognition thresholds or measurement standards. Amounts for uncertain tax positions are adjusted when new information becomes available or when positions are effectively settled. Our liability for unrecognized tax benefits based on tax positions related to the current and prior fiscal years were $273,000 at July 31, 2011and $643,000 at July 31, 2010. See Note 5 of the Notes to the Consolidated Financial Statements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January 2010, the FASB issued guidance under ASC 820-10, </w:t>
      </w:r>
      <w:r>
        <w:rPr>
          <w:rFonts w:ascii="Arial" w:cs="Arial" w:eastAsia="Arial" w:hAnsi="Arial"/>
          <w:sz w:val="18"/>
          <w:szCs w:val="18"/>
          <w:i w:val="1"/>
          <w:iCs w:val="1"/>
          <w:color w:val="auto"/>
        </w:rPr>
        <w:t>Fair Value Measurements and Disclosures: Improving Disclosures about Fair Value</w:t>
      </w:r>
      <w:r>
        <w:rPr>
          <w:rFonts w:ascii="Arial" w:cs="Arial" w:eastAsia="Arial" w:hAnsi="Arial"/>
          <w:sz w:val="18"/>
          <w:szCs w:val="18"/>
          <w:color w:val="auto"/>
        </w:rPr>
        <w:t xml:space="preserve"> Measurements</w:t>
      </w:r>
      <w:r>
        <w:rPr>
          <w:rFonts w:ascii="Arial" w:cs="Arial" w:eastAsia="Arial" w:hAnsi="Arial"/>
          <w:sz w:val="18"/>
          <w:szCs w:val="18"/>
          <w:i w:val="1"/>
          <w:iCs w:val="1"/>
          <w:color w:val="auto"/>
        </w:rPr>
        <w:t>,</w:t>
      </w:r>
      <w:r>
        <w:rPr>
          <w:rFonts w:ascii="Arial" w:cs="Arial" w:eastAsia="Arial" w:hAnsi="Arial"/>
          <w:sz w:val="18"/>
          <w:szCs w:val="18"/>
          <w:color w:val="auto"/>
        </w:rPr>
        <w:t xml:space="preserve"> 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are currently evaluating the impact this Statement will have on our Consolidated Financial Statements beginning with our Quarterly Report on Form 10-Q for the quarter ending April 30, 2012.</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net sales or net income. We do not enter into any hedge contracts in an attempt to offset any adverse effect of changes in currency exchange rates. We believe that the foreign currency fluctuation risk is immaterial to our Consolidated Financial Statements.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fluids purification, agricultural and animal health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commodity price risk with respect to fuel. We monitor fuel market trends and we may contract for a portion of our anticipated fuel needs using forward purchase contracts to mitigate the volatility of our kiln fuel prices. Natural gas prices have remained reasonably stable; therefore, as of July 31, 2011, we have purchased a limited number of natural gas contracts for our planned kiln fuel needs for fiscal 2012. All contracts are related to the normal course of business and no contracts are entered into for speculative purposes. We continue to purchase natural gas at spot rates on a month to month basis to meet our needs.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provides information about our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2012. The Fair Value was determined using the “Most Recent Settle” price for the “Henry Hub Natural Gas” option contract prices as listed by the New York Mercantile Exchange on September 30, 2011.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Commodity Price Sensitivity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Natural Gas Future Contracts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Expected 2012 Maturity</w:t>
            </w:r>
          </w:p>
        </w:tc>
        <w:tc>
          <w:tcPr>
            <w:tcW w:w="1360" w:type="dxa"/>
            <w:vAlign w:val="bottom"/>
          </w:tcPr>
          <w:p>
            <w:pPr>
              <w:ind w:left="300"/>
              <w:spacing w:after="0"/>
              <w:rPr>
                <w:sz w:val="20"/>
                <w:szCs w:val="20"/>
                <w:color w:val="auto"/>
              </w:rPr>
            </w:pPr>
            <w:r>
              <w:rPr>
                <w:rFonts w:ascii="Arial" w:cs="Arial" w:eastAsia="Arial" w:hAnsi="Arial"/>
                <w:sz w:val="18"/>
                <w:szCs w:val="18"/>
                <w:color w:val="auto"/>
              </w:rPr>
              <w:t>Fair Value</w:t>
            </w:r>
          </w:p>
        </w:tc>
      </w:tr>
      <w:tr>
        <w:trPr>
          <w:trHeight w:val="27"/>
        </w:trPr>
        <w:tc>
          <w:tcPr>
            <w:tcW w:w="75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Future Volumes (MMBtu)</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Weighted Average Price (Per MMBtu)</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$4.47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Amount ($ U.S., in thousands)</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$131.1</w:t>
            </w:r>
          </w:p>
        </w:tc>
      </w:tr>
      <w:tr>
        <w:trPr>
          <w:trHeight w:val="27"/>
        </w:trPr>
        <w:tc>
          <w:tcPr>
            <w:tcW w:w="756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Factors that could influence the fair value of the natural gas contracts, include, but are not limited to, the creditworthiness of our natural gas suppliers, the overall general economy, developments in world events,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2012 financial results are difficult to make due to the inherent uncertainty of future fluctuations in option contract prices in the natural gas options market.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80" w:type="dxa"/>
            <w:vAlign w:val="bottom"/>
          </w:tcPr>
          <w:p>
            <w:pPr>
              <w:spacing w:after="0"/>
              <w:rPr>
                <w:sz w:val="24"/>
                <w:szCs w:val="24"/>
                <w:color w:val="auto"/>
              </w:rPr>
            </w:pPr>
          </w:p>
        </w:tc>
        <w:tc>
          <w:tcPr>
            <w:tcW w:w="7180" w:type="dxa"/>
            <w:vAlign w:val="bottom"/>
          </w:tcPr>
          <w:p>
            <w:pPr>
              <w:ind w:left="288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July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ind w:left="25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(in thousands of dollars)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17,885</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 in short-term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15,837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Accounts receivable, less allowance of $607 and $572</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29,217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520"/>
              <w:spacing w:after="0"/>
              <w:rPr>
                <w:sz w:val="20"/>
                <w:szCs w:val="20"/>
                <w:color w:val="auto"/>
              </w:rPr>
            </w:pPr>
            <w:r>
              <w:rPr>
                <w:rFonts w:ascii="Arial" w:cs="Arial" w:eastAsia="Arial" w:hAnsi="Arial"/>
                <w:sz w:val="18"/>
                <w:szCs w:val="18"/>
                <w:color w:val="auto"/>
              </w:rPr>
              <w:t>in 2011 and 2011,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91,816</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76,189</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27,642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115,978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10,570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164,183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151,230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(121,251)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42,932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8,949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16,147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15,614</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68,028</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62,502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of $381 and $357 in 2011 and 2010,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520"/>
              <w:spacing w:after="0"/>
              <w:rPr>
                <w:sz w:val="20"/>
                <w:szCs w:val="20"/>
                <w:color w:val="auto"/>
              </w:rPr>
            </w:pPr>
            <w:r>
              <w:rPr>
                <w:rFonts w:ascii="Arial" w:cs="Arial" w:eastAsia="Arial" w:hAnsi="Arial"/>
                <w:sz w:val="18"/>
                <w:szCs w:val="18"/>
                <w:color w:val="auto"/>
              </w:rPr>
              <w:t>of $333 and $524 in 2011 and 2010,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Licensing agreements and non-compete agreements,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of accumulated amortization of $1,361 and $3,611 in</w:t>
            </w: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2011 and 2010,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13,549</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15,291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173,393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153,982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July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ind w:left="9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26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(in thousands of dollars)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3,600</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6,369</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1,129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4,143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2,135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6,834</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26,480</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27,791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29,700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7,196</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13,235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12,558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1,484</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51,615</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35,602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78,095</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63,393</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Common Stock, par value $.10 per share, issued 7,750,324</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775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520"/>
              <w:spacing w:after="0"/>
              <w:rPr>
                <w:sz w:val="20"/>
                <w:szCs w:val="20"/>
                <w:color w:val="auto"/>
              </w:rPr>
            </w:pPr>
            <w:r>
              <w:rPr>
                <w:rFonts w:ascii="Arial" w:cs="Arial" w:eastAsia="Arial" w:hAnsi="Arial"/>
                <w:sz w:val="18"/>
                <w:szCs w:val="18"/>
                <w:color w:val="auto"/>
              </w:rPr>
              <w:t>shares in 2011 and 7,639,922 shares in 2010</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Class B Stock, par value $.10 per share, issued 2,372,859</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shares in 2011 and 2,244,217 shares in 2010</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29,213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unearned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121,388</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116,917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799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treasury stock, at cost (2,642,387 Common and 324,741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Class B shares at July 31, 2011 and 2,558,764 Common and</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(49,424)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324,741 Class B shares at July 31, 2010)</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(47,513)</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95,298</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90,589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173,393</w:t>
            </w:r>
          </w:p>
        </w:tc>
        <w:tc>
          <w:tcPr>
            <w:tcW w:w="44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153,982</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gridSpan w:val="2"/>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96"/>
        </w:trPr>
        <w:tc>
          <w:tcPr>
            <w:tcW w:w="128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226,755</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236,245</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(176,715)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(169,362)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(186,861)</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50,040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49,384</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(36,331)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(36,139)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(34,801)</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13,709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14,583</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(2,053)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(1,910)</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(losses) gains</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446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12,141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13,309</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r>
      <w:tr>
        <w:trPr>
          <w:trHeight w:val="297"/>
        </w:trPr>
        <w:tc>
          <w:tcPr>
            <w:tcW w:w="3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9,051</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9,458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9,586</w:t>
            </w:r>
          </w:p>
        </w:tc>
      </w:tr>
      <w:tr>
        <w:trPr>
          <w:trHeight w:val="365"/>
        </w:trPr>
        <w:tc>
          <w:tcPr>
            <w:tcW w:w="1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51"/>
        </w:trPr>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5,083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5,146</w:t>
            </w:r>
          </w:p>
        </w:tc>
      </w:tr>
      <w:tr>
        <w:trPr>
          <w:trHeight w:val="251"/>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7,103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7,200</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CONSOLIDATED STATEMENTS OF STOCKHOLDERS’ EQUITY AND OTHER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of dollars)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2008</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9,632,013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(2,586,683)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963</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22,218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105,966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87,626</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9,586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9,586</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Cumulative Translation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Unrealized gain (loss) on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Unrecognized actuarial gain/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 prior service cost and</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transition liability</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137"/>
        </w:trPr>
        <w:tc>
          <w:tcPr>
            <w:tcW w:w="2040" w:type="dxa"/>
            <w:vAlign w:val="bottom"/>
          </w:tcPr>
          <w:p>
            <w:pPr>
              <w:ind w:left="360"/>
              <w:spacing w:after="0" w:line="137" w:lineRule="exact"/>
              <w:rPr>
                <w:sz w:val="20"/>
                <w:szCs w:val="20"/>
                <w:color w:val="auto"/>
              </w:rPr>
            </w:pPr>
            <w:r>
              <w:rPr>
                <w:rFonts w:ascii="Arial" w:cs="Arial" w:eastAsia="Arial" w:hAnsi="Arial"/>
                <w:sz w:val="14"/>
                <w:szCs w:val="14"/>
                <w:color w:val="auto"/>
              </w:rPr>
              <w:t>Total Comprehensive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w:t>
            </w: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(41,579)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Long-</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Incentive Plans</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83,359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Restricted</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Balance, July 31, 2009</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9,715,372</w:t>
            </w:r>
          </w:p>
        </w:tc>
        <w:tc>
          <w:tcPr>
            <w:tcW w:w="120" w:type="dxa"/>
            <w:vAlign w:val="bottom"/>
          </w:tcPr>
          <w:p>
            <w:pPr>
              <w:spacing w:after="0"/>
              <w:rPr>
                <w:sz w:val="22"/>
                <w:szCs w:val="22"/>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(2,607,262)</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971</w:t>
            </w: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23,366</w:t>
            </w:r>
          </w:p>
        </w:tc>
        <w:tc>
          <w:tcPr>
            <w:tcW w:w="10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111,593</w:t>
            </w:r>
          </w:p>
        </w:tc>
        <w:tc>
          <w:tcPr>
            <w:tcW w:w="10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(383)</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(41,722)</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(4,262)</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89,563</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9,458</w:t>
            </w:r>
          </w:p>
        </w:tc>
        <w:tc>
          <w:tcPr>
            <w:tcW w:w="0" w:type="dxa"/>
            <w:vAlign w:val="bottom"/>
          </w:tcPr>
          <w:p>
            <w:pPr>
              <w:spacing w:after="0"/>
              <w:rPr>
                <w:sz w:val="1"/>
                <w:szCs w:val="1"/>
                <w:color w:val="auto"/>
              </w:rPr>
            </w:pP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color w:val="auto"/>
              </w:rPr>
              <w:t>Cumulative Translation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(loss) 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color w:val="auto"/>
              </w:rPr>
              <w:t>Unrecognized actuarial gain/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Arial" w:cs="Arial" w:eastAsia="Arial" w:hAnsi="Arial"/>
                <w:sz w:val="14"/>
                <w:szCs w:val="14"/>
                <w:color w:val="auto"/>
              </w:rPr>
              <w:t>loss, prior service cost and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transition liability</w:t>
            </w: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43"/>
        </w:trPr>
        <w:tc>
          <w:tcPr>
            <w:tcW w:w="204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Total Comprehensive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8,969</w:t>
            </w:r>
          </w:p>
        </w:tc>
        <w:tc>
          <w:tcPr>
            <w:tcW w:w="0" w:type="dxa"/>
            <w:vAlign w:val="bottom"/>
          </w:tcPr>
          <w:p>
            <w:pPr>
              <w:spacing w:after="0"/>
              <w:rPr>
                <w:sz w:val="1"/>
                <w:szCs w:val="1"/>
                <w:color w:val="auto"/>
              </w:rPr>
            </w:pPr>
          </w:p>
        </w:tc>
      </w:tr>
      <w:tr>
        <w:trPr>
          <w:trHeight w:val="250"/>
        </w:trPr>
        <w:tc>
          <w:tcPr>
            <w:tcW w:w="20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(288,243)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(5,988)</w:t>
            </w:r>
          </w:p>
        </w:tc>
        <w:tc>
          <w:tcPr>
            <w:tcW w:w="0" w:type="dxa"/>
            <w:vAlign w:val="bottom"/>
          </w:tcPr>
          <w:p>
            <w:pPr>
              <w:spacing w:after="0"/>
              <w:rPr>
                <w:sz w:val="1"/>
                <w:szCs w:val="1"/>
                <w:color w:val="auto"/>
              </w:rPr>
            </w:pP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color w:val="auto"/>
              </w:rPr>
              <w:t>Issuance of Stock Under Long-</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168,767</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Restricted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Stock</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56"/>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2010</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9,884,139</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(2,883,505)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988</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116,917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90,589</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Cumulative Translation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color w:val="auto"/>
              </w:rPr>
              <w:t>Unrealized gain (loss) on</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Arial" w:cs="Arial" w:eastAsia="Arial" w:hAnsi="Arial"/>
                <w:sz w:val="14"/>
                <w:szCs w:val="14"/>
                <w:color w:val="auto"/>
              </w:rPr>
              <w:t>marketable securities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Unrecognized actuarial</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gain/loss, prior service cost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transitionliability</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7"/>
        </w:trPr>
        <w:tc>
          <w:tcPr>
            <w:tcW w:w="2040" w:type="dxa"/>
            <w:vAlign w:val="bottom"/>
          </w:tcPr>
          <w:p>
            <w:pPr>
              <w:ind w:left="360"/>
              <w:spacing w:after="0" w:line="137" w:lineRule="exact"/>
              <w:rPr>
                <w:sz w:val="20"/>
                <w:szCs w:val="20"/>
                <w:color w:val="auto"/>
              </w:rPr>
            </w:pPr>
            <w:r>
              <w:rPr>
                <w:rFonts w:ascii="Arial" w:cs="Arial" w:eastAsia="Arial" w:hAnsi="Arial"/>
                <w:sz w:val="14"/>
                <w:szCs w:val="14"/>
                <w:color w:val="auto"/>
              </w:rPr>
              <w:t>Total Comprehensive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w:t>
            </w: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9,357</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(117,123)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Long-</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Incentive Plans</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239,044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Restricted</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56"/>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Balance, July 31, 2011</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10,123,183</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(2,967,128)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1,012</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29,213</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121,388</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(2,446)</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(49,424)</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95,298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80"/>
          </w:cols>
          <w:pgMar w:left="240" w:top="125" w:right="379" w:bottom="1440" w:gutter="0" w:footer="0" w:header="0"/>
        </w:sect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80"/>
          </w:cols>
          <w:pgMar w:left="240" w:top="125" w:right="37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FF"/>
            </w:tcBorders>
          </w:tcPr>
          <w:p>
            <w:pPr>
              <w:spacing w:after="0"/>
              <w:rPr>
                <w:sz w:val="24"/>
                <w:szCs w:val="24"/>
                <w:color w:val="auto"/>
              </w:rPr>
            </w:pPr>
          </w:p>
        </w:tc>
        <w:tc>
          <w:tcPr>
            <w:tcW w:w="6960" w:type="dxa"/>
            <w:vAlign w:val="bottom"/>
          </w:tcPr>
          <w:p>
            <w:pPr>
              <w:ind w:left="2320"/>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1"/>
              </w:rPr>
              <w:t>Year Ended July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7"/>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9"/>
              </w:rPr>
              <w:t>(in thousands of dollars)</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9,051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9,458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8,473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Amortization of investment discounts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Non-cash stock compensation expense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3,515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Provision for bad debts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(2,954)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Increase (decrease) in:</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13,108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26,216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(13,806)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(10,413)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(15,253)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Purchases of investment in short-term securities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(60,083)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(21,852)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(80,963)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Dispositions of investment in short-term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50,075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(23,665)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Proceeds from issuance of notes payable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18,500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8240" w:type="dxa"/>
            <w:vAlign w:val="bottom"/>
            <w:gridSpan w:val="2"/>
          </w:tcPr>
          <w:p>
            <w:pPr>
              <w:ind w:left="9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9,929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(11,314)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18,762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17,885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18,762</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08"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RESENTATION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 IN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46"/>
        </w:trPr>
        <w:tc>
          <w:tcPr>
            <w:tcW w:w="9260" w:type="dxa"/>
            <w:vAlign w:val="bottom"/>
          </w:tcPr>
          <w:p>
            <w:pPr>
              <w:ind w:left="660"/>
              <w:spacing w:after="0"/>
              <w:rPr>
                <w:sz w:val="20"/>
                <w:szCs w:val="20"/>
                <w:color w:val="auto"/>
              </w:rPr>
            </w:pPr>
            <w:r>
              <w:rPr>
                <w:rFonts w:ascii="Arial" w:cs="Arial" w:eastAsia="Arial" w:hAnsi="Arial"/>
                <w:sz w:val="18"/>
                <w:szCs w:val="18"/>
                <w:color w:val="auto"/>
              </w:rPr>
              <w:t>The composition of investment in short-term securities as of July 31, 2011 and 2010 was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1,259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57"/>
        </w:trPr>
        <w:tc>
          <w:tcPr>
            <w:tcW w:w="9260" w:type="dxa"/>
            <w:vAlign w:val="bottom"/>
          </w:tcPr>
          <w:p>
            <w:pPr>
              <w:ind w:left="260"/>
              <w:spacing w:after="0"/>
              <w:rPr>
                <w:sz w:val="20"/>
                <w:szCs w:val="20"/>
                <w:color w:val="auto"/>
              </w:rPr>
            </w:pPr>
            <w:r>
              <w:rPr>
                <w:rFonts w:ascii="Arial" w:cs="Arial" w:eastAsia="Arial" w:hAnsi="Arial"/>
                <w:sz w:val="18"/>
                <w:szCs w:val="18"/>
                <w:color w:val="auto"/>
              </w:rPr>
              <w:t>Total Investment in Short-Term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5,859</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and have the ability to hold these investments to maturity; therefore, these investments are reported at amortized cost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short-term investments and accounts receivable. We place our investments in government-backed instruments, both domestic and Canadian, and with other quality institutions.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 however, we require letters of credit for some foreign customers or we purchase insurance to reduce our risk.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value inventories at the lower of cost (first-in, first-out) or market. We recorded inventory obsolescence reserves of approximately $326,000 and $449,000 as of July 31, 2011 and 2010, respectively. The composition of inventories as of July 31, 2011 and 2010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r>
      <w:tr>
        <w:trPr>
          <w:trHeight w:val="27"/>
        </w:trPr>
        <w:tc>
          <w:tcPr>
            <w:tcW w:w="8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r>
      <w:tr>
        <w:trPr>
          <w:trHeight w:val="237"/>
        </w:trPr>
        <w:tc>
          <w:tcPr>
            <w:tcW w:w="8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11,041</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9,834</w:t>
            </w:r>
          </w:p>
        </w:tc>
      </w:tr>
      <w:tr>
        <w:trPr>
          <w:trHeight w:val="243"/>
        </w:trPr>
        <w:tc>
          <w:tcPr>
            <w:tcW w:w="8980" w:type="dxa"/>
            <w:vAlign w:val="bottom"/>
          </w:tcPr>
          <w:p>
            <w:pPr>
              <w:ind w:left="40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4,251</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3,051</w:t>
            </w:r>
          </w:p>
        </w:tc>
      </w:tr>
      <w:tr>
        <w:trPr>
          <w:trHeight w:val="27"/>
        </w:trPr>
        <w:tc>
          <w:tcPr>
            <w:tcW w:w="8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3,938</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3,138</w:t>
            </w:r>
          </w:p>
        </w:tc>
      </w:tr>
      <w:tr>
        <w:trPr>
          <w:trHeight w:val="257"/>
        </w:trPr>
        <w:tc>
          <w:tcPr>
            <w:tcW w:w="8980" w:type="dxa"/>
            <w:vAlign w:val="bottom"/>
          </w:tcPr>
          <w:p>
            <w:pPr>
              <w:ind w:left="440"/>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19,230</w:t>
            </w:r>
          </w:p>
        </w:tc>
        <w:tc>
          <w:tcPr>
            <w:tcW w:w="4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16,023</w:t>
            </w:r>
          </w:p>
        </w:tc>
      </w:tr>
      <w:tr>
        <w:trPr>
          <w:trHeight w:val="20"/>
        </w:trPr>
        <w:tc>
          <w:tcPr>
            <w:tcW w:w="8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amortize most of our intangible assets on a straight-line basis over periods ranging from three to 17 years. We have some intangible assets that were determined to have indefinite lives and are not amortized. We periodically review intangibles and goodwill to assess recoverability from projected discounted cash flows of the related operating entities. Our review is based on discounted cash flow and other approaches that require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8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w w:val="94"/>
              </w:rPr>
              <w:t>2012</w:t>
            </w:r>
          </w:p>
        </w:tc>
        <w:tc>
          <w:tcPr>
            <w:tcW w:w="28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r>
      <w:tr>
        <w:trPr>
          <w:trHeight w:val="243"/>
        </w:trPr>
        <w:tc>
          <w:tcPr>
            <w:tcW w:w="2880" w:type="dxa"/>
            <w:vAlign w:val="bottom"/>
          </w:tcPr>
          <w:p>
            <w:pPr>
              <w:jc w:val="right"/>
              <w:ind w:right="2390"/>
              <w:spacing w:after="0"/>
              <w:rPr>
                <w:sz w:val="20"/>
                <w:szCs w:val="20"/>
                <w:color w:val="auto"/>
              </w:rPr>
            </w:pPr>
            <w:r>
              <w:rPr>
                <w:rFonts w:ascii="Arial" w:cs="Arial" w:eastAsia="Arial" w:hAnsi="Arial"/>
                <w:sz w:val="18"/>
                <w:szCs w:val="18"/>
                <w:color w:val="auto"/>
                <w:w w:val="94"/>
              </w:rPr>
              <w:t>2013</w:t>
            </w:r>
          </w:p>
        </w:tc>
        <w:tc>
          <w:tcPr>
            <w:tcW w:w="2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341</w:t>
            </w:r>
          </w:p>
        </w:tc>
      </w:tr>
      <w:tr>
        <w:trPr>
          <w:trHeight w:val="27"/>
        </w:trPr>
        <w:tc>
          <w:tcPr>
            <w:tcW w:w="2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color w:val="auto"/>
                <w:w w:val="94"/>
              </w:rPr>
              <w:t>2014</w:t>
            </w:r>
          </w:p>
        </w:tc>
        <w:tc>
          <w:tcPr>
            <w:tcW w:w="2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43"/>
        </w:trPr>
        <w:tc>
          <w:tcPr>
            <w:tcW w:w="2880" w:type="dxa"/>
            <w:vAlign w:val="bottom"/>
          </w:tcPr>
          <w:p>
            <w:pPr>
              <w:jc w:val="right"/>
              <w:ind w:right="2390"/>
              <w:spacing w:after="0"/>
              <w:rPr>
                <w:sz w:val="20"/>
                <w:szCs w:val="20"/>
                <w:color w:val="auto"/>
              </w:rPr>
            </w:pPr>
            <w:r>
              <w:rPr>
                <w:rFonts w:ascii="Arial" w:cs="Arial" w:eastAsia="Arial" w:hAnsi="Arial"/>
                <w:sz w:val="18"/>
                <w:szCs w:val="18"/>
                <w:color w:val="auto"/>
                <w:w w:val="94"/>
              </w:rPr>
              <w:t>2015</w:t>
            </w:r>
          </w:p>
        </w:tc>
        <w:tc>
          <w:tcPr>
            <w:tcW w:w="2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249</w:t>
            </w:r>
          </w:p>
        </w:tc>
      </w:tr>
      <w:tr>
        <w:trPr>
          <w:trHeight w:val="27"/>
        </w:trPr>
        <w:tc>
          <w:tcPr>
            <w:tcW w:w="2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288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w w:val="94"/>
              </w:rPr>
              <w:t>2016</w:t>
            </w:r>
          </w:p>
        </w:tc>
        <w:tc>
          <w:tcPr>
            <w:tcW w:w="28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r>
      <w:tr>
        <w:trPr>
          <w:trHeight w:val="27"/>
        </w:trPr>
        <w:tc>
          <w:tcPr>
            <w:tcW w:w="28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 are also capitalized. All exploration related costs are expensed as incurred.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Years</w:t>
            </w:r>
          </w:p>
        </w:tc>
      </w:tr>
      <w:tr>
        <w:trPr>
          <w:trHeight w:val="27"/>
        </w:trPr>
        <w:tc>
          <w:tcPr>
            <w:tcW w:w="6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8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Packaging</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2 - 20</w:t>
            </w:r>
          </w:p>
        </w:tc>
      </w:tr>
      <w:tr>
        <w:trPr>
          <w:trHeight w:val="243"/>
        </w:trPr>
        <w:tc>
          <w:tcPr>
            <w:tcW w:w="6120" w:type="dxa"/>
            <w:vAlign w:val="bottom"/>
          </w:tcPr>
          <w:p>
            <w:pPr>
              <w:ind w:left="740"/>
              <w:spacing w:after="0"/>
              <w:rPr>
                <w:sz w:val="20"/>
                <w:szCs w:val="20"/>
                <w:color w:val="auto"/>
              </w:rPr>
            </w:pPr>
            <w:r>
              <w:rPr>
                <w:rFonts w:ascii="Arial" w:cs="Arial" w:eastAsia="Arial" w:hAnsi="Arial"/>
                <w:sz w:val="18"/>
                <w:szCs w:val="18"/>
                <w:color w:val="auto"/>
              </w:rPr>
              <w:t>Processing</w:t>
            </w:r>
          </w:p>
        </w:tc>
        <w:tc>
          <w:tcPr>
            <w:tcW w:w="820" w:type="dxa"/>
            <w:vAlign w:val="bottom"/>
          </w:tcPr>
          <w:p>
            <w:pPr>
              <w:jc w:val="right"/>
              <w:spacing w:after="0"/>
              <w:rPr>
                <w:sz w:val="20"/>
                <w:szCs w:val="20"/>
                <w:color w:val="auto"/>
              </w:rPr>
            </w:pPr>
            <w:r>
              <w:rPr>
                <w:rFonts w:ascii="Arial" w:cs="Arial" w:eastAsia="Arial" w:hAnsi="Arial"/>
                <w:sz w:val="18"/>
                <w:szCs w:val="18"/>
                <w:color w:val="auto"/>
              </w:rPr>
              <w:t>2 - 20</w:t>
            </w: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Mining and Other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3 - 15</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Office furniture, computers and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2 - 10</w:t>
            </w:r>
          </w:p>
        </w:tc>
      </w:tr>
      <w:tr>
        <w:trPr>
          <w:trHeight w:val="27"/>
        </w:trPr>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w:t>
            </w:r>
          </w:p>
        </w:tc>
      </w:tr>
      <w:tr>
        <w:trPr>
          <w:trHeight w:val="27"/>
        </w:trPr>
        <w:tc>
          <w:tcPr>
            <w:tcW w:w="6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expenses were approximately $3,220,000, $2,102,000, and $2,158,000 for the years ended July 31, 2011, 2010 and 2009,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increased in fiscal 2011 due to the launch of our new Cat's Pride Fresh and Light product.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investment in short-term securities, cash surrender value of life insurance policies and notes payable. These instruments, except for notes payable, were carried at amounts approximating fair value as of July 31, 2011 and 2010. The investment in short-term securities includes U.S. Treasury securities, certificates of deposit and debt securities. We intend and have the ability to hold our investment in short-term securities to maturity; therefore, these investments are reported at amortized cost, which was approximately equal to fair value.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notes payable was more than its carrying value by approximately $623,000 as of July 31, 2011 and by approximately $95,000 as of July 31, 2010. The fair value of notes payable was estimated based on future cash flows discounted at current interest rates available to us for debt with similar maturities and characteristics. See Note 4 of the Notes to the Consolidated Financial Statements for additional information regarding assets and liabilities recorded at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at the time of shipment based on a fixed and determinable price. Sales returns and allowances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 SALES</w:t>
      </w:r>
    </w:p>
    <w:p>
      <w:pPr>
        <w:spacing w:after="0" w:line="24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Cost of sales includes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$39,763,000, $36,101,000 and $40,465,000 for the years ended July 31, 2011, 2010 and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$1,933,000, $1,826,000 and $2,099,000 were charged to expense as incurred for the years ended July 31, 2011, 2010 and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8 of the Notes to the Consolidated Financial Statements for additional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Stock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7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January 2010, the FASB issued guidance under ASC 820-10, </w:t>
      </w:r>
      <w:r>
        <w:rPr>
          <w:rFonts w:ascii="Arial" w:cs="Arial" w:eastAsia="Arial" w:hAnsi="Arial"/>
          <w:sz w:val="18"/>
          <w:szCs w:val="18"/>
          <w:i w:val="1"/>
          <w:iCs w:val="1"/>
          <w:color w:val="auto"/>
        </w:rPr>
        <w:t>Fair Value Measurements and Disclosures: Improving Disclosures about Fair Value</w:t>
      </w:r>
      <w:r>
        <w:rPr>
          <w:rFonts w:ascii="Arial" w:cs="Arial" w:eastAsia="Arial" w:hAnsi="Arial"/>
          <w:sz w:val="18"/>
          <w:szCs w:val="18"/>
          <w:color w:val="auto"/>
        </w:rPr>
        <w:t xml:space="preserve"> Measurements</w:t>
      </w:r>
      <w:r>
        <w:rPr>
          <w:rFonts w:ascii="Arial" w:cs="Arial" w:eastAsia="Arial" w:hAnsi="Arial"/>
          <w:sz w:val="18"/>
          <w:szCs w:val="18"/>
          <w:i w:val="1"/>
          <w:iCs w:val="1"/>
          <w:color w:val="auto"/>
        </w:rPr>
        <w:t>,</w:t>
      </w:r>
      <w:r>
        <w:rPr>
          <w:rFonts w:ascii="Arial" w:cs="Arial" w:eastAsia="Arial" w:hAnsi="Arial"/>
          <w:sz w:val="18"/>
          <w:szCs w:val="18"/>
          <w:color w:val="auto"/>
        </w:rPr>
        <w:t xml:space="preserve"> 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are currently evaluating the impact this Statement will have on our Consolidated Financial Statements beginning with our Quarterly Report on Form 10-Q for the quarter ending April 30, 2012.</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OPERATING SEGMENTS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two reportable operating segments derived from the different characteristics of our two major customer groups: Retail and Wholesale Products Group and Business to Business Products Group. Net sales and operating income for each segment are provided below. As the result of a change in management organization in fiscal 2011, our sports field products are now included in the Retail and Wholesale Products Group. Prior year segment net sales and operating income have also been restated to reflect this change. The organizational change was intended to better serve our customers and the segment information presented reflects the information regularly reviewed by our chief operating decision maker.</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Revenues by product line are not provided because it would be impracticable to do so. The accounting policies of the segments are the same as those described in the Note 1 of the Notes to the Consolidated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center"/>
              <w:ind w:right="128"/>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64"/>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40,635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41,773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w w:val="90"/>
              </w:rPr>
              <w:t>40,358</w:t>
            </w:r>
          </w:p>
        </w:tc>
        <w:tc>
          <w:tcPr>
            <w:tcW w:w="20" w:type="dxa"/>
            <w:vAlign w:val="bottom"/>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81,049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28"/>
              <w:spacing w:after="0"/>
              <w:rPr>
                <w:sz w:val="20"/>
                <w:szCs w:val="20"/>
                <w:color w:val="auto"/>
              </w:rPr>
            </w:pPr>
            <w:r>
              <w:rPr>
                <w:rFonts w:ascii="Arial" w:cs="Arial" w:eastAsia="Arial" w:hAnsi="Arial"/>
                <w:sz w:val="18"/>
                <w:szCs w:val="18"/>
                <w:color w:val="auto"/>
              </w:rPr>
              <w:t>69,248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4"/>
              <w:spacing w:after="0"/>
              <w:rPr>
                <w:sz w:val="20"/>
                <w:szCs w:val="20"/>
                <w:color w:val="auto"/>
              </w:rPr>
            </w:pPr>
            <w:r>
              <w:rPr>
                <w:rFonts w:ascii="Arial" w:cs="Arial" w:eastAsia="Arial" w:hAnsi="Arial"/>
                <w:sz w:val="18"/>
                <w:szCs w:val="18"/>
                <w:color w:val="auto"/>
                <w:w w:val="90"/>
              </w:rPr>
              <w:t>71,523</w:t>
            </w:r>
          </w:p>
        </w:tc>
        <w:tc>
          <w:tcPr>
            <w:tcW w:w="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51,709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42,961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w w:val="90"/>
              </w:rPr>
              <w:t>37,380</w:t>
            </w:r>
          </w:p>
        </w:tc>
        <w:tc>
          <w:tcPr>
            <w:tcW w:w="20" w:type="dxa"/>
            <w:vAlign w:val="bottom"/>
          </w:tcPr>
          <w:p>
            <w:pPr>
              <w:spacing w:after="0"/>
              <w:rPr>
                <w:sz w:val="23"/>
                <w:szCs w:val="2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w w:val="89"/>
              </w:rPr>
              <w:t>173,393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153,982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w w:val="95"/>
              </w:rPr>
              <w:t>149,261</w:t>
            </w:r>
          </w:p>
        </w:tc>
        <w:tc>
          <w:tcPr>
            <w:tcW w:w="20" w:type="dxa"/>
            <w:vAlign w:val="bottom"/>
          </w:tcPr>
          <w:p>
            <w:pPr>
              <w:spacing w:after="0"/>
              <w:rPr>
                <w:sz w:val="22"/>
                <w:szCs w:val="22"/>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July 31,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Income</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5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2011</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2"/>
                <w:szCs w:val="22"/>
                <w:color w:val="auto"/>
              </w:rPr>
            </w:pPr>
          </w:p>
        </w:tc>
      </w:tr>
      <w:tr>
        <w:trPr>
          <w:trHeight w:val="250"/>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to Business Products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74,479</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71,991</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70,706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19,504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19,925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15,234</w:t>
            </w:r>
          </w:p>
        </w:tc>
        <w:tc>
          <w:tcPr>
            <w:tcW w:w="20" w:type="dxa"/>
            <w:vAlign w:val="bottom"/>
            <w:shd w:val="clear" w:color="auto" w:fill="CCEEFF"/>
          </w:tcPr>
          <w:p>
            <w:pPr>
              <w:spacing w:after="0"/>
              <w:rPr>
                <w:sz w:val="24"/>
                <w:szCs w:val="24"/>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Retail and Wholesale Products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152,276</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147,059</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165,539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10,439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11,669</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16,721</w:t>
            </w:r>
          </w:p>
        </w:tc>
        <w:tc>
          <w:tcPr>
            <w:tcW w:w="20" w:type="dxa"/>
            <w:vAlign w:val="bottom"/>
            <w:tcBorders>
              <w:bottom w:val="single" w:sz="8" w:color="auto"/>
            </w:tcBorders>
          </w:tcPr>
          <w:p>
            <w:pPr>
              <w:spacing w:after="0"/>
              <w:rPr>
                <w:sz w:val="22"/>
                <w:szCs w:val="22"/>
                <w:color w:val="auto"/>
              </w:rPr>
            </w:pPr>
          </w:p>
        </w:tc>
      </w:tr>
      <w:tr>
        <w:trPr>
          <w:trHeight w:val="25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Sales/Operating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8"/>
              </w:rPr>
              <w:t>226,755</w:t>
            </w:r>
          </w:p>
        </w:tc>
        <w:tc>
          <w:tcPr>
            <w:tcW w:w="2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219,050</w:t>
            </w:r>
          </w:p>
        </w:tc>
        <w:tc>
          <w:tcPr>
            <w:tcW w:w="2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236,245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29,943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31,594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31,955</w:t>
            </w:r>
          </w:p>
        </w:tc>
        <w:tc>
          <w:tcPr>
            <w:tcW w:w="20" w:type="dxa"/>
            <w:vAlign w:val="bottom"/>
            <w:shd w:val="clear" w:color="auto" w:fill="CCEEFF"/>
          </w:tcPr>
          <w:p>
            <w:pPr>
              <w:spacing w:after="0"/>
              <w:rPr>
                <w:sz w:val="22"/>
                <w:szCs w:val="22"/>
                <w:color w:val="auto"/>
              </w:rPr>
            </w:pPr>
          </w:p>
        </w:tc>
      </w:tr>
      <w:tr>
        <w:trPr>
          <w:trHeight w:val="258"/>
        </w:trPr>
        <w:tc>
          <w:tcPr>
            <w:tcW w:w="5500" w:type="dxa"/>
            <w:vAlign w:val="bottom"/>
          </w:tcPr>
          <w:p>
            <w:pPr>
              <w:ind w:left="4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6"/>
        </w:trPr>
        <w:tc>
          <w:tcPr>
            <w:tcW w:w="5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Expenses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15,810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17,561</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17,101</w:t>
            </w:r>
          </w:p>
        </w:tc>
        <w:tc>
          <w:tcPr>
            <w:tcW w:w="20" w:type="dxa"/>
            <w:vAlign w:val="bottom"/>
            <w:shd w:val="clear" w:color="auto" w:fill="CCEEFF"/>
          </w:tcPr>
          <w:p>
            <w:pPr>
              <w:spacing w:after="0"/>
              <w:rPr>
                <w:sz w:val="24"/>
                <w:szCs w:val="24"/>
                <w:color w:val="auto"/>
              </w:rPr>
            </w:pPr>
          </w:p>
        </w:tc>
      </w:tr>
      <w:tr>
        <w:trPr>
          <w:trHeight w:val="264"/>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Interest Expense, Net of Interest Income</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1,992</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1,219</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1,545</w:t>
            </w:r>
          </w:p>
        </w:tc>
        <w:tc>
          <w:tcPr>
            <w:tcW w:w="20" w:type="dxa"/>
            <w:vAlign w:val="bottom"/>
            <w:tcBorders>
              <w:bottom w:val="single" w:sz="8" w:color="auto"/>
            </w:tcBorders>
          </w:tcPr>
          <w:p>
            <w:pPr>
              <w:spacing w:after="0"/>
              <w:rPr>
                <w:sz w:val="22"/>
                <w:szCs w:val="22"/>
                <w:color w:val="auto"/>
              </w:rPr>
            </w:pPr>
          </w:p>
        </w:tc>
      </w:tr>
      <w:tr>
        <w:trPr>
          <w:trHeight w:val="25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12,141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12,814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13,309</w:t>
            </w:r>
          </w:p>
        </w:tc>
        <w:tc>
          <w:tcPr>
            <w:tcW w:w="20" w:type="dxa"/>
            <w:vAlign w:val="bottom"/>
            <w:shd w:val="clear" w:color="auto" w:fill="CCEEFF"/>
          </w:tcPr>
          <w:p>
            <w:pPr>
              <w:spacing w:after="0"/>
              <w:rPr>
                <w:sz w:val="22"/>
                <w:szCs w:val="22"/>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Income Taxes Provision</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(3,090)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(3,356)</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w:t>
            </w:r>
          </w:p>
        </w:tc>
        <w:tc>
          <w:tcPr>
            <w:tcW w:w="20" w:type="dxa"/>
            <w:vAlign w:val="bottom"/>
            <w:tcBorders>
              <w:bottom w:val="single" w:sz="8" w:color="auto"/>
            </w:tcBorders>
          </w:tcPr>
          <w:p>
            <w:pPr>
              <w:spacing w:after="0"/>
              <w:rPr>
                <w:sz w:val="22"/>
                <w:szCs w:val="2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9,051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9,458</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9,586</w:t>
            </w:r>
          </w:p>
        </w:tc>
        <w:tc>
          <w:tcPr>
            <w:tcW w:w="20" w:type="dxa"/>
            <w:vAlign w:val="bottom"/>
            <w:shd w:val="clear" w:color="auto" w:fill="CCEEFF"/>
          </w:tcPr>
          <w:p>
            <w:pPr>
              <w:spacing w:after="0"/>
              <w:rPr>
                <w:sz w:val="21"/>
                <w:szCs w:val="2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financial information by geographic region for the years ended July 31: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r>
      <w:tr>
        <w:trPr>
          <w:trHeight w:val="27"/>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to unaffiliated customers: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214,239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205,322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222,798</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12,516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13,728</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4,949</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4,830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12,815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13,318</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13,812</w:t>
            </w: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(674)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(504)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2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9,618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9,977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10,145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(567)</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163,696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144,558</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139,569</w:t>
            </w: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9,697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9,424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9,692</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gridSpan w:val="5"/>
          </w:tcPr>
          <w:p>
            <w:pPr>
              <w:ind w:left="660"/>
              <w:spacing w:after="0"/>
              <w:rPr>
                <w:sz w:val="20"/>
                <w:szCs w:val="20"/>
                <w:color w:val="auto"/>
              </w:rPr>
            </w:pPr>
            <w:r>
              <w:rPr>
                <w:rFonts w:ascii="Arial" w:cs="Arial" w:eastAsia="Arial" w:hAnsi="Arial"/>
                <w:sz w:val="18"/>
                <w:szCs w:val="18"/>
                <w:color w:val="auto"/>
                <w:w w:val="91"/>
              </w:rPr>
              <w:t>Our largest customer accounted for the following percentage of consolidated net sales and net accounts receivable:</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4160" w:type="dxa"/>
            <w:vAlign w:val="bottom"/>
          </w:tcPr>
          <w:p>
            <w:pPr>
              <w:spacing w:after="0"/>
              <w:rPr>
                <w:sz w:val="24"/>
                <w:szCs w:val="24"/>
                <w:color w:val="auto"/>
              </w:rPr>
            </w:pPr>
          </w:p>
        </w:tc>
        <w:tc>
          <w:tcPr>
            <w:tcW w:w="4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7"/>
        </w:trPr>
        <w:tc>
          <w:tcPr>
            <w:tcW w:w="41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for the years ended July 31</w:t>
            </w:r>
          </w:p>
        </w:tc>
        <w:tc>
          <w:tcPr>
            <w:tcW w:w="43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26%</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Net accounts receivable as of July 31</w:t>
            </w:r>
          </w:p>
        </w:tc>
        <w:tc>
          <w:tcPr>
            <w:tcW w:w="4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8"/>
              </w:rPr>
              <w:t>32%</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38%</w:t>
            </w:r>
          </w:p>
        </w:tc>
      </w:tr>
      <w:tr>
        <w:trPr>
          <w:trHeight w:val="486"/>
        </w:trPr>
        <w:tc>
          <w:tcPr>
            <w:tcW w:w="4160" w:type="dxa"/>
            <w:vAlign w:val="bottom"/>
          </w:tcPr>
          <w:p>
            <w:pPr>
              <w:spacing w:after="0"/>
              <w:rPr>
                <w:sz w:val="24"/>
                <w:szCs w:val="24"/>
                <w:color w:val="auto"/>
              </w:rPr>
            </w:pPr>
          </w:p>
        </w:tc>
        <w:tc>
          <w:tcPr>
            <w:tcW w:w="3160" w:type="dxa"/>
            <w:vAlign w:val="bottom"/>
          </w:tcPr>
          <w:p>
            <w:pPr>
              <w:jc w:val="right"/>
              <w:ind w:right="1430"/>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3 – NOTES PAYABLE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The composition of notes payable at July 31 is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Prudential Insurance Company of America, Prudential Retirement Insurance and Annuity Company, Forethought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Life Insurance Company, Physicians Mutual Insurance Company and BCBSM, Inc.</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80"/>
              <w:spacing w:after="0"/>
              <w:rPr>
                <w:sz w:val="20"/>
                <w:szCs w:val="20"/>
                <w:color w:val="auto"/>
              </w:rPr>
            </w:pPr>
            <w:r>
              <w:rPr>
                <w:rFonts w:ascii="Arial" w:cs="Arial" w:eastAsia="Arial" w:hAnsi="Arial"/>
                <w:sz w:val="18"/>
                <w:szCs w:val="18"/>
                <w:color w:val="auto"/>
                <w:w w:val="96"/>
              </w:rPr>
              <w:t>Payable in annual principal installments on August 1: $3,083 in each fiscal year 2016 through 2021. Interest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18,500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is payable semiannually at an annual rate of 3.96%.</w:t>
            </w:r>
          </w:p>
        </w:tc>
        <w:tc>
          <w:tcPr>
            <w:tcW w:w="2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Prudential Financial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Payable in annual principal installments on April 15: $1,500 in fiscal 2012 and 2013. Interest is payable</w:t>
            </w:r>
          </w:p>
        </w:tc>
        <w:tc>
          <w:tcPr>
            <w:tcW w:w="28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3,000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semiannually at an annual rate of 6.55%.</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Prudential Insurance Company of America and Prudential Retirement Insurance and Annuity Company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80"/>
              <w:spacing w:after="0"/>
              <w:rPr>
                <w:sz w:val="20"/>
                <w:szCs w:val="20"/>
                <w:color w:val="auto"/>
              </w:rPr>
            </w:pPr>
            <w:r>
              <w:rPr>
                <w:rFonts w:ascii="Arial" w:cs="Arial" w:eastAsia="Arial" w:hAnsi="Arial"/>
                <w:sz w:val="18"/>
                <w:szCs w:val="18"/>
                <w:color w:val="auto"/>
                <w:w w:val="97"/>
              </w:rPr>
              <w:t>Payable in annual principal installments on October 15: $2,100 in fiscal 2012; $2,300 in fiscal 2013; $3,500</w:t>
            </w:r>
          </w:p>
        </w:tc>
        <w:tc>
          <w:tcPr>
            <w:tcW w:w="28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11,800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80"/>
              <w:spacing w:after="0"/>
              <w:rPr>
                <w:sz w:val="20"/>
                <w:szCs w:val="20"/>
                <w:color w:val="auto"/>
              </w:rPr>
            </w:pPr>
            <w:r>
              <w:rPr>
                <w:rFonts w:ascii="Arial" w:cs="Arial" w:eastAsia="Arial" w:hAnsi="Arial"/>
                <w:sz w:val="18"/>
                <w:szCs w:val="18"/>
                <w:color w:val="auto"/>
                <w:w w:val="95"/>
              </w:rPr>
              <w:t>in fiscal 2014 and 2015; and $400 in fiscal 2016. Interest is payable semiannually at an annual rate of 5.89%.</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33,300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43"/>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29,700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$18,500,000 of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 $25,000,000 Note Purchase Agreement with Prudential Financial. This agreement includes a fixed charges ratio covenant of 1.50 to 1.00.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additional interest charge of 0.25% will be incurred for any fiscal quarter end for which the fixed charge coverage ratio is less than required amount.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and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 $15,000,000 unsecured revolving credit agreement with Harris N.A. (“Harris”) effective until December 31, 2011. The credit agreement with Harris provides that we may select a variable rate based on either Harris’ prime rate or a LIBOR-based rate, plus a margin which varies depending on our debt to earnings ratio, or a fixed rate as agreed between us and Harris. As of July 31, 2011 and 2010, there were no outstanding borrowings under this credit facility. At July 31, 2011, the variable rates would have been 3.3% for the Harris’ prime-based rate or .8% for the LIBOR-based rate. At July 31, 2010, the variable rates would have been 3.3% for the Harris’ prime-based rate or 1.6%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agreements with Prudential Financial and Harris impose working capital requirements, dividend and financing limitations, minimum tangible net worth requirements and other restrictions. Our credit agreement with Harris indirectly restricts dividends by requiring us to maintain consolidated net worth, as defined, of about $56,760,000 plus 25% of cumulative quarterly earnings from January 31, 2006.</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debt agreements also contain provisions such that if we default on one debt agreement, the others will automatically default. If we default on any guaranteed debt with a balance greater than $1,000,000, our unsecured revolving credit agreement with Harris will be considered in default. If we default on any debt with a balance greater than $5,000,000 we will also be considered in default on the note agreement with Prudential Financial and with the promissory notes to The Prudential Insurance Company of America and Prudential Retirement Insurance and Annuity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3,800</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Later years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18,900</w:t>
            </w:r>
          </w:p>
        </w:tc>
      </w:tr>
      <w:tr>
        <w:trPr>
          <w:trHeight w:val="237"/>
        </w:trPr>
        <w:tc>
          <w:tcPr>
            <w:tcW w:w="5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33,300</w:t>
            </w:r>
          </w:p>
        </w:tc>
      </w:tr>
      <w:tr>
        <w:trPr>
          <w:trHeight w:val="27"/>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56"/>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1150"/>
              <w:spacing w:after="0"/>
              <w:rPr>
                <w:sz w:val="20"/>
                <w:szCs w:val="20"/>
                <w:color w:val="auto"/>
              </w:rPr>
            </w:pPr>
            <w:r>
              <w:rPr>
                <w:rFonts w:ascii="Arial" w:cs="Arial" w:eastAsia="Arial" w:hAnsi="Arial"/>
                <w:sz w:val="18"/>
                <w:szCs w:val="18"/>
                <w:color w:val="auto"/>
                <w:w w:val="89"/>
              </w:rPr>
              <w:t>50</w:t>
            </w: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229"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w:t>
      </w:r>
    </w:p>
    <w:p>
      <w:pPr>
        <w:spacing w:after="0" w:line="3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760" w:hanging="455"/>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760" w:hanging="455"/>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760" w:hanging="455"/>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1300" w:right="20" w:hanging="1269"/>
        <w:spacing w:after="0" w:line="264" w:lineRule="auto"/>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financial assets and liabilities that were reported at fair value by level within the fair value hierarchy: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1"/>
              </w:rPr>
              <w:t>Fair Value at July 31, 2011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10,020</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Marketable equity securities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4,032</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These cash instruments are primarily money market mutual funds.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securities represent stock we own in one publicly traded company and are included in other noncurrent assets on the Consolidated Balance Sheets.</w:t>
      </w:r>
    </w:p>
    <w:p>
      <w:pPr>
        <w:spacing w:after="0" w:line="23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July 31, 2011. The cash surrender value of life insurance is included in other assets on the Consolidated Balance Sheets.</w:t>
      </w:r>
    </w:p>
    <w:p>
      <w:pPr>
        <w:spacing w:after="0" w:line="187"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6"/>
          <w:szCs w:val="16"/>
          <w:color w:val="auto"/>
        </w:rPr>
        <w:t>The investment in short-term securities on the Consolidated Balance Sheets includes U.S. Treasury securities, certificates of deposit and debt securities. We intend and have the ability to hold our investment in short-term securities to maturity; therefore, these investments were reported at amortized cost on the Consolidated Balance sheets, which approximated fair value as of July 31, 2011, and these balances are excluded from the above table.</w:t>
      </w:r>
    </w:p>
    <w:p>
      <w:pPr>
        <w:spacing w:after="0" w:line="14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2011 and 2010 due to the short maturity and nature of those balances; therefore, these balances are excluded from the above 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 expense (benefit) at July 31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6"/>
          </w:tcPr>
          <w:p>
            <w:pPr>
              <w:ind w:left="4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State</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4,597</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8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563</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3,053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3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3,090</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400" w:type="dxa"/>
            <w:vAlign w:val="bottom"/>
            <w:gridSpan w:val="13"/>
          </w:tcPr>
          <w:p>
            <w:pPr>
              <w:spacing w:after="0"/>
              <w:rPr>
                <w:sz w:val="20"/>
                <w:szCs w:val="20"/>
                <w:color w:val="auto"/>
              </w:rPr>
            </w:pPr>
            <w:r>
              <w:rPr>
                <w:rFonts w:ascii="Arial" w:cs="Arial" w:eastAsia="Arial" w:hAnsi="Arial"/>
                <w:sz w:val="18"/>
                <w:szCs w:val="18"/>
                <w:color w:val="auto"/>
                <w:w w:val="98"/>
              </w:rPr>
              <w:t>Principal reasons for variations between the statutory federal rate and the effective rates for the years ended July 31 were as follows: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rate</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34.0 %</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Depletion deductions allowed for mining</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(8.7)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expense</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Foreign tax restructuring</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0.8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effective tax rate of foreign subsidiaries</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Empowerment zone credits</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release</w:t>
            </w:r>
          </w:p>
        </w:tc>
        <w:tc>
          <w:tcPr>
            <w:tcW w:w="2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25.5 %</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Balance Sheets as of July 31 included the following tax effects of cumulative temporary differences: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2011</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2010</w:t>
            </w:r>
          </w:p>
        </w:tc>
        <w:tc>
          <w:tcPr>
            <w:tcW w:w="9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2,943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Marketing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3,106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426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Reclamation and other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assets – foreign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9,767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6,467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2011, we had alternative minimum tax (“AMT”) credit carryforwards for federal income tax purposes of approximately $3,106,000, which can be carried forward indefinitely or until utilized. A number of factors determine whether or not we will be able to utilize the AMT credit carryforwards. We believe it is more likely than not that we will not realize a benefit from the carryforwards; therefore, a valuation allowance has been established for the full amount of the deferred tax benefit related to the AMT tax credits.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2011, we have provided for income taxes related to previously untaxed earnings of foreign subsidiaries. Due to the availability of foreign tax credits, the additional income tax expense related to these foreign earnings was not material.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2011, we decreased our liability for unrecognized tax benefits (“UTBs”) based on tax positions related to the current and prior fiscal years. Reconciliations of the beginning and ending amount of UTBs for the years ended July 31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 beginning of year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643</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year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from prior years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Gross balance –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UTBs that, if recognized as of July 31, 2011, would affect our effective tax rate was $138,000. We are subject to U.S. federal income tax as well as income tax in multiple state and foreign jurisdictions. Our federal income tax returns for the fiscal years ended July 31, 2008, 2009 and 2010 remain open and are currently under examination.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no material open or unsettled state, local or foreign income tax audits. We believe our accrual for tax liabilities is adequate for all open audit years.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classify interest and penalty accruals related to UTBs as income tax expense. During fiscal 2011, we recognized an immaterial amount of interest and penalties. As of July 31, 2011, we had accrued $7,000 for the payment of interest and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2011 and 2010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share-for-share basis into Common Stock at any time and is subject to mandatory conversion under certain circumstances.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Common Stock is entitled to cash dividends, as and when declared or paid, equal to at least 133 1/3%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 1/3% of the sum of the per share cash dividend paid on Class B Stock and Class A Common Stock. See Note 3 regarding dividend restrictions.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The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authorized in the aggregate the repurchase of 3,416,771 shares of the Company stock. As of July 31, 2011, 2,707,653 shares of Common Stock and 342,241 shares of Class B Stock have been repurchased under the Board approved repurchase authorizations and 146,545 shares of Common Stock by other transactions authorized by management prior to the adoption of the Board’s repurchase authorizations.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determined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options currently outstanding have a term of 10 years. All stock options issued under our plans have an exercise price equal to the closing market price on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were granted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vest 25% two years after the grant date and 25% in each of the three following anniversaries of the grant date. The 1995 Plan expired for purposes of issuing new grants on August 5, 2005. All shares of stock issued upon option exercises under this plan were from authorized but unissued stock; all shares of restricted stock issued were from treasury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229,115 shares of restricted stock have been issued under the 2006 Plan.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who are considered employees, at an option price per share of 100% of the fair market value of Common Stock on the date of grant. Stock options have been granted to our directors for a 10-year term with a one year vesting period. There are 18,750 shares outstanding and no shares are available for future grants under this plan. All shares of stock issued under the Directors’ Plan were from treasury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further issuance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 to be</w:t>
            </w: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understanding options (in</w:t>
            </w:r>
          </w:p>
        </w:tc>
        <w:tc>
          <w:tcPr>
            <w:tcW w:w="20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price of outstanding options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 (in thousands)</w:t>
            </w:r>
          </w:p>
        </w:tc>
        <w:tc>
          <w:tcPr>
            <w:tcW w:w="0" w:type="dxa"/>
            <w:vAlign w:val="bottom"/>
          </w:tcPr>
          <w:p>
            <w:pPr>
              <w:spacing w:after="0"/>
              <w:rPr>
                <w:sz w:val="1"/>
                <w:szCs w:val="1"/>
                <w:color w:val="auto"/>
              </w:rPr>
            </w:pPr>
          </w:p>
        </w:tc>
      </w:tr>
      <w:tr>
        <w:trPr>
          <w:trHeight w:val="276"/>
        </w:trPr>
        <w:tc>
          <w:tcPr>
            <w:tcW w:w="572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700" w:type="dxa"/>
            <w:vAlign w:val="bottom"/>
          </w:tcPr>
          <w:p>
            <w:pPr>
              <w:jc w:val="right"/>
              <w:ind w:right="643"/>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$11.18</w:t>
            </w:r>
          </w:p>
        </w:tc>
        <w:tc>
          <w:tcPr>
            <w:tcW w:w="200" w:type="dxa"/>
            <w:vAlign w:val="bottom"/>
          </w:tcPr>
          <w:p>
            <w:pPr>
              <w:spacing w:after="0"/>
              <w:rPr>
                <w:sz w:val="21"/>
                <w:szCs w:val="21"/>
                <w:color w:val="auto"/>
              </w:rPr>
            </w:pPr>
          </w:p>
        </w:tc>
        <w:tc>
          <w:tcPr>
            <w:tcW w:w="1480" w:type="dxa"/>
            <w:vAlign w:val="bottom"/>
          </w:tcPr>
          <w:p>
            <w:pPr>
              <w:jc w:val="right"/>
              <w:ind w:right="525"/>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0"/>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700" w:type="dxa"/>
            <w:vAlign w:val="bottom"/>
          </w:tcPr>
          <w:p>
            <w:pPr>
              <w:jc w:val="right"/>
              <w:ind w:right="683"/>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$10.35</w:t>
            </w:r>
          </w:p>
        </w:tc>
        <w:tc>
          <w:tcPr>
            <w:tcW w:w="2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660"/>
              <w:spacing w:after="0"/>
              <w:rPr>
                <w:sz w:val="20"/>
                <w:szCs w:val="20"/>
                <w:color w:val="auto"/>
              </w:rPr>
            </w:pPr>
            <w:r>
              <w:rPr>
                <w:rFonts w:ascii="Arial" w:cs="Arial" w:eastAsia="Arial" w:hAnsi="Arial"/>
                <w:sz w:val="18"/>
                <w:szCs w:val="18"/>
                <w:color w:val="auto"/>
                <w:w w:val="93"/>
              </w:rPr>
              <w:t>A summary of option transactions under the plans is shown below.</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3"/>
        </w:trPr>
        <w:tc>
          <w:tcPr>
            <w:tcW w:w="5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62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62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620" w:type="dxa"/>
            <w:vAlign w:val="bottom"/>
          </w:tcPr>
          <w:p>
            <w:pPr>
              <w:spacing w:after="0"/>
              <w:rPr>
                <w:sz w:val="20"/>
                <w:szCs w:val="20"/>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2008</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vested at July 31, 2008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3,661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unvested at July 31, 2008</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2009</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vested at July 31, 2009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unvested at July 31, 2009</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Options outstanding at July 31, 2010</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at July 31, 2010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unvested at July 31, 2010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at July 31, 2011</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189</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11.10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2.8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1,882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vested at July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Options unvested at July 31, 2011</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17.00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453"/>
        </w:trPr>
        <w:tc>
          <w:tcPr>
            <w:tcW w:w="56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cash received from the exercise of options during the fiscal year ended July 31, 2011 was approximately $2,867,000 and the related tax benefit was approximately $831,000. The amount of cash received from the exercise of options during the fiscal year ended July 31, 2010 was approximately $3,242,000 and the related tax benefit was approximately $849,000. The amount of cash received from the exercise of options during the fiscal year ended July 31, 2009 was approximately $1,783,000 and the related tax benefit was approximately $302,000.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rPr>
              <w:t>OPTIONS OUTSTANDING AND EXERCISABLE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6"/>
          </w:tcPr>
          <w:p>
            <w:pPr>
              <w:jc w:val="right"/>
              <w:ind w:right="730"/>
              <w:spacing w:after="0"/>
              <w:rPr>
                <w:sz w:val="20"/>
                <w:szCs w:val="20"/>
                <w:color w:val="auto"/>
              </w:rPr>
            </w:pPr>
            <w:r>
              <w:rPr>
                <w:rFonts w:ascii="Arial" w:cs="Arial" w:eastAsia="Arial" w:hAnsi="Arial"/>
                <w:sz w:val="18"/>
                <w:szCs w:val="18"/>
                <w:b w:val="1"/>
                <w:bCs w:val="1"/>
                <w:color w:val="auto"/>
              </w:rPr>
              <w:t>BY PRICE RANGE AS OF July 31, 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80" w:type="dxa"/>
            <w:vAlign w:val="bottom"/>
            <w:gridSpan w:val="3"/>
          </w:tcPr>
          <w:p>
            <w:pPr>
              <w:ind w:left="18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Outstanding(in</w:t>
            </w:r>
          </w:p>
        </w:tc>
        <w:tc>
          <w:tcPr>
            <w:tcW w:w="2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 Life</w:t>
            </w: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Exercise</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2880" w:type="dxa"/>
            <w:vAlign w:val="bottom"/>
            <w:gridSpan w:val="2"/>
          </w:tcPr>
          <w:p>
            <w:pPr>
              <w:ind w:left="380"/>
              <w:spacing w:after="0"/>
              <w:rPr>
                <w:sz w:val="20"/>
                <w:szCs w:val="20"/>
                <w:color w:val="auto"/>
              </w:rPr>
            </w:pPr>
            <w:r>
              <w:rPr>
                <w:rFonts w:ascii="Arial" w:cs="Arial" w:eastAsia="Arial" w:hAnsi="Arial"/>
                <w:sz w:val="18"/>
                <w:szCs w:val="18"/>
                <w:b w:val="1"/>
                <w:bCs w:val="1"/>
                <w:color w:val="auto"/>
              </w:rPr>
              <w:t>Range of Exercise Prices</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 Price</w:t>
            </w: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$3.40 - $5.10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9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0.21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$5.11 - $6.80</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$6.81 - $8.50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$8.51 - $10.20</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2.08</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$10.21 - $11.90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$11.91 - $13.60</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3.18</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$13.61 - $15.30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9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4.87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$15.31 - $17.00</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9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4.94</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2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$3.40 - $17.00</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9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2.82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A five-for-four stock split was declared by our Board on June 6, 2006, during our fiscal year 2006. In keeping with historical practices, we have adjusted the number of shares and the option prices to equitably adjust all outstanding stock options. Under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Director’s Plan and the 1995 Plan may be deemed to have been discretionary, rather than required by the actual terms of these plans. We recognized additional stock-based compensation expense of $117,000 in fiscal 2009, which was the last year this additional expense was incurred.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2011, we had a total of approximately $4,000 in unamortized expense associated with all outstanding stock options. The weighted average period over which this expense is expected to be amortized is 0.3 years. As of July 31, 2010 and July 31, 2009, we had total unamortized compensation expense of approximately $18,000 and $47,000, respectively. The weighted average period over which this expense was expected to be amortized was 1.3 years and 1.7 years at July 31, 2010 and July 31, 2009,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in fiscal years 2011, 2010 or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1995 Plan and 2006 Plan both provide for grants of restricted stock. The vesting schedule under the 1995 Plan has varied, but has been three years or less. Under the 2006 Plan, the grants issued so far have vesting periods between 2 years and 5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Term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(in</w:t>
            </w:r>
          </w:p>
        </w:tc>
      </w:tr>
      <w:tr>
        <w:trPr>
          <w:trHeight w:val="234"/>
        </w:trPr>
        <w:tc>
          <w:tcPr>
            <w:tcW w:w="53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outstanding at July 31, 2008</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$15.42</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$674</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Vested</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(20)</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$15.50</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outstanding at July 31, 2009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$15.37</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$383</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$15.10</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$15.37</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Unvested restricted stock outstanding at July 31, 2010</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$15.31</w:t>
            </w: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$156</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Granted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134</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$21.78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40"/>
              <w:spacing w:after="0"/>
              <w:rPr>
                <w:sz w:val="20"/>
                <w:szCs w:val="20"/>
                <w:color w:val="auto"/>
              </w:rPr>
            </w:pPr>
            <w:r>
              <w:rPr>
                <w:rFonts w:ascii="Arial" w:cs="Arial" w:eastAsia="Arial" w:hAnsi="Arial"/>
                <w:sz w:val="18"/>
                <w:szCs w:val="18"/>
                <w:b w:val="1"/>
                <w:bCs w:val="1"/>
                <w:color w:val="auto"/>
              </w:rPr>
              <w:t>Vested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(18)</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$15.37</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restricted stock outstanding at July 31, 2011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139</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$21.54</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$2,446</w:t>
            </w:r>
          </w:p>
        </w:tc>
      </w:tr>
      <w:tr>
        <w:trPr>
          <w:trHeight w:val="20"/>
        </w:trPr>
        <w:tc>
          <w:tcPr>
            <w:tcW w:w="5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provide a defined benefit pension plan for eligible salaried and hourly employees. Pension benefits are based on a formula of years of credited service and levels of compensation or stated amounts for each year of credited service.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provide a postretirement health benefit plan to domestic salaried employees who retire prior to reaching age 65, have at least 17 years of continuous service, have attained at least 55 years of age and whose age plus years of service equals at least 80. Eligible employees may elect to continue their health care coverage under the Oil-Dri Corporation of America Employee Benefits Plan until they reach the age of 65.</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30 or 60 days of employment. Our contributions to this plan, and to similar plans maintained by our foreign subsidiaries, were $714,000 for the fiscal year ended July 31, 2011 and $660,000 for each of the fiscal years ended July 31, 2010 and 2009.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plans’ funded status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27,994</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24,529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1,933</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1,636</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1,507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31,142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27,994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17,287</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15,619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1,281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6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19,878</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17,287</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$25,734,000 as of July 31, 2011 and $22,912,000 as of July 31, 2010.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Postretirement Health</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–net of tax:</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4,833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1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(2,766)</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(861)</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320" w:type="dxa"/>
            <w:vAlign w:val="bottom"/>
            <w:vMerge w:val="restart"/>
          </w:tcPr>
          <w:p>
            <w:pPr>
              <w:jc w:val="right"/>
              <w:ind w:right="23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components of the net periodic pension and postretirement health benefit costs for the fiscal years ended July 31(in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5"/>
              </w:rPr>
              <w:t>Postretirement Health Benefit Cost</w:t>
            </w:r>
          </w:p>
        </w:tc>
      </w:tr>
      <w:tr>
        <w:trPr>
          <w:trHeight w:val="27"/>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r>
      <w:tr>
        <w:trPr>
          <w:trHeight w:val="27"/>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Prior service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amounts, net of tax, that are components of other comprehensive income for the fiscal years ended July 31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2010</w:t>
            </w: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20"/>
              <w:spacing w:after="0"/>
              <w:rPr>
                <w:sz w:val="20"/>
                <w:szCs w:val="20"/>
                <w:color w:val="auto"/>
              </w:rPr>
            </w:pPr>
            <w:r>
              <w:rPr>
                <w:rFonts w:ascii="Arial" w:cs="Arial" w:eastAsia="Arial" w:hAnsi="Arial"/>
                <w:sz w:val="18"/>
                <w:szCs w:val="18"/>
                <w:color w:val="auto"/>
              </w:rPr>
              <w:t>Net transition obligation</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amortization amounts, net of tax, expected to be recognized in fiscal 2012 in accumulated other comprehensive income (in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3"/>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Postretirement Health</w:t>
            </w:r>
          </w:p>
        </w:tc>
      </w:tr>
      <w:tr>
        <w:trPr>
          <w:trHeight w:val="234"/>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Pension Benefits</w:t>
            </w: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74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We contributed approximately $1,281,000 and $922,000 during fiscal years 2011 and 2010, respectively. We expect to contribute approximately $1,070,000 in fiscal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96"/>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The following table shows the estimated future benefit payments (in thousands):</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Benefits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6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2013</w:t>
            </w:r>
          </w:p>
        </w:tc>
        <w:tc>
          <w:tcPr>
            <w:tcW w:w="6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2015</w:t>
            </w:r>
          </w:p>
        </w:tc>
        <w:tc>
          <w:tcPr>
            <w:tcW w:w="6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2017-21</w:t>
            </w:r>
          </w:p>
        </w:tc>
        <w:tc>
          <w:tcPr>
            <w:tcW w:w="6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7,617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827</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6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12,685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pension benefit and postretirement health benefit obligations and the related effects on operations are calculated using actuarial models. Critical assumptions that are important elements of plan expense and asset/liability measurement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 The assumptions used in the previous calculations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5700" w:type="dxa"/>
            <w:vAlign w:val="bottom"/>
          </w:tcPr>
          <w:p>
            <w:pPr>
              <w:spacing w:after="0"/>
              <w:rPr>
                <w:sz w:val="20"/>
                <w:szCs w:val="20"/>
                <w:color w:val="auto"/>
              </w:rPr>
            </w:pPr>
          </w:p>
        </w:tc>
        <w:tc>
          <w:tcPr>
            <w:tcW w:w="268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20" w:type="dxa"/>
            <w:vAlign w:val="bottom"/>
          </w:tcPr>
          <w:p>
            <w:pPr>
              <w:spacing w:after="0"/>
              <w:rPr>
                <w:sz w:val="20"/>
                <w:szCs w:val="20"/>
                <w:color w:val="auto"/>
              </w:rPr>
            </w:pPr>
          </w:p>
        </w:tc>
        <w:tc>
          <w:tcPr>
            <w:tcW w:w="152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20"/>
                <w:szCs w:val="20"/>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2011</w:t>
            </w:r>
          </w:p>
        </w:tc>
        <w:tc>
          <w:tcPr>
            <w:tcW w:w="15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5.50%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7"/>
              </w:rPr>
              <w:t>5.50%</w:t>
            </w:r>
          </w:p>
        </w:tc>
        <w:tc>
          <w:tcPr>
            <w:tcW w:w="152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0"/>
              </w:rPr>
              <w:t>6.00%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5.25%</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5.50%</w:t>
            </w:r>
          </w:p>
        </w:tc>
        <w:tc>
          <w:tcPr>
            <w:tcW w:w="300" w:type="dxa"/>
            <w:vAlign w:val="bottom"/>
          </w:tcPr>
          <w:p>
            <w:pPr>
              <w:spacing w:after="0"/>
              <w:rPr>
                <w:sz w:val="21"/>
                <w:szCs w:val="21"/>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5.25%</w:t>
            </w:r>
          </w:p>
        </w:tc>
        <w:tc>
          <w:tcPr>
            <w:tcW w:w="152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5.50%</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7.50%</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7.50%</w:t>
            </w:r>
          </w:p>
        </w:tc>
        <w:tc>
          <w:tcPr>
            <w:tcW w:w="300" w:type="dxa"/>
            <w:vAlign w:val="bottom"/>
          </w:tcPr>
          <w:p>
            <w:pPr>
              <w:spacing w:after="0"/>
              <w:rPr>
                <w:sz w:val="21"/>
                <w:szCs w:val="21"/>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discount rate for fiscal 2011 and 2010 was the single equivalent rate that would yield the same present value as the plan’s expected cashflows discounted with spot rates on a yield curve of investment-grade corporate bonds. The yield curve is the Citigroup Pension Liability Index.</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expected rate of return on plan assets is determined by our asset allocation, our historical long-term investment performance, our estimate of future long-term returns by asset class (using input from our actuaries, investment services and investment managers), and long-term inflation assumptions. Our historical actual return averaged approximately 6.6% for the 10-year period ending July 31, 2011. The actual rate of return in fiscal 2011 was approximately 12.8%. Future actual pension expense will depend on future investment performance, changes in future discount rates and various other factors related to the population of participants in our pension plans.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2011 and 2010 the medical cost trend assumption was 8.5% and 9.0%, respectively. The graded trend rate is expected to decrease to an ultimate rate of 5% in 0.5% annual increments.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of a one-percentage point change in the assumed health care cost trend in the fiscal year ended July 31, 2011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538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53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Effect on total service and interest cost for fiscal year ended July 31,</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2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$(22)</w:t>
            </w:r>
          </w:p>
        </w:tc>
      </w:tr>
      <w:tr>
        <w:trPr>
          <w:trHeight w:val="229"/>
        </w:trPr>
        <w:tc>
          <w:tcPr>
            <w:tcW w:w="5380" w:type="dxa"/>
            <w:vAlign w:val="bottom"/>
          </w:tcPr>
          <w:p>
            <w:pPr>
              <w:ind w:left="40"/>
              <w:spacing w:after="0"/>
              <w:rPr>
                <w:sz w:val="20"/>
                <w:szCs w:val="20"/>
                <w:color w:val="auto"/>
              </w:rPr>
            </w:pPr>
            <w:r>
              <w:rPr>
                <w:rFonts w:ascii="Arial" w:cs="Arial" w:eastAsia="Arial" w:hAnsi="Arial"/>
                <w:sz w:val="18"/>
                <w:szCs w:val="18"/>
                <w:color w:val="auto"/>
                <w:w w:val="96"/>
              </w:rPr>
              <w:t>Effect on accumulated postretirement benefit obligation as of July 31,</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2011</w:t>
            </w: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0"/>
                <w:szCs w:val="20"/>
                <w:color w:val="auto"/>
              </w:rPr>
            </w:pPr>
          </w:p>
        </w:tc>
        <w:tc>
          <w:tcPr>
            <w:tcW w:w="1980" w:type="dxa"/>
            <w:vAlign w:val="bottom"/>
          </w:tcPr>
          <w:p>
            <w:pPr>
              <w:jc w:val="right"/>
              <w:ind w:right="650"/>
              <w:spacing w:after="0"/>
              <w:rPr>
                <w:sz w:val="20"/>
                <w:szCs w:val="20"/>
                <w:color w:val="auto"/>
              </w:rPr>
            </w:pPr>
            <w:r>
              <w:rPr>
                <w:rFonts w:ascii="Arial" w:cs="Arial" w:eastAsia="Arial" w:hAnsi="Arial"/>
                <w:sz w:val="18"/>
                <w:szCs w:val="18"/>
                <w:color w:val="auto"/>
              </w:rPr>
              <w:t>$(210)</w:t>
            </w:r>
          </w:p>
        </w:tc>
      </w:tr>
      <w:tr>
        <w:trPr>
          <w:trHeight w:val="486"/>
        </w:trPr>
        <w:tc>
          <w:tcPr>
            <w:tcW w:w="5380" w:type="dxa"/>
            <w:vAlign w:val="bottom"/>
          </w:tcPr>
          <w:p>
            <w:pPr>
              <w:spacing w:after="0"/>
              <w:rPr>
                <w:sz w:val="24"/>
                <w:szCs w:val="24"/>
                <w:color w:val="auto"/>
              </w:rPr>
            </w:pPr>
          </w:p>
        </w:tc>
        <w:tc>
          <w:tcPr>
            <w:tcW w:w="2280" w:type="dxa"/>
            <w:vAlign w:val="bottom"/>
          </w:tcPr>
          <w:p>
            <w:pPr>
              <w:jc w:val="right"/>
              <w:ind w:right="177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investment performance and the allocation of plan assets through quarterly investment portfolio reviews. Investment performance is measured by absolute returns, returns relative to benchmark indices and any other appropriate basis of comparison. The targeted allocation percentages of plan assets is shown below for fiscal 2012 and the actual allocation as of July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840" w:type="dxa"/>
            <w:vAlign w:val="bottom"/>
          </w:tcPr>
          <w:p>
            <w:pPr>
              <w:ind w:left="2980"/>
              <w:spacing w:after="0"/>
              <w:rPr>
                <w:sz w:val="20"/>
                <w:szCs w:val="20"/>
                <w:color w:val="auto"/>
              </w:rPr>
            </w:pPr>
            <w:r>
              <w:rPr>
                <w:rFonts w:ascii="Arial" w:cs="Arial" w:eastAsia="Arial" w:hAnsi="Arial"/>
                <w:sz w:val="18"/>
                <w:szCs w:val="18"/>
                <w:b w:val="1"/>
                <w:bCs w:val="1"/>
                <w:color w:val="auto"/>
              </w:rPr>
              <w:t>Asset Allocation</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accrued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13%</w:t>
            </w: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32%</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55%</w:t>
            </w:r>
          </w:p>
        </w:tc>
      </w:tr>
      <w:tr>
        <w:trPr>
          <w:trHeight w:val="473"/>
        </w:trPr>
        <w:tc>
          <w:tcPr>
            <w:tcW w:w="7220" w:type="dxa"/>
            <w:vAlign w:val="bottom"/>
            <w:gridSpan w:val="4"/>
          </w:tcPr>
          <w:p>
            <w:pPr>
              <w:ind w:left="260"/>
              <w:spacing w:after="0"/>
              <w:rPr>
                <w:sz w:val="20"/>
                <w:szCs w:val="20"/>
                <w:color w:val="auto"/>
              </w:rPr>
            </w:pPr>
            <w:r>
              <w:rPr>
                <w:rFonts w:ascii="Arial" w:cs="Arial" w:eastAsia="Arial" w:hAnsi="Arial"/>
                <w:sz w:val="18"/>
                <w:szCs w:val="18"/>
                <w:color w:val="auto"/>
                <w:w w:val="99"/>
              </w:rPr>
              <w:t>The fair value of our pension plan assets at July 31, 2011 by asset class are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3"/>
        </w:trPr>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Fair Value at July 31, 2011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 for</w:t>
            </w: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identical</w:t>
            </w:r>
          </w:p>
        </w:tc>
        <w:tc>
          <w:tcPr>
            <w:tcW w:w="16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84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sponsered entities</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57"/>
        </w:trPr>
        <w:tc>
          <w:tcPr>
            <w:tcW w:w="584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the fund allows up to 35% to be invested in emerging markets.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line="27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total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class invests at least 80% of its assets in directly in, or in derivative instruments that provide exposure to, emerging market bonds and other debt instruments denominated in the local currency of issue.</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not backed by the full faith and credit of the United States government.</w:t>
      </w:r>
    </w:p>
    <w:p>
      <w:pPr>
        <w:jc w:val="both"/>
        <w:ind w:left="660" w:right="2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class seek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1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fair value of our pension plan assets at July 31, 2010 by asset class are as follows:</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2"/>
              </w:rPr>
              <w:t>Fair Value at July 31, 2010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identical</w:t>
            </w: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Observable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2)</w:t>
            </w: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4760" w:type="dxa"/>
            <w:vAlign w:val="bottom"/>
          </w:tcPr>
          <w:p>
            <w:pPr>
              <w:ind w:left="16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U.S. companies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companies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Equity securities - international mutual funds: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6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U.S. Treasuries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some funds allow up to 35% to be invested in emerging markets.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a fund that invests in actively traded futures contracts traded on regulated futures exchanges and is managed to track the Deutsche Bank Liquid Commodity Index - Optimum Yield Diversified Excess Return.</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Oil-Dri Corporation of America Deferred Compensation Plan permits directors and certain management employees to defer portions of their compensation and to earn interest on the deferred amounts. The participants’ returns are set at our long-term cost of borrowing plus 1%. Participants have deferred $532,000 and $454,000 into these plans in fiscal years 2011 and 2010, respectively. We recorded $400,000 and $409,000 of interest expense associated with these plans in fiscal years 2011 and 2010, respectively. Payments to participants were $348,000 and $384,000 in fiscal 2011 and 2010, respectively, and the total liability recorded for deferred compensation was $6,701,000 and $6,269,000 at July 31, 2011 and 2010,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Oil-Dri Corporation of America Supplemental Executive Retirement Plan (“SERP”) provides certain retired participants in the Oil-Dri Corporation of America Pension Plan (“Retirement Plan”) with the amount of benefits that would have been provided under the Retirement Plan but for: (1) the limitations on benefits imposed by Section 415 of the Internal Revenue Code (“Code”), and/or (2) the limitation on compensation for purposes of calculating benefits under the Retirement Plan imposed by Section 401(a)(17) of the Code. We recorded approximately $24,000 and $103,000 in expense associated with this plan in the fiscal years ended July 31, 2011 and 2010, respectively. The plan is unfunded and we will fund benefits when payments are made. The total liability recorded for the SERP was $544,000 at July 31, 2011 and $520,000 at July 31, 2010.</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Financial targets under the provisions of the plan were not achieved to merit an award for the fiscal year ended July 31, 2011. A total of $407,000 was awarded for the fiscal year ended July 31, 2010 to certain executives. These awards will vest over a three-year vesting period and accrue interest at our long-term cost of borrowing plus 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October 2010, a non-Oil-Dri truck driver died of injuries sustained in a vehicle accident while at our Ochlocknee, Georgia location. We believe that insurance will cover the civil claims associated with the incident and that the insurance company has established appropriate reserves.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leased or owned property. These leases generally provide us with the right to mine as long as we continue to pay a minimum monthly rental, which is applied against the per ton royalty when the property is mined. We also lease certain offices and production facilities. 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2011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Later years</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7"/>
        </w:trPr>
        <w:tc>
          <w:tcPr>
            <w:tcW w:w="5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as of the years ended July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Vehicles and Railcars</w:t>
            </w:r>
          </w:p>
        </w:tc>
        <w:tc>
          <w:tcPr>
            <w:tcW w:w="4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Office facilities</w:t>
            </w:r>
          </w:p>
        </w:tc>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840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Warehouse facilities</w:t>
            </w:r>
          </w:p>
        </w:tc>
        <w:tc>
          <w:tcPr>
            <w:tcW w:w="4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Mining properties:</w:t>
            </w:r>
          </w:p>
        </w:tc>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Minimum</w:t>
            </w:r>
          </w:p>
        </w:tc>
        <w:tc>
          <w:tcPr>
            <w:tcW w:w="4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Contingent</w:t>
            </w:r>
          </w:p>
        </w:tc>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3,238</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80" w:type="dxa"/>
            <w:vAlign w:val="bottom"/>
            <w:vMerge w:val="restart"/>
          </w:tcPr>
          <w:p>
            <w:pPr>
              <w:jc w:val="right"/>
              <w:ind w:right="2350"/>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color w:val="auto"/>
              </w:rPr>
              <w:t>Contingent mining royalty payments are determined based on the tons of raw clay mined.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12 – OTHER CASH FLOW INFORMATION</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3"/>
        </w:trPr>
        <w:tc>
          <w:tcPr>
            <w:tcW w:w="8120" w:type="dxa"/>
            <w:vAlign w:val="bottom"/>
            <w:gridSpan w:val="2"/>
          </w:tcPr>
          <w:p>
            <w:pPr>
              <w:ind w:left="260"/>
              <w:spacing w:after="0"/>
              <w:rPr>
                <w:sz w:val="20"/>
                <w:szCs w:val="20"/>
                <w:color w:val="auto"/>
              </w:rPr>
            </w:pPr>
            <w:r>
              <w:rPr>
                <w:rFonts w:ascii="Arial" w:cs="Arial" w:eastAsia="Arial" w:hAnsi="Arial"/>
                <w:sz w:val="18"/>
                <w:szCs w:val="18"/>
                <w:color w:val="auto"/>
                <w:w w:val="93"/>
              </w:rPr>
              <w:t>Cash payments for interest and income taxes were as follows for the years ended July 31 (in thousands):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43"/>
        </w:trPr>
        <w:tc>
          <w:tcPr>
            <w:tcW w:w="812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2,608</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2,854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selected information for 2011 and 2010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6"/>
              </w:rPr>
              <w:t>Fiscal 2011 Quarter Ended</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October 31</w:t>
            </w:r>
          </w:p>
        </w:tc>
        <w:tc>
          <w:tcPr>
            <w:tcW w:w="3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January 31</w:t>
            </w:r>
          </w:p>
        </w:tc>
        <w:tc>
          <w:tcPr>
            <w:tcW w:w="3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3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w:t>
            </w:r>
          </w:p>
        </w:tc>
        <w:tc>
          <w:tcPr>
            <w:tcW w:w="4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w w:val="97"/>
              </w:rPr>
              <w:t>(in thousands except per share amounts)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56,285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57,201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55,538</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57,731</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226,755</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13,208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12,492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11,907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12,433</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50,040</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1,860</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0.26</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0.1600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0.1600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0.1600</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0.1700</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0.6500</w:t>
            </w: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0.1200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0.1200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0.1200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0.1275</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0.4875</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22.20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23.00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22.17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22.39</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
        </w:trPr>
        <w:tc>
          <w:tcPr>
            <w:tcW w:w="4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7"/>
              </w:rPr>
              <w:t>Fiscal 2010 Quarter Ended</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October 31</w:t>
            </w:r>
          </w:p>
        </w:tc>
        <w:tc>
          <w:tcPr>
            <w:tcW w:w="34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January 31</w:t>
            </w:r>
          </w:p>
        </w:tc>
        <w:tc>
          <w:tcPr>
            <w:tcW w:w="3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38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w:t>
            </w:r>
          </w:p>
        </w:tc>
        <w:tc>
          <w:tcPr>
            <w:tcW w:w="4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8"/>
              </w:rPr>
              <w:t>(in thousands except per share amounts)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53,404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54,734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56,259</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54,653</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219,050</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12,670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13,170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11,525</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49,688</w:t>
            </w: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2,586</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0.39</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4200" w:type="dxa"/>
            <w:vAlign w:val="bottom"/>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0.26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0.29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0.35</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0.1500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0.1500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0.1500</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0.1600</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0.6100</w:t>
            </w:r>
          </w:p>
        </w:tc>
      </w:tr>
      <w:tr>
        <w:trPr>
          <w:trHeight w:val="243"/>
        </w:trPr>
        <w:tc>
          <w:tcPr>
            <w:tcW w:w="4200" w:type="dxa"/>
            <w:vAlign w:val="bottom"/>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0.1125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0.1125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0.1125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0.1200</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0.4575</w:t>
            </w: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16.54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20.76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15.10</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459"/>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27" w:lineRule="exact"/>
        <w:rPr>
          <w:sz w:val="20"/>
          <w:szCs w:val="20"/>
          <w:color w:val="auto"/>
        </w:rPr>
      </w:pPr>
    </w:p>
    <w:p>
      <w:pPr>
        <w:jc w:val="both"/>
        <w:ind w:firstLine="315"/>
        <w:spacing w:after="0" w:line="329" w:lineRule="auto"/>
        <w:rPr>
          <w:sz w:val="20"/>
          <w:szCs w:val="20"/>
          <w:color w:val="auto"/>
        </w:rPr>
      </w:pPr>
      <w:r>
        <w:rPr>
          <w:rFonts w:ascii="Arial" w:cs="Arial" w:eastAsia="Arial" w:hAnsi="Arial"/>
          <w:sz w:val="17"/>
          <w:szCs w:val="17"/>
          <w:color w:val="auto"/>
        </w:rPr>
        <w:t xml:space="preserve">Under the supervision and with the participation of our management, including our principal executive officer, principal financial officer and principal accounting officer, we conducted an assessment of the effectiveness of our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Sponsoring Organizations of the Treadway Commission (COSO). Based on our assessment,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our internal control over financial reporting was effective as of July 31, 2011.</w:t>
      </w:r>
    </w:p>
    <w:p>
      <w:pPr>
        <w:spacing w:after="0" w:line="184" w:lineRule="exact"/>
        <w:rPr>
          <w:sz w:val="20"/>
          <w:szCs w:val="20"/>
          <w:color w:val="auto"/>
        </w:rPr>
      </w:pPr>
    </w:p>
    <w:p>
      <w:pPr>
        <w:jc w:val="both"/>
        <w:ind w:firstLine="296"/>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right="20" w:firstLine="314"/>
        <w:spacing w:after="0" w:line="324" w:lineRule="auto"/>
        <w:rPr>
          <w:sz w:val="20"/>
          <w:szCs w:val="20"/>
          <w:color w:val="auto"/>
        </w:rPr>
      </w:pPr>
      <w:r>
        <w:rPr>
          <w:rFonts w:ascii="Arial" w:cs="Arial" w:eastAsia="Arial" w:hAnsi="Arial"/>
          <w:sz w:val="18"/>
          <w:szCs w:val="18"/>
          <w:color w:val="auto"/>
        </w:rPr>
        <w:t>Our internal controls over financial reporting as of July 31, 2011 have been audited by PricewaterhouseCoopers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Oil-Dri Corporation of America:</w:t>
      </w:r>
    </w:p>
    <w:p>
      <w:pPr>
        <w:spacing w:after="0" w:line="225" w:lineRule="exact"/>
        <w:rPr>
          <w:sz w:val="20"/>
          <w:szCs w:val="20"/>
          <w:color w:val="auto"/>
        </w:rPr>
      </w:pPr>
    </w:p>
    <w:p>
      <w:pPr>
        <w:jc w:val="both"/>
        <w:ind w:firstLine="216"/>
        <w:spacing w:after="0" w:line="267" w:lineRule="auto"/>
        <w:rPr>
          <w:sz w:val="20"/>
          <w:szCs w:val="20"/>
          <w:color w:val="auto"/>
        </w:rPr>
      </w:pPr>
      <w:r>
        <w:rPr>
          <w:rFonts w:ascii="Arial" w:cs="Arial" w:eastAsia="Arial" w:hAnsi="Arial"/>
          <w:sz w:val="17"/>
          <w:szCs w:val="17"/>
          <w:color w:val="auto"/>
        </w:rPr>
        <w:t xml:space="preserve">In our opinion, the accompanying consolidated financial statements listed in the index appearing under Item 15(a)(1) present fairly, in all material respects, the financial position of Oil-Dri Corporation of America and its subsidiaries at July 31, 2011 and 2010, and the results of their operations and their cash flows for each of the three years in the period ended July 31, 2011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31, 2011,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The Company’s management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schedules, and on the Company’s internal control over financial reporting based on our audits (which were integrated audits in 2011 and 2010).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0" w:lineRule="exact"/>
        <w:rPr>
          <w:sz w:val="20"/>
          <w:szCs w:val="20"/>
          <w:color w:val="auto"/>
        </w:rPr>
      </w:pPr>
    </w:p>
    <w:p>
      <w:pPr>
        <w:jc w:val="both"/>
        <w:ind w:firstLine="278"/>
        <w:spacing w:after="0" w:line="3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firstLine="296"/>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ind w:firstLine="262"/>
        <w:spacing w:after="0" w:line="302"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Chief Financial Officer (“CFO”), and Chief Accounting Officer ("CAO"). Based upon the controls evaluation, our CEO, CFO and CAO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CFO and CAO,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firstLine="263"/>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70" w:lineRule="exact"/>
        <w:rPr>
          <w:sz w:val="20"/>
          <w:szCs w:val="20"/>
          <w:color w:val="auto"/>
        </w:rPr>
      </w:pPr>
    </w:p>
    <w:p>
      <w:pPr>
        <w:jc w:val="both"/>
        <w:ind w:firstLine="331"/>
        <w:spacing w:after="0" w:line="319" w:lineRule="auto"/>
        <w:rPr>
          <w:sz w:val="20"/>
          <w:szCs w:val="20"/>
          <w:color w:val="auto"/>
        </w:rPr>
      </w:pPr>
      <w:r>
        <w:rPr>
          <w:rFonts w:ascii="Arial" w:cs="Arial" w:eastAsia="Arial" w:hAnsi="Arial"/>
          <w:sz w:val="17"/>
          <w:szCs w:val="17"/>
          <w:color w:val="auto"/>
        </w:rPr>
        <w:t>Our management, including the CEO, CFO and CAO,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70" w:lineRule="exact"/>
        <w:rPr>
          <w:sz w:val="20"/>
          <w:szCs w:val="20"/>
          <w:color w:val="auto"/>
        </w:rPr>
      </w:pPr>
    </w:p>
    <w:p>
      <w:pPr>
        <w:jc w:val="both"/>
        <w:ind w:firstLine="278"/>
        <w:spacing w:after="0" w:line="33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the recently proposed Item 106 of Regulation S-K is included in Exhibit 99.1 to this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2011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22" w:lineRule="exact"/>
        <w:rPr>
          <w:sz w:val="20"/>
          <w:szCs w:val="20"/>
          <w:color w:val="auto"/>
        </w:rPr>
      </w:pPr>
    </w:p>
    <w:p>
      <w:pPr>
        <w:jc w:val="both"/>
        <w:ind w:firstLine="312"/>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70" w:lineRule="exact"/>
        <w:rPr>
          <w:sz w:val="20"/>
          <w:szCs w:val="20"/>
          <w:color w:val="auto"/>
        </w:rPr>
      </w:pPr>
    </w:p>
    <w:p>
      <w:pPr>
        <w:jc w:val="both"/>
        <w:ind w:firstLine="446"/>
        <w:spacing w:after="0" w:line="311"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under the captions “Executive Compensation,” “Report of the Compensation Committee of the Board of Directors,” “Compensation of Directors,” “Compensation Committee” and “Compensation Committee Interlocks and Insider Participation” and is incorporated herein by reference.</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06" w:lineRule="exact"/>
        <w:rPr>
          <w:sz w:val="20"/>
          <w:szCs w:val="20"/>
          <w:color w:val="auto"/>
        </w:rPr>
      </w:pPr>
    </w:p>
    <w:p>
      <w:pPr>
        <w:jc w:val="both"/>
        <w:ind w:firstLine="332"/>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under the captions “Principal Stockholders.” “Security Ownership of Management” and “Equity Compensation Plans”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70" w:lineRule="exact"/>
        <w:rPr>
          <w:sz w:val="20"/>
          <w:szCs w:val="20"/>
          <w:color w:val="auto"/>
        </w:rPr>
      </w:pPr>
    </w:p>
    <w:p>
      <w:pPr>
        <w:jc w:val="both"/>
        <w:ind w:firstLine="279"/>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under the captions “Certain Relationships and Related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information required by this Item is contained in Oil-Dri’s Proxy Statement under the caption “Auditor Fees” and is incorporated herein by reference.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Balance Sheets as of July 31, 2011 and July 31, 2010.</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Operations for the fiscal years ended July 31, 2011, July 31, 2010 and July 31, 2009.</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Stockholders’ Equity for the fiscal years ended July 31, 2011, July 31, 2010 and July 31, 2009.</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Cash Flows for the fiscal years ended July 31, 2011, July 31, 2010 and July 31, 2009.</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II - Valuation and Qualifying Accounts, years ended July 31, 2011, July 31, 2010 and July 31, 2009.</w:t>
      </w:r>
    </w:p>
    <w:p>
      <w:pPr>
        <w:spacing w:after="0" w:line="333"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7"/>
          <w:szCs w:val="17"/>
          <w:color w:val="auto"/>
        </w:rPr>
        <w:t>The following documents are exhibits to this Report:</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spacing w:after="0" w:line="89" w:lineRule="exact"/>
        <w:rPr>
          <w:sz w:val="20"/>
          <w:szCs w:val="20"/>
          <w:color w:val="auto"/>
        </w:rPr>
      </w:pPr>
    </w:p>
    <w:p>
      <w:pPr>
        <w:ind w:left="1300" w:right="2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280" w:hanging="967"/>
        <w:spacing w:after="0" w:line="27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40" w:space="380"/>
            <w:col w:w="5080"/>
          </w:cols>
          <w:pgMar w:left="240" w:top="125" w:right="259" w:bottom="1440" w:gutter="0" w:footer="0" w:header="0"/>
          <w:type w:val="continuous"/>
        </w:sectPr>
      </w:pPr>
    </w:p>
    <w:p>
      <w:pPr>
        <w:spacing w:after="0" w:line="80" w:lineRule="exact"/>
        <w:rPr>
          <w:sz w:val="20"/>
          <w:szCs w:val="20"/>
          <w:color w:val="auto"/>
        </w:rPr>
      </w:pPr>
    </w:p>
    <w:p>
      <w:pPr>
        <w:jc w:val="both"/>
        <w:ind w:left="1280" w:hanging="967"/>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Step”™dated as of March 12, 2001.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200" w:lineRule="exact"/>
        <w:rPr>
          <w:sz w:val="20"/>
          <w:szCs w:val="20"/>
          <w:color w:val="auto"/>
        </w:rPr>
      </w:pPr>
    </w:p>
    <w:p>
      <w:pPr>
        <w:sectPr>
          <w:pgSz w:w="11900" w:h="16838" w:orient="portrait"/>
          <w:cols w:equalWidth="0" w:num="2">
            <w:col w:w="5940" w:space="380"/>
            <w:col w:w="5080"/>
          </w:cols>
          <w:pgMar w:left="240" w:top="125" w:right="25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125" w:right="2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280"/>
        <w:spacing w:after="0"/>
        <w:tabs>
          <w:tab w:leader="none" w:pos="30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04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57" w:lineRule="exact"/>
        <w:rPr>
          <w:sz w:val="20"/>
          <w:szCs w:val="20"/>
          <w:color w:val="auto"/>
        </w:rPr>
      </w:pPr>
    </w:p>
    <w:p>
      <w:pPr>
        <w:jc w:val="both"/>
        <w:ind w:left="1200" w:right="20" w:hanging="940"/>
        <w:spacing w:after="0" w:line="264" w:lineRule="auto"/>
        <w:tabs>
          <w:tab w:leader="none" w:pos="1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dated as of October 15, 2007, to Memorandum of Agreement #1450 “Fresh Step”™ dated as of March 12, 2001.</w:t>
      </w:r>
    </w:p>
    <w:p>
      <w:pPr>
        <w:spacing w:after="0" w:line="289" w:lineRule="exact"/>
        <w:rPr>
          <w:sz w:val="20"/>
          <w:szCs w:val="20"/>
          <w:color w:val="auto"/>
        </w:rPr>
      </w:pPr>
    </w:p>
    <w:p>
      <w:pPr>
        <w:jc w:val="both"/>
        <w:ind w:left="1200" w:hanging="940"/>
        <w:spacing w:after="0" w:line="286" w:lineRule="auto"/>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274" w:lineRule="exact"/>
        <w:rPr>
          <w:sz w:val="20"/>
          <w:szCs w:val="20"/>
          <w:color w:val="auto"/>
        </w:rPr>
      </w:pPr>
    </w:p>
    <w:p>
      <w:pPr>
        <w:jc w:val="both"/>
        <w:ind w:left="1200" w:hanging="940"/>
        <w:spacing w:after="0" w:line="286" w:lineRule="auto"/>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$25,000,000 Note Purchase Agreement dated as of April 15, 1998 between Oil-Dri and Teachers Insurance and Annuity Association of America and Cigna Investments, Inc.</w:t>
      </w:r>
    </w:p>
    <w:p>
      <w:pPr>
        <w:spacing w:after="0" w:line="274" w:lineRule="exact"/>
        <w:rPr>
          <w:sz w:val="20"/>
          <w:szCs w:val="20"/>
          <w:color w:val="auto"/>
        </w:rPr>
      </w:pPr>
    </w:p>
    <w:p>
      <w:pPr>
        <w:jc w:val="both"/>
        <w:ind w:left="1200" w:right="20" w:hanging="940"/>
        <w:spacing w:after="0" w:line="277" w:lineRule="auto"/>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dated as of January 15, 2001 to the Note Purchase Agreement dated as of April 15, 1998.</w:t>
      </w:r>
    </w:p>
    <w:p>
      <w:pPr>
        <w:spacing w:after="0" w:line="200" w:lineRule="exact"/>
        <w:rPr>
          <w:sz w:val="20"/>
          <w:szCs w:val="20"/>
          <w:color w:val="auto"/>
        </w:rPr>
      </w:pPr>
    </w:p>
    <w:p>
      <w:pPr>
        <w:spacing w:after="0" w:line="295" w:lineRule="exact"/>
        <w:rPr>
          <w:sz w:val="20"/>
          <w:szCs w:val="20"/>
          <w:color w:val="auto"/>
        </w:rPr>
      </w:pPr>
    </w:p>
    <w:p>
      <w:pPr>
        <w:jc w:val="both"/>
        <w:ind w:left="1200" w:right="20" w:hanging="940"/>
        <w:spacing w:after="0" w:line="277" w:lineRule="auto"/>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dated as of July 15, 2002 to Note Purchase Agreement dated as of April 15, 1998.</w:t>
      </w:r>
    </w:p>
    <w:p>
      <w:pPr>
        <w:spacing w:after="0" w:line="200" w:lineRule="exact"/>
        <w:rPr>
          <w:sz w:val="20"/>
          <w:szCs w:val="20"/>
          <w:color w:val="auto"/>
        </w:rPr>
      </w:pPr>
    </w:p>
    <w:p>
      <w:pPr>
        <w:spacing w:after="0" w:line="295" w:lineRule="exact"/>
        <w:rPr>
          <w:sz w:val="20"/>
          <w:szCs w:val="20"/>
          <w:color w:val="auto"/>
        </w:rPr>
      </w:pPr>
    </w:p>
    <w:p>
      <w:pPr>
        <w:jc w:val="both"/>
        <w:ind w:left="1200" w:hanging="940"/>
        <w:spacing w:after="0" w:line="277" w:lineRule="auto"/>
        <w:tabs>
          <w:tab w:leader="none" w:pos="1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January 27, 2006 to Note Purchase Agreement dated as of April 15, 1998.</w:t>
      </w:r>
    </w:p>
    <w:p>
      <w:pPr>
        <w:spacing w:after="0" w:line="279" w:lineRule="exact"/>
        <w:rPr>
          <w:sz w:val="20"/>
          <w:szCs w:val="20"/>
          <w:color w:val="auto"/>
        </w:rPr>
      </w:pPr>
    </w:p>
    <w:p>
      <w:pPr>
        <w:jc w:val="both"/>
        <w:ind w:left="1200" w:hanging="940"/>
        <w:spacing w:after="0" w:line="264" w:lineRule="auto"/>
        <w:tabs>
          <w:tab w:leader="none" w:pos="1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295" w:lineRule="exact"/>
        <w:rPr>
          <w:sz w:val="20"/>
          <w:szCs w:val="20"/>
          <w:color w:val="auto"/>
        </w:rPr>
      </w:pPr>
    </w:p>
    <w:p>
      <w:pPr>
        <w:jc w:val="both"/>
        <w:ind w:left="1200" w:hanging="982"/>
        <w:spacing w:after="0" w:line="259" w:lineRule="auto"/>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95"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First Amendment, dated as of July 12, 2006 to Note Agreement dated as of December 16, 2005.</w:t>
      </w:r>
    </w:p>
    <w:p>
      <w:pPr>
        <w:spacing w:after="0" w:line="200" w:lineRule="exact"/>
        <w:rPr>
          <w:sz w:val="20"/>
          <w:szCs w:val="20"/>
          <w:color w:val="auto"/>
        </w:rPr>
      </w:pPr>
    </w:p>
    <w:p>
      <w:pPr>
        <w:spacing w:after="0" w:line="295" w:lineRule="exact"/>
        <w:rPr>
          <w:sz w:val="20"/>
          <w:szCs w:val="20"/>
          <w:color w:val="auto"/>
        </w:rPr>
      </w:pPr>
    </w:p>
    <w:p>
      <w:pPr>
        <w:jc w:val="both"/>
        <w:ind w:left="1200" w:hanging="985"/>
        <w:spacing w:after="0" w:line="273" w:lineRule="auto"/>
        <w:tabs>
          <w:tab w:leader="none" w:pos="11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87"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Description of 1987 Executive Deferred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(10)(m) to Oil-Dri’s (File No. 001-12622) Quarterly Report on Form 10-Q for the quarter ended April 30, 1998.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(10)(m)(5) to Oil-Dri’s (File No. 001-12622) Quarterly Report on Form 10-Q for the quarter ended January 31, 2001.</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10(m)(6) to Oil-Dri’s (File No. 001-12622) Annual Report on Form 10-K for the fiscal year ended July 31, 2002.</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February 1,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200" w:lineRule="exact"/>
        <w:rPr>
          <w:sz w:val="20"/>
          <w:szCs w:val="20"/>
          <w:color w:val="auto"/>
        </w:rPr>
      </w:pPr>
    </w:p>
    <w:p>
      <w:pPr>
        <w:sectPr>
          <w:pgSz w:w="11900" w:h="16838" w:orient="portrait"/>
          <w:cols w:equalWidth="0" w:num="2">
            <w:col w:w="5820" w:space="380"/>
            <w:col w:w="5200"/>
          </w:cols>
          <w:pgMar w:left="240" w:top="125" w:right="259" w:bottom="1440"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5" w:right="25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1300" w:hanging="1039"/>
        <w:spacing w:after="0" w:line="308" w:lineRule="auto"/>
        <w:tabs>
          <w:tab w:leader="none" w:pos="12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Salary Continuation Agreement dated August 1, l989 between Richard M. Jaffee and Oil-Dri (“1989 Agreement”).*</w:t>
      </w:r>
    </w:p>
    <w:p>
      <w:pPr>
        <w:spacing w:after="0" w:line="200" w:lineRule="exact"/>
        <w:rPr>
          <w:sz w:val="20"/>
          <w:szCs w:val="20"/>
          <w:color w:val="auto"/>
        </w:rPr>
      </w:pP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10.16</w:t>
            </w:r>
          </w:p>
        </w:tc>
        <w:tc>
          <w:tcPr>
            <w:tcW w:w="4940" w:type="dxa"/>
            <w:vAlign w:val="bottom"/>
          </w:tcPr>
          <w:p>
            <w:pPr>
              <w:ind w:left="320"/>
              <w:spacing w:after="0"/>
              <w:rPr>
                <w:sz w:val="20"/>
                <w:szCs w:val="20"/>
                <w:color w:val="auto"/>
              </w:rPr>
            </w:pPr>
            <w:r>
              <w:rPr>
                <w:rFonts w:ascii="Arial" w:cs="Arial" w:eastAsia="Arial" w:hAnsi="Arial"/>
                <w:sz w:val="18"/>
                <w:szCs w:val="18"/>
                <w:color w:val="auto"/>
                <w:w w:val="91"/>
              </w:rPr>
              <w:t>Extension and Amendment, dated October 9, 1998, to the 1989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769"/>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10.17</w:t>
            </w:r>
          </w:p>
        </w:tc>
        <w:tc>
          <w:tcPr>
            <w:tcW w:w="4940" w:type="dxa"/>
            <w:vAlign w:val="bottom"/>
          </w:tcPr>
          <w:p>
            <w:pPr>
              <w:ind w:left="320"/>
              <w:spacing w:after="0"/>
              <w:rPr>
                <w:sz w:val="20"/>
                <w:szCs w:val="20"/>
                <w:color w:val="auto"/>
              </w:rPr>
            </w:pPr>
            <w:r>
              <w:rPr>
                <w:rFonts w:ascii="Arial" w:cs="Arial" w:eastAsia="Arial" w:hAnsi="Arial"/>
                <w:sz w:val="18"/>
                <w:szCs w:val="18"/>
                <w:color w:val="auto"/>
                <w:w w:val="94"/>
              </w:rPr>
              <w:t>Second Amendment, effective October 31, 2000, to the 1989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52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10.18</w:t>
            </w:r>
          </w:p>
        </w:tc>
        <w:tc>
          <w:tcPr>
            <w:tcW w:w="4940" w:type="dxa"/>
            <w:vAlign w:val="bottom"/>
          </w:tcPr>
          <w:p>
            <w:pPr>
              <w:ind w:left="320"/>
              <w:spacing w:after="0"/>
              <w:rPr>
                <w:sz w:val="20"/>
                <w:szCs w:val="20"/>
                <w:color w:val="auto"/>
              </w:rPr>
            </w:pPr>
            <w:r>
              <w:rPr>
                <w:rFonts w:ascii="Arial" w:cs="Arial" w:eastAsia="Arial" w:hAnsi="Arial"/>
                <w:sz w:val="18"/>
                <w:szCs w:val="18"/>
                <w:color w:val="auto"/>
                <w:w w:val="94"/>
              </w:rPr>
              <w:t>Third Amendment, dated as of January 31, 2006, to the 1989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52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10.19</w:t>
            </w:r>
          </w:p>
        </w:tc>
        <w:tc>
          <w:tcPr>
            <w:tcW w:w="4940" w:type="dxa"/>
            <w:vAlign w:val="bottom"/>
          </w:tcPr>
          <w:p>
            <w:pPr>
              <w:ind w:left="320"/>
              <w:spacing w:after="0"/>
              <w:rPr>
                <w:sz w:val="20"/>
                <w:szCs w:val="20"/>
                <w:color w:val="auto"/>
              </w:rPr>
            </w:pPr>
            <w:r>
              <w:rPr>
                <w:rFonts w:ascii="Arial" w:cs="Arial" w:eastAsia="Arial" w:hAnsi="Arial"/>
                <w:sz w:val="18"/>
                <w:szCs w:val="18"/>
                <w:color w:val="auto"/>
                <w:w w:val="92"/>
              </w:rPr>
              <w:t>Fourth Amendment, dated as of October 14, 2010, to the 1989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769"/>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10.20</w:t>
            </w:r>
          </w:p>
        </w:tc>
        <w:tc>
          <w:tcPr>
            <w:tcW w:w="4940" w:type="dxa"/>
            <w:vAlign w:val="bottom"/>
          </w:tcPr>
          <w:p>
            <w:pPr>
              <w:ind w:left="320"/>
              <w:spacing w:after="0"/>
              <w:rPr>
                <w:sz w:val="20"/>
                <w:szCs w:val="20"/>
                <w:color w:val="auto"/>
              </w:rPr>
            </w:pPr>
            <w:r>
              <w:rPr>
                <w:rFonts w:ascii="Arial" w:cs="Arial" w:eastAsia="Arial" w:hAnsi="Arial"/>
                <w:sz w:val="18"/>
                <w:szCs w:val="18"/>
                <w:color w:val="auto"/>
                <w:w w:val="95"/>
              </w:rPr>
              <w:t>Oil-Dri Corporation of America Deferred Compensation Plan,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as amended and restated effective April 1, 2003.*</w:t>
            </w:r>
          </w:p>
        </w:tc>
        <w:tc>
          <w:tcPr>
            <w:tcW w:w="0" w:type="dxa"/>
            <w:vAlign w:val="bottom"/>
          </w:tcPr>
          <w:p>
            <w:pPr>
              <w:spacing w:after="0"/>
              <w:rPr>
                <w:sz w:val="1"/>
                <w:szCs w:val="1"/>
                <w:color w:val="auto"/>
              </w:rPr>
            </w:pPr>
          </w:p>
        </w:tc>
      </w:tr>
      <w:tr>
        <w:trPr>
          <w:trHeight w:val="74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10.21</w:t>
            </w:r>
          </w:p>
        </w:tc>
        <w:tc>
          <w:tcPr>
            <w:tcW w:w="4940" w:type="dxa"/>
            <w:vAlign w:val="bottom"/>
          </w:tcPr>
          <w:p>
            <w:pPr>
              <w:ind w:left="320"/>
              <w:spacing w:after="0"/>
              <w:rPr>
                <w:sz w:val="20"/>
                <w:szCs w:val="20"/>
                <w:color w:val="auto"/>
              </w:rPr>
            </w:pPr>
            <w:r>
              <w:rPr>
                <w:rFonts w:ascii="Arial" w:cs="Arial" w:eastAsia="Arial" w:hAnsi="Arial"/>
                <w:sz w:val="18"/>
                <w:szCs w:val="18"/>
                <w:color w:val="auto"/>
                <w:w w:val="97"/>
              </w:rPr>
              <w:t>First Amendment, effective as of January 1, 2007, to Oil-Dri</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w w:val="95"/>
              </w:rPr>
              <w:t>Corporation  of  America  Deferred  Compensation  Plan,  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52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10.22</w:t>
            </w:r>
          </w:p>
        </w:tc>
        <w:tc>
          <w:tcPr>
            <w:tcW w:w="4940" w:type="dxa"/>
            <w:vAlign w:val="bottom"/>
          </w:tcPr>
          <w:p>
            <w:pPr>
              <w:ind w:left="320"/>
              <w:spacing w:after="0"/>
              <w:rPr>
                <w:sz w:val="20"/>
                <w:szCs w:val="20"/>
                <w:color w:val="auto"/>
              </w:rPr>
            </w:pPr>
            <w:r>
              <w:rPr>
                <w:rFonts w:ascii="Arial" w:cs="Arial" w:eastAsia="Arial" w:hAnsi="Arial"/>
                <w:sz w:val="18"/>
                <w:szCs w:val="18"/>
                <w:color w:val="auto"/>
                <w:w w:val="92"/>
              </w:rPr>
              <w:t>Second Amendment, effective as of January 1, 2008, to Oil-Dri</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w w:val="95"/>
              </w:rPr>
              <w:t>Corporation  of  America  Deferred  Compensation  Plan,  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52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10.23</w:t>
            </w:r>
          </w:p>
        </w:tc>
        <w:tc>
          <w:tcPr>
            <w:tcW w:w="4940" w:type="dxa"/>
            <w:vAlign w:val="bottom"/>
          </w:tcPr>
          <w:p>
            <w:pPr>
              <w:ind w:left="320"/>
              <w:spacing w:after="0"/>
              <w:rPr>
                <w:sz w:val="20"/>
                <w:szCs w:val="20"/>
                <w:color w:val="auto"/>
              </w:rPr>
            </w:pPr>
            <w:r>
              <w:rPr>
                <w:rFonts w:ascii="Arial" w:cs="Arial" w:eastAsia="Arial" w:hAnsi="Arial"/>
                <w:sz w:val="18"/>
                <w:szCs w:val="18"/>
                <w:color w:val="auto"/>
              </w:rPr>
              <w:t>Oil-Dri Corporation of America 1995 Long-Term Incentive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Plan as amended and restated effective June 9, 2000.*</w:t>
            </w:r>
          </w:p>
        </w:tc>
        <w:tc>
          <w:tcPr>
            <w:tcW w:w="0" w:type="dxa"/>
            <w:vAlign w:val="bottom"/>
          </w:tcPr>
          <w:p>
            <w:pPr>
              <w:spacing w:after="0"/>
              <w:rPr>
                <w:sz w:val="1"/>
                <w:szCs w:val="1"/>
                <w:color w:val="auto"/>
              </w:rPr>
            </w:pPr>
          </w:p>
        </w:tc>
      </w:tr>
      <w:tr>
        <w:trPr>
          <w:trHeight w:val="75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10.24</w:t>
            </w:r>
          </w:p>
        </w:tc>
        <w:tc>
          <w:tcPr>
            <w:tcW w:w="4940" w:type="dxa"/>
            <w:vAlign w:val="bottom"/>
          </w:tcPr>
          <w:p>
            <w:pPr>
              <w:ind w:left="320"/>
              <w:spacing w:after="0"/>
              <w:rPr>
                <w:sz w:val="20"/>
                <w:szCs w:val="20"/>
                <w:color w:val="auto"/>
              </w:rPr>
            </w:pPr>
            <w:r>
              <w:rPr>
                <w:rFonts w:ascii="Arial" w:cs="Arial" w:eastAsia="Arial" w:hAnsi="Arial"/>
                <w:sz w:val="18"/>
                <w:szCs w:val="18"/>
                <w:color w:val="auto"/>
                <w:w w:val="92"/>
              </w:rPr>
              <w:t>Supplemental Executive Retirement Plan dated April 1, 2003.*</w:t>
            </w:r>
          </w:p>
        </w:tc>
        <w:tc>
          <w:tcPr>
            <w:tcW w:w="0" w:type="dxa"/>
            <w:vAlign w:val="bottom"/>
          </w:tcPr>
          <w:p>
            <w:pPr>
              <w:spacing w:after="0"/>
              <w:rPr>
                <w:sz w:val="1"/>
                <w:szCs w:val="1"/>
                <w:color w:val="auto"/>
              </w:rPr>
            </w:pPr>
          </w:p>
        </w:tc>
      </w:tr>
      <w:tr>
        <w:trPr>
          <w:trHeight w:val="97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10.25</w:t>
            </w:r>
          </w:p>
        </w:tc>
        <w:tc>
          <w:tcPr>
            <w:tcW w:w="4940" w:type="dxa"/>
            <w:vAlign w:val="bottom"/>
            <w:vMerge w:val="restart"/>
          </w:tcPr>
          <w:p>
            <w:pPr>
              <w:ind w:left="320"/>
              <w:spacing w:after="0"/>
              <w:rPr>
                <w:sz w:val="20"/>
                <w:szCs w:val="20"/>
                <w:color w:val="auto"/>
              </w:rPr>
            </w:pPr>
            <w:r>
              <w:rPr>
                <w:rFonts w:ascii="Arial" w:cs="Arial" w:eastAsia="Arial" w:hAnsi="Arial"/>
                <w:sz w:val="18"/>
                <w:szCs w:val="18"/>
                <w:color w:val="auto"/>
                <w:w w:val="93"/>
              </w:rPr>
              <w:t>Oil-Dri Corporation of America Outside Director Stock Plan as</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effective October 16, 1999.*</w:t>
            </w:r>
          </w:p>
        </w:tc>
        <w:tc>
          <w:tcPr>
            <w:tcW w:w="0" w:type="dxa"/>
            <w:vAlign w:val="bottom"/>
          </w:tcPr>
          <w:p>
            <w:pPr>
              <w:spacing w:after="0"/>
              <w:rPr>
                <w:sz w:val="1"/>
                <w:szCs w:val="1"/>
                <w:color w:val="auto"/>
              </w:rPr>
            </w:pPr>
          </w:p>
        </w:tc>
      </w:tr>
      <w:tr>
        <w:trPr>
          <w:trHeight w:val="52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10.26</w:t>
            </w:r>
          </w:p>
        </w:tc>
        <w:tc>
          <w:tcPr>
            <w:tcW w:w="4940" w:type="dxa"/>
            <w:vAlign w:val="bottom"/>
          </w:tcPr>
          <w:p>
            <w:pPr>
              <w:ind w:left="320"/>
              <w:spacing w:after="0"/>
              <w:rPr>
                <w:sz w:val="20"/>
                <w:szCs w:val="20"/>
                <w:color w:val="auto"/>
              </w:rPr>
            </w:pPr>
            <w:r>
              <w:rPr>
                <w:rFonts w:ascii="Arial" w:cs="Arial" w:eastAsia="Arial" w:hAnsi="Arial"/>
                <w:sz w:val="18"/>
                <w:szCs w:val="18"/>
                <w:color w:val="auto"/>
              </w:rPr>
              <w:t>Oil-Dri Corporation of America Annual Incentive Plan (as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effective January 1, 2008).*</w:t>
            </w:r>
          </w:p>
        </w:tc>
        <w:tc>
          <w:tcPr>
            <w:tcW w:w="0" w:type="dxa"/>
            <w:vAlign w:val="bottom"/>
          </w:tcPr>
          <w:p>
            <w:pPr>
              <w:spacing w:after="0"/>
              <w:rPr>
                <w:sz w:val="1"/>
                <w:szCs w:val="1"/>
                <w:color w:val="auto"/>
              </w:rPr>
            </w:pPr>
          </w:p>
        </w:tc>
      </w:tr>
      <w:tr>
        <w:trPr>
          <w:trHeight w:val="742"/>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10.27</w:t>
            </w:r>
          </w:p>
        </w:tc>
        <w:tc>
          <w:tcPr>
            <w:tcW w:w="4940" w:type="dxa"/>
            <w:vAlign w:val="bottom"/>
          </w:tcPr>
          <w:p>
            <w:pPr>
              <w:ind w:left="320"/>
              <w:spacing w:after="0"/>
              <w:rPr>
                <w:sz w:val="20"/>
                <w:szCs w:val="20"/>
                <w:color w:val="auto"/>
              </w:rPr>
            </w:pPr>
            <w:r>
              <w:rPr>
                <w:rFonts w:ascii="Arial" w:cs="Arial" w:eastAsia="Arial" w:hAnsi="Arial"/>
                <w:sz w:val="18"/>
                <w:szCs w:val="18"/>
                <w:color w:val="auto"/>
                <w:w w:val="95"/>
              </w:rPr>
              <w:t>Oil-Dri Corporation of America 2005 Deferred Compensation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w w:val="97"/>
              </w:rPr>
              <w:t>Plan (as amended and restated effective January 1,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2010.</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pacing w:after="0" w:line="200" w:lineRule="exact"/>
        <w:rPr>
          <w:sz w:val="20"/>
          <w:szCs w:val="20"/>
          <w:color w:val="auto"/>
        </w:rPr>
      </w:pPr>
    </w:p>
    <w:p>
      <w:pPr>
        <w:sectPr>
          <w:pgSz w:w="11900" w:h="16838" w:orient="portrait"/>
          <w:cols w:equalWidth="0" w:num="2">
            <w:col w:w="5920" w:space="400"/>
            <w:col w:w="5080"/>
          </w:cols>
          <w:pgMar w:left="240" w:top="125" w:right="25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5" w:right="25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20"/>
        <w:spacing w:after="0"/>
        <w:tabs>
          <w:tab w:leader="none" w:pos="31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30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7" w:lineRule="exact"/>
        <w:rPr>
          <w:sz w:val="20"/>
          <w:szCs w:val="20"/>
          <w:color w:val="auto"/>
        </w:rPr>
      </w:pPr>
    </w:p>
    <w:p>
      <w:pPr>
        <w:jc w:val="both"/>
        <w:ind w:left="1300" w:right="20" w:hanging="1032"/>
        <w:spacing w:after="0" w:line="308" w:lineRule="auto"/>
        <w:tabs>
          <w:tab w:leader="none" w:pos="12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7"/>
          <w:szCs w:val="17"/>
          <w:color w:val="auto"/>
        </w:rPr>
        <w:t>Oil-Dri Corporation of America 2006 Long Term Incentive Plan (as amended and restated effective July 28, 2006)*</w:t>
      </w:r>
    </w:p>
    <w:p>
      <w:pPr>
        <w:spacing w:after="0" w:line="200" w:lineRule="exact"/>
        <w:rPr>
          <w:sz w:val="20"/>
          <w:szCs w:val="20"/>
          <w:color w:val="auto"/>
        </w:rPr>
      </w:pPr>
    </w:p>
    <w:p>
      <w:pPr>
        <w:spacing w:after="0" w:line="271"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First Amendment, effective as of January 1, 2008, to Oil-Dri Corporation of America 2006 Long Term Incentive Plan (as amended and restated effective July 28, 2006)*</w:t>
      </w:r>
    </w:p>
    <w:p>
      <w:pPr>
        <w:spacing w:after="0" w:line="316"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A Common Stock.*</w:t>
      </w:r>
    </w:p>
    <w:p>
      <w:pPr>
        <w:spacing w:after="0" w:line="289"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Common Stock.*</w:t>
      </w:r>
    </w:p>
    <w:p>
      <w:pPr>
        <w:spacing w:after="0" w:line="289"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B Stock.*</w:t>
      </w:r>
    </w:p>
    <w:p>
      <w:pPr>
        <w:spacing w:after="0" w:line="289"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Form of Oil-Dri Corporation of America 2006 Long Term Incentive Plan Director Stock Option Agreement for Common Stock.*</w:t>
      </w:r>
    </w:p>
    <w:p>
      <w:pPr>
        <w:spacing w:after="0" w:line="289"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A Common Stock.*</w:t>
      </w:r>
    </w:p>
    <w:p>
      <w:pPr>
        <w:spacing w:after="0" w:line="289"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Oil-Dri Corporation of America 2006 Long Term Incentive Plan Restricted Stock Agreement for Common Stock.*</w:t>
      </w:r>
    </w:p>
    <w:p>
      <w:pPr>
        <w:spacing w:after="0" w:line="289" w:lineRule="exact"/>
        <w:rPr>
          <w:sz w:val="20"/>
          <w:szCs w:val="20"/>
          <w:color w:val="auto"/>
        </w:rPr>
      </w:pPr>
    </w:p>
    <w:p>
      <w:pPr>
        <w:jc w:val="both"/>
        <w:ind w:left="1300" w:hanging="1032"/>
        <w:spacing w:after="0" w:line="342" w:lineRule="auto"/>
        <w:tabs>
          <w:tab w:leader="none" w:pos="12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Form of Oil-Dri Corporation of America 2006 Long Term Incentive Plan Restricted Stock Agreement for Class B Stock.*</w:t>
      </w:r>
    </w:p>
    <w:p>
      <w:pPr>
        <w:spacing w:after="0" w:line="232" w:lineRule="exact"/>
        <w:rPr>
          <w:sz w:val="20"/>
          <w:szCs w:val="20"/>
          <w:color w:val="auto"/>
        </w:rPr>
      </w:pPr>
    </w:p>
    <w:p>
      <w:pPr>
        <w:jc w:val="both"/>
        <w:ind w:left="1300" w:hanging="1032"/>
        <w:spacing w:after="0" w:line="308" w:lineRule="auto"/>
        <w:tabs>
          <w:tab w:leader="none" w:pos="12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Letter Agreement, dated as of January 11, 2010, between Oil-Dri Corporation of America and Brian K. Bancroft.*</w:t>
      </w:r>
    </w:p>
    <w:p>
      <w:pPr>
        <w:spacing w:after="0" w:line="255" w:lineRule="exact"/>
        <w:rPr>
          <w:sz w:val="20"/>
          <w:szCs w:val="20"/>
          <w:color w:val="auto"/>
        </w:rPr>
      </w:pPr>
    </w:p>
    <w:p>
      <w:pPr>
        <w:jc w:val="both"/>
        <w:ind w:left="1300" w:hanging="1032"/>
        <w:spacing w:after="0" w:line="264" w:lineRule="auto"/>
        <w:tabs>
          <w:tab w:leader="none" w:pos="12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Amendment, dated April 15, 2010, to the Letter Agreement, dated January 11, 2010, between Oil-Dri corporation of America and Brian K. Bancroft.*</w:t>
      </w: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10.39</w:t>
            </w:r>
          </w:p>
        </w:tc>
        <w:tc>
          <w:tcPr>
            <w:tcW w:w="4860" w:type="dxa"/>
            <w:vAlign w:val="bottom"/>
          </w:tcPr>
          <w:p>
            <w:pPr>
              <w:ind w:left="320"/>
              <w:spacing w:after="0"/>
              <w:rPr>
                <w:sz w:val="20"/>
                <w:szCs w:val="20"/>
                <w:color w:val="auto"/>
              </w:rPr>
            </w:pPr>
            <w:r>
              <w:rPr>
                <w:rFonts w:ascii="Arial" w:cs="Arial" w:eastAsia="Arial" w:hAnsi="Arial"/>
                <w:sz w:val="18"/>
                <w:szCs w:val="18"/>
                <w:color w:val="auto"/>
                <w:w w:val="90"/>
              </w:rPr>
              <w:t>Letter Agreement, dated as of February 10, 2011, between Oil-</w:t>
            </w:r>
          </w:p>
        </w:tc>
      </w:tr>
      <w:tr>
        <w:trPr>
          <w:trHeight w:val="230"/>
        </w:trPr>
        <w:tc>
          <w:tcPr>
            <w:tcW w:w="720" w:type="dxa"/>
            <w:vAlign w:val="bottom"/>
          </w:tcPr>
          <w:p>
            <w:pPr>
              <w:spacing w:after="0"/>
              <w:rPr>
                <w:sz w:val="20"/>
                <w:szCs w:val="20"/>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Dri Corporation of America and Andrew N. Peterson.*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224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January 12, 2010.</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April 16, 2010.</w:t>
      </w: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August 24, 2011.</w:t>
      </w:r>
    </w:p>
    <w:p>
      <w:pPr>
        <w:spacing w:after="0" w:line="200" w:lineRule="exact"/>
        <w:rPr>
          <w:sz w:val="20"/>
          <w:szCs w:val="20"/>
          <w:color w:val="auto"/>
        </w:rPr>
      </w:pPr>
    </w:p>
    <w:p>
      <w:pPr>
        <w:sectPr>
          <w:pgSz w:w="11900" w:h="16838" w:orient="portrait"/>
          <w:cols w:equalWidth="0" w:num="2">
            <w:col w:w="5860" w:space="380"/>
            <w:col w:w="5040"/>
          </w:cols>
          <w:pgMar w:left="240" w:top="125"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80"/>
          </w:cols>
          <w:pgMar w:left="240" w:top="125" w:right="37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218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Exhibit</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70"/>
        </w:trPr>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No.</w:t>
            </w:r>
          </w:p>
        </w:tc>
        <w:tc>
          <w:tcPr>
            <w:tcW w:w="2140" w:type="dxa"/>
            <w:vAlign w:val="bottom"/>
            <w:gridSpan w:val="3"/>
          </w:tcPr>
          <w:p>
            <w:pPr>
              <w:ind w:left="520"/>
              <w:spacing w:after="0"/>
              <w:rPr>
                <w:sz w:val="20"/>
                <w:szCs w:val="20"/>
                <w:color w:val="auto"/>
              </w:rPr>
            </w:pPr>
            <w:r>
              <w:rPr>
                <w:rFonts w:ascii="Arial" w:cs="Arial" w:eastAsia="Arial" w:hAnsi="Arial"/>
                <w:sz w:val="18"/>
                <w:szCs w:val="18"/>
                <w:color w:val="auto"/>
              </w:rPr>
              <w:t>Description</w:t>
            </w:r>
          </w:p>
        </w:tc>
        <w:tc>
          <w:tcPr>
            <w:tcW w:w="5960" w:type="dxa"/>
            <w:vAlign w:val="bottom"/>
          </w:tcPr>
          <w:p>
            <w:pPr>
              <w:ind w:left="2040"/>
              <w:spacing w:after="0"/>
              <w:rPr>
                <w:sz w:val="20"/>
                <w:szCs w:val="20"/>
                <w:color w:val="auto"/>
              </w:rPr>
            </w:pPr>
            <w:r>
              <w:rPr>
                <w:rFonts w:ascii="Arial" w:cs="Arial" w:eastAsia="Arial" w:hAnsi="Arial"/>
                <w:sz w:val="18"/>
                <w:szCs w:val="18"/>
                <w:color w:val="auto"/>
              </w:rPr>
              <w:t>SEC Document Reference</w:t>
            </w:r>
          </w:p>
        </w:tc>
      </w:tr>
      <w:tr>
        <w:trPr>
          <w:trHeight w:val="27"/>
        </w:trPr>
        <w:tc>
          <w:tcPr>
            <w:tcW w:w="1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22"/>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11.1</w:t>
            </w:r>
          </w:p>
        </w:tc>
        <w:tc>
          <w:tcPr>
            <w:tcW w:w="2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Statement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re:</w:t>
            </w:r>
          </w:p>
        </w:tc>
        <w:tc>
          <w:tcPr>
            <w:tcW w:w="5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Computation of Income</w:t>
            </w:r>
          </w:p>
        </w:tc>
        <w:tc>
          <w:tcPr>
            <w:tcW w:w="59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per Share.</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526"/>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14.1</w:t>
            </w:r>
          </w:p>
        </w:tc>
        <w:tc>
          <w:tcPr>
            <w:tcW w:w="2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w w:val="95"/>
              </w:rPr>
              <w:t>Code of Ethics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rPr>
              <w:t>Available at Oil-Dri’s website www.oildri.com or in print upon request to</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w w:val="98"/>
              </w:rPr>
              <w:t>Investor  Relations,  Oil-Dri  Corporation  of  America,  410  North  Michigan</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w w:val="91"/>
              </w:rPr>
              <w:t>Avenue, Suite 400, Chicago, IL 60611-4213, telephone (312) 321-1515 or e-mail</w:t>
            </w: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tcPr>
          <w:p>
            <w:pPr>
              <w:ind w:left="40"/>
              <w:spacing w:after="0"/>
              <w:rPr>
                <w:sz w:val="20"/>
                <w:szCs w:val="20"/>
                <w:color w:val="auto"/>
              </w:rPr>
            </w:pPr>
            <w:r>
              <w:rPr>
                <w:rFonts w:ascii="Arial" w:cs="Arial" w:eastAsia="Arial" w:hAnsi="Arial"/>
                <w:sz w:val="18"/>
                <w:szCs w:val="18"/>
                <w:color w:val="auto"/>
              </w:rPr>
              <w:t>to info@oildri.com.</w:t>
            </w:r>
          </w:p>
        </w:tc>
      </w:tr>
      <w:tr>
        <w:trPr>
          <w:trHeight w:val="540"/>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21.1</w:t>
            </w:r>
          </w:p>
        </w:tc>
        <w:tc>
          <w:tcPr>
            <w:tcW w:w="28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Subsidiaries of Oil-Dri.</w:t>
            </w:r>
          </w:p>
        </w:tc>
        <w:tc>
          <w:tcPr>
            <w:tcW w:w="5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526"/>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23.1</w:t>
            </w:r>
          </w:p>
        </w:tc>
        <w:tc>
          <w:tcPr>
            <w:tcW w:w="2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Consent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of</w:t>
            </w:r>
          </w:p>
        </w:tc>
        <w:tc>
          <w:tcPr>
            <w:tcW w:w="5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PricewaterhouseCoopers</w:t>
            </w:r>
          </w:p>
        </w:tc>
        <w:tc>
          <w:tcPr>
            <w:tcW w:w="59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LLP.</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526"/>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Certifications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pursuant</w:t>
            </w:r>
          </w:p>
        </w:tc>
        <w:tc>
          <w:tcPr>
            <w:tcW w:w="596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to Rule 13a – 14(a).</w:t>
            </w:r>
          </w:p>
        </w:tc>
        <w:tc>
          <w:tcPr>
            <w:tcW w:w="5960" w:type="dxa"/>
            <w:vAlign w:val="bottom"/>
          </w:tcPr>
          <w:p>
            <w:pPr>
              <w:spacing w:after="0"/>
              <w:rPr>
                <w:sz w:val="20"/>
                <w:szCs w:val="20"/>
                <w:color w:val="auto"/>
              </w:rPr>
            </w:pPr>
          </w:p>
        </w:tc>
      </w:tr>
      <w:tr>
        <w:trPr>
          <w:trHeight w:val="526"/>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Certifications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pursuant</w:t>
            </w:r>
          </w:p>
        </w:tc>
        <w:tc>
          <w:tcPr>
            <w:tcW w:w="596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to Section 1350 of the</w:t>
            </w:r>
          </w:p>
        </w:tc>
        <w:tc>
          <w:tcPr>
            <w:tcW w:w="59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Sarbanes-Oxley  Act  of</w:t>
            </w:r>
          </w:p>
        </w:tc>
        <w:tc>
          <w:tcPr>
            <w:tcW w:w="59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540"/>
        </w:trPr>
        <w:tc>
          <w:tcPr>
            <w:tcW w:w="1900" w:type="dxa"/>
            <w:vAlign w:val="bottom"/>
            <w:gridSpan w:val="3"/>
          </w:tcPr>
          <w:p>
            <w:pPr>
              <w:jc w:val="center"/>
              <w:ind w:left="1050"/>
              <w:spacing w:after="0"/>
              <w:rPr>
                <w:sz w:val="20"/>
                <w:szCs w:val="20"/>
                <w:color w:val="auto"/>
              </w:rPr>
            </w:pPr>
            <w:r>
              <w:rPr>
                <w:rFonts w:ascii="Arial" w:cs="Arial" w:eastAsia="Arial" w:hAnsi="Arial"/>
                <w:sz w:val="18"/>
                <w:szCs w:val="18"/>
                <w:color w:val="auto"/>
                <w:w w:val="91"/>
              </w:rPr>
              <w:t>99.1</w:t>
            </w:r>
          </w:p>
        </w:tc>
        <w:tc>
          <w:tcPr>
            <w:tcW w:w="28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Mine Safety Disclosure</w:t>
            </w:r>
          </w:p>
        </w:tc>
        <w:tc>
          <w:tcPr>
            <w:tcW w:w="596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right="3720" w:hanging="4451"/>
        <w:spacing w:after="0" w:line="976" w:lineRule="auto"/>
        <w:tabs>
          <w:tab w:leader="none" w:pos="22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73</w:t>
      </w:r>
    </w:p>
    <w:p>
      <w:pPr>
        <w:sectPr>
          <w:pgSz w:w="11900" w:h="16838" w:orient="portrait"/>
          <w:cols w:equalWidth="0" w:num="1">
            <w:col w:w="10280"/>
          </w:cols>
          <w:pgMar w:left="240" w:top="108" w:right="1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2011</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Richard M. Jaffee</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80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80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80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Jeffrey M. Libert</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Jeffrey M. Libert</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Vice President and Chief Financial Officer</w:t>
            </w:r>
          </w:p>
        </w:tc>
        <w:tc>
          <w:tcPr>
            <w:tcW w:w="180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800" w:type="dxa"/>
            <w:vAlign w:val="bottom"/>
          </w:tcPr>
          <w:p>
            <w:pPr>
              <w:spacing w:after="0"/>
              <w:rPr>
                <w:sz w:val="23"/>
                <w:szCs w:val="23"/>
                <w:color w:val="auto"/>
              </w:rPr>
            </w:pPr>
          </w:p>
        </w:tc>
      </w:tr>
      <w:tr>
        <w:trPr>
          <w:trHeight w:val="594"/>
        </w:trPr>
        <w:tc>
          <w:tcPr>
            <w:tcW w:w="550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Vice President, Chief Accounting Officer and Controller</w:t>
            </w:r>
          </w:p>
        </w:tc>
        <w:tc>
          <w:tcPr>
            <w:tcW w:w="180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80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7"/>
              </w:rPr>
              <w:t>J. Steven Cole</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Arnold W. Donald</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Arnold W. Donald</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800" w:type="dxa"/>
            <w:vAlign w:val="bottom"/>
          </w:tcPr>
          <w:p>
            <w:pPr>
              <w:ind w:left="560"/>
              <w:spacing w:after="0"/>
              <w:rPr>
                <w:sz w:val="20"/>
                <w:szCs w:val="20"/>
                <w:color w:val="auto"/>
              </w:rPr>
            </w:pPr>
            <w:r>
              <w:rPr>
                <w:rFonts w:ascii="Arial" w:cs="Arial" w:eastAsia="Arial" w:hAnsi="Arial"/>
                <w:sz w:val="18"/>
                <w:szCs w:val="18"/>
                <w:color w:val="auto"/>
                <w:w w:val="87"/>
              </w:rPr>
              <w:t>October 12, 2011</w:t>
            </w:r>
          </w:p>
        </w:tc>
      </w:tr>
      <w:tr>
        <w:trPr>
          <w:trHeight w:val="27"/>
        </w:trPr>
        <w:tc>
          <w:tcPr>
            <w:tcW w:w="550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Joseph C. Miller</w:t>
            </w:r>
          </w:p>
        </w:tc>
        <w:tc>
          <w:tcPr>
            <w:tcW w:w="180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8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w w:val="95"/>
              </w:rPr>
              <w:t>/s/ Michael A. Nemeroff</w:t>
            </w:r>
          </w:p>
        </w:tc>
        <w:tc>
          <w:tcPr>
            <w:tcW w:w="3640" w:type="dxa"/>
            <w:vAlign w:val="bottom"/>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12, 2011</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540"/>
        </w:trPr>
        <w:tc>
          <w:tcPr>
            <w:tcW w:w="198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4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12, 2011</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4"/>
              </w:rPr>
              <w:t>Allan H. Selig</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540"/>
        </w:trPr>
        <w:tc>
          <w:tcPr>
            <w:tcW w:w="198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4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12, 2011</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0"/>
              </w:rPr>
              <w:t>Paul E. Suckow</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702"/>
        </w:trPr>
        <w:tc>
          <w:tcPr>
            <w:tcW w:w="1980" w:type="dxa"/>
            <w:vAlign w:val="bottom"/>
          </w:tcPr>
          <w:p>
            <w:pPr>
              <w:spacing w:after="0"/>
              <w:rPr>
                <w:sz w:val="24"/>
                <w:szCs w:val="24"/>
                <w:color w:val="auto"/>
              </w:rPr>
            </w:pPr>
          </w:p>
        </w:tc>
        <w:tc>
          <w:tcPr>
            <w:tcW w:w="5240" w:type="dxa"/>
            <w:vAlign w:val="bottom"/>
            <w:gridSpan w:val="2"/>
          </w:tcPr>
          <w:p>
            <w:pPr>
              <w:jc w:val="right"/>
              <w:ind w:right="133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0219"/>
          </w:cols>
          <w:pgMar w:left="240" w:top="125" w:right="1440"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22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VALUATION AND QUALIFYING ACCOUNTS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0"/>
              </w:rPr>
              <w:t>Year Ended July 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5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Beginning balance</w:t>
            </w:r>
          </w:p>
        </w:tc>
        <w:tc>
          <w:tcPr>
            <w:tcW w:w="5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5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5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at end of year</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5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reserve for income taxes:</w:t>
            </w:r>
          </w:p>
        </w:tc>
        <w:tc>
          <w:tcPr>
            <w:tcW w:w="5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Beginning balance</w:t>
            </w:r>
          </w:p>
        </w:tc>
        <w:tc>
          <w:tcPr>
            <w:tcW w:w="5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Additions (Deductions) charged to expense</w:t>
            </w:r>
          </w:p>
        </w:tc>
        <w:tc>
          <w:tcPr>
            <w:tcW w:w="5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Balance at end of year</w:t>
            </w:r>
          </w:p>
        </w:tc>
        <w:tc>
          <w:tcPr>
            <w:tcW w:w="50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040" w:type="dxa"/>
            <w:vAlign w:val="bottom"/>
            <w:vMerge w:val="restart"/>
          </w:tcPr>
          <w:p>
            <w:pPr>
              <w:jc w:val="right"/>
              <w:ind w:right="2810"/>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25" w:right="37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rFonts w:ascii="Arial" w:cs="Arial" w:eastAsia="Arial" w:hAnsi="Arial"/>
                <w:sz w:val="18"/>
                <w:szCs w:val="18"/>
                <w:color w:val="0000FF"/>
                <w:w w:val="94"/>
              </w:rPr>
            </w:pPr>
            <w:hyperlink w:anchor="page2">
              <w:r>
                <w:rPr>
                  <w:rFonts w:ascii="Arial" w:cs="Arial" w:eastAsia="Arial" w:hAnsi="Arial"/>
                  <w:sz w:val="18"/>
                  <w:szCs w:val="18"/>
                  <w:color w:val="0000FF"/>
                  <w:w w:val="94"/>
                </w:rPr>
                <w:t>Table of Contents</w:t>
              </w:r>
            </w:hyperlink>
          </w:p>
        </w:tc>
        <w:tc>
          <w:tcPr>
            <w:tcW w:w="9840" w:type="dxa"/>
            <w:vAlign w:val="bottom"/>
          </w:tcPr>
          <w:p>
            <w:pPr>
              <w:spacing w:after="0"/>
              <w:rPr>
                <w:sz w:val="17"/>
                <w:szCs w:val="17"/>
                <w:color w:val="auto"/>
              </w:rPr>
            </w:pPr>
          </w:p>
        </w:tc>
      </w:tr>
      <w:tr>
        <w:trPr>
          <w:trHeight w:val="912"/>
        </w:trPr>
        <w:tc>
          <w:tcPr>
            <w:tcW w:w="1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39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Exhibit No.</w:t>
            </w:r>
          </w:p>
        </w:tc>
        <w:tc>
          <w:tcPr>
            <w:tcW w:w="9840" w:type="dxa"/>
            <w:vAlign w:val="bottom"/>
          </w:tcPr>
          <w:p>
            <w:pPr>
              <w:ind w:left="4500"/>
              <w:spacing w:after="0"/>
              <w:rPr>
                <w:sz w:val="20"/>
                <w:szCs w:val="20"/>
                <w:color w:val="auto"/>
              </w:rPr>
            </w:pPr>
            <w:r>
              <w:rPr>
                <w:rFonts w:ascii="Arial" w:cs="Arial" w:eastAsia="Arial" w:hAnsi="Arial"/>
                <w:sz w:val="18"/>
                <w:szCs w:val="18"/>
                <w:color w:val="auto"/>
              </w:rPr>
              <w:t>Description</w:t>
            </w:r>
          </w:p>
        </w:tc>
      </w:tr>
      <w:tr>
        <w:trPr>
          <w:trHeight w:val="27"/>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Statement Re: Computation of per share earnings</w:t>
            </w:r>
          </w:p>
        </w:tc>
      </w:tr>
      <w:tr>
        <w:trPr>
          <w:trHeight w:val="540"/>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Subsidiaries of Oil-Dri</w:t>
            </w:r>
          </w:p>
        </w:tc>
      </w:tr>
      <w:tr>
        <w:trPr>
          <w:trHeight w:val="540"/>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Consent of PricewaterhouseCoopers LLP</w:t>
            </w:r>
          </w:p>
        </w:tc>
      </w:tr>
      <w:tr>
        <w:trPr>
          <w:trHeight w:val="52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w w:val="97"/>
              </w:rPr>
              <w:t>Certifications by Daniel S. Jaffee, President and Chief Executive Officer, Jeffrey M. Libert, Chief Financial Officer and Daniel T.</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Smith, Chief Accounting Officer, required by Rule 13a-14(a)</w:t>
            </w:r>
          </w:p>
        </w:tc>
      </w:tr>
      <w:tr>
        <w:trPr>
          <w:trHeight w:val="540"/>
        </w:trPr>
        <w:tc>
          <w:tcPr>
            <w:tcW w:w="112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1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418"/>
        </w:trPr>
        <w:tc>
          <w:tcPr>
            <w:tcW w:w="1360" w:type="dxa"/>
            <w:vAlign w:val="bottom"/>
            <w:gridSpan w:val="3"/>
          </w:tcPr>
          <w:p>
            <w:pPr>
              <w:ind w:left="700"/>
              <w:spacing w:after="0"/>
              <w:rPr>
                <w:sz w:val="20"/>
                <w:szCs w:val="20"/>
                <w:color w:val="auto"/>
              </w:rPr>
            </w:pPr>
            <w:r>
              <w:rPr>
                <w:rFonts w:ascii="Arial" w:cs="Arial" w:eastAsia="Arial" w:hAnsi="Arial"/>
                <w:sz w:val="18"/>
                <w:szCs w:val="18"/>
                <w:color w:val="auto"/>
              </w:rPr>
              <w:t>Note:</w:t>
            </w:r>
          </w:p>
        </w:tc>
        <w:tc>
          <w:tcPr>
            <w:tcW w:w="9840" w:type="dxa"/>
            <w:vAlign w:val="bottom"/>
          </w:tcPr>
          <w:p>
            <w:pPr>
              <w:ind w:left="20"/>
              <w:spacing w:after="0"/>
              <w:rPr>
                <w:sz w:val="20"/>
                <w:szCs w:val="20"/>
                <w:color w:val="auto"/>
              </w:rPr>
            </w:pPr>
            <w:r>
              <w:rPr>
                <w:rFonts w:ascii="Arial" w:cs="Arial" w:eastAsia="Arial" w:hAnsi="Arial"/>
                <w:sz w:val="18"/>
                <w:szCs w:val="18"/>
                <w:color w:val="auto"/>
                <w:w w:val="92"/>
              </w:rPr>
              <w:t>Stockholders may receive copies of the above listed exhibits, without fee, by written request to Investor Relations, Oil-Dri Corporation</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of America, 410 North Michigan Avenue, Suite 400, Chicago, Illinois 60611-4213, telephone (312) 321-1515 or e-mail to</w:t>
            </w: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info@oildri.com.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108"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6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2009</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9,051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9,586</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8,928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9,428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9,540</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1,908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1,874</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97"/>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7,103</w:t>
            </w:r>
          </w:p>
        </w:tc>
        <w:tc>
          <w:tcPr>
            <w:tcW w:w="1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7,275</w:t>
            </w:r>
          </w:p>
        </w:tc>
        <w:tc>
          <w:tcPr>
            <w:tcW w:w="1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7,200</w:t>
            </w:r>
          </w:p>
        </w:tc>
      </w:tr>
      <w:tr>
        <w:trPr>
          <w:trHeight w:val="257"/>
        </w:trPr>
        <w:tc>
          <w:tcPr>
            <w:tcW w:w="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Net Income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fiscal year 2010, we adopted guidance under Accounting Standards Codification Topic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diluted average shares outstanding and net income per share for all prior periods presented.</w:t>
      </w:r>
    </w:p>
    <w:p>
      <w:pPr>
        <w:sectPr>
          <w:pgSz w:w="11900" w:h="16838" w:orient="portrait"/>
          <w:cols w:equalWidth="0" w:num="1">
            <w:col w:w="11420"/>
          </w:cols>
          <w:pgMar w:left="240" w:top="5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SUBSIDIARIES OF OIL-DRI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Pr>
          <w:p>
            <w:pPr>
              <w:ind w:left="40"/>
              <w:spacing w:after="0"/>
              <w:rPr>
                <w:sz w:val="20"/>
                <w:szCs w:val="20"/>
                <w:color w:val="auto"/>
              </w:rPr>
            </w:pPr>
            <w:r>
              <w:rPr>
                <w:rFonts w:ascii="Arial" w:cs="Arial" w:eastAsia="Arial" w:hAnsi="Arial"/>
                <w:sz w:val="18"/>
                <w:szCs w:val="18"/>
                <w:color w:val="auto"/>
              </w:rPr>
              <w:t>Georgia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Nevada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7"/>
        </w:trPr>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80"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333-87008, No. 333-87010 and No. 333-139550) of Oil-Dri Corporation of America of our report dated October 12, 2011 relating to the financial statements, financial statement schedules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2011</w:t>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
              <w:spacing w:after="0"/>
              <w:rPr>
                <w:sz w:val="20"/>
                <w:szCs w:val="20"/>
                <w:color w:val="auto"/>
              </w:rPr>
            </w:pPr>
            <w:r>
              <w:rPr>
                <w:rFonts w:ascii="Arial" w:cs="Arial" w:eastAsia="Arial" w:hAnsi="Arial"/>
                <w:sz w:val="18"/>
                <w:szCs w:val="18"/>
                <w:color w:val="auto"/>
              </w:rPr>
              <w:t>October 12, 2011</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318"/>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297"/>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5"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31.1 (CONTINUED):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Jeffrey M. Libert,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66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40"/>
              <w:spacing w:after="0"/>
              <w:rPr>
                <w:sz w:val="20"/>
                <w:szCs w:val="20"/>
                <w:color w:val="auto"/>
              </w:rPr>
            </w:pPr>
            <w:r>
              <w:rPr>
                <w:rFonts w:ascii="Arial" w:cs="Arial" w:eastAsia="Arial" w:hAnsi="Arial"/>
                <w:sz w:val="18"/>
                <w:szCs w:val="18"/>
                <w:color w:val="auto"/>
              </w:rPr>
              <w:t>October 12, 2011</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40"/>
              <w:spacing w:after="0"/>
              <w:rPr>
                <w:sz w:val="20"/>
                <w:szCs w:val="20"/>
                <w:color w:val="auto"/>
              </w:rPr>
            </w:pPr>
            <w:r>
              <w:rPr>
                <w:rFonts w:ascii="Arial" w:cs="Arial" w:eastAsia="Arial" w:hAnsi="Arial"/>
                <w:sz w:val="18"/>
                <w:szCs w:val="18"/>
                <w:color w:val="auto"/>
              </w:rPr>
              <w:t>/s/ Jeffrey M. Libert</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318"/>
        </w:trPr>
        <w:tc>
          <w:tcPr>
            <w:tcW w:w="108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Jeffrey M. Libert</w:t>
            </w:r>
          </w:p>
        </w:tc>
      </w:tr>
      <w:tr>
        <w:trPr>
          <w:trHeight w:val="297"/>
        </w:trPr>
        <w:tc>
          <w:tcPr>
            <w:tcW w:w="108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77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0"/>
              <w:spacing w:after="0"/>
              <w:rPr>
                <w:sz w:val="20"/>
                <w:szCs w:val="20"/>
                <w:color w:val="auto"/>
              </w:rPr>
            </w:pPr>
            <w:r>
              <w:rPr>
                <w:rFonts w:ascii="Arial" w:cs="Arial" w:eastAsia="Arial" w:hAnsi="Arial"/>
                <w:sz w:val="18"/>
                <w:szCs w:val="18"/>
                <w:color w:val="auto"/>
              </w:rPr>
              <w:t>October 12, 2011</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318"/>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Chief Accounting Officer and Controller</w:t>
            </w:r>
          </w:p>
        </w:tc>
      </w:tr>
    </w:tbl>
    <w:p>
      <w:pPr>
        <w:sectPr>
          <w:pgSz w:w="11900" w:h="16838" w:orient="portrait"/>
          <w:cols w:equalWidth="0" w:num="1">
            <w:col w:w="11420"/>
          </w:cols>
          <w:pgMar w:left="240" w:top="801"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12,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12,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Jeffrey M. Libert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1017"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EXHIBIT 32.1 (CONTINUED):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12,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Accounting Officer and Controller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1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section 1503(a) of the Dodd-Frank Act, each operator of a coal or other mine is required to include certain mine safety information in its periodic reports filed with the SEC. The tables below include this mine safety information for each mine facility owned and operated by Oil-Dri Corporation of America, or its subsidiaries, for the quarter and fiscal year ended July 31, 2011. The columns in the table represent the total number of and the proposed dollar assessment for violations, citations and orders issued by MSHA upon periodic inspection of our mine facilities in accordance with the referenced sections of the Mine Act, described as follows: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Total Dollar Value of Proposed MSHA Assessments: Each issuance of a citation or order by MSHA results in the assessment of a monetary penalty. The total dollar value presented includes any contested penalties. As of July 31, 2011, we were contesting 229 citations and orders, representing $268,471 in proposed MSHA assessments in the aggregate, before the Federal Mine Safety and Health Review Commission.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34290</wp:posOffset>
            </wp:positionV>
            <wp:extent cx="6011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6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2"/>
              </w:rPr>
              <w:t>Total Dollar Value</w:t>
            </w:r>
          </w:p>
        </w:tc>
      </w:tr>
      <w:tr>
        <w:trPr>
          <w:trHeight w:val="216"/>
        </w:trPr>
        <w:tc>
          <w:tcPr>
            <w:tcW w:w="2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2"/>
              </w:rPr>
              <w:t>104(d)</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w w:val="91"/>
              </w:rPr>
              <w:t>Section 110(b) Section 107(a)</w:t>
            </w:r>
          </w:p>
        </w:tc>
        <w:tc>
          <w:tcPr>
            <w:tcW w:w="20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8"/>
              </w:rPr>
              <w:t>of Proposed</w:t>
            </w:r>
          </w:p>
        </w:tc>
      </w:tr>
      <w:tr>
        <w:trPr>
          <w:trHeight w:val="216"/>
        </w:trPr>
        <w:tc>
          <w:tcPr>
            <w:tcW w:w="2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Citations and</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9"/>
              </w:rPr>
              <w:t>MSHA</w:t>
            </w:r>
          </w:p>
        </w:tc>
      </w:tr>
      <w:tr>
        <w:trPr>
          <w:trHeight w:val="230"/>
        </w:trPr>
        <w:tc>
          <w:tcPr>
            <w:tcW w:w="2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Danger Orders</w:t>
            </w: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5"/>
              </w:rPr>
              <w:t>Assessments</w:t>
            </w:r>
          </w:p>
        </w:tc>
      </w:tr>
      <w:tr>
        <w:trPr>
          <w:trHeight w:val="27"/>
        </w:trPr>
        <w:tc>
          <w:tcPr>
            <w:tcW w:w="2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Ochlocknee, Georgia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Blue Mountain, Mississippi</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99.1 (CONTINUED):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Twelve Months Ended 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34290</wp:posOffset>
            </wp:positionV>
            <wp:extent cx="6791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3"/>
          </w:tcPr>
          <w:p>
            <w:pPr>
              <w:jc w:val="center"/>
              <w:ind w:right="10"/>
              <w:spacing w:after="0"/>
              <w:rPr>
                <w:sz w:val="20"/>
                <w:szCs w:val="20"/>
                <w:color w:val="auto"/>
              </w:rPr>
            </w:pPr>
            <w:r>
              <w:rPr>
                <w:rFonts w:ascii="Arial" w:cs="Arial" w:eastAsia="Arial" w:hAnsi="Arial"/>
                <w:sz w:val="18"/>
                <w:szCs w:val="18"/>
                <w:color w:val="auto"/>
                <w:w w:val="93"/>
              </w:rPr>
              <w:t>Total Dollar Value of:</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Section 104</w:t>
            </w:r>
          </w:p>
        </w:tc>
        <w:tc>
          <w:tcPr>
            <w:tcW w:w="8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Proposed MSHA</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“Significant and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107(a)</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5"/>
              </w:rPr>
              <w:t>Assessments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(2)Flagrant</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5"/>
              </w:rPr>
              <w:t>Proposed MSHA</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Outstanding as of</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Danger Orders</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89"/>
              </w:rPr>
              <w:t>Assessments</w:t>
            </w:r>
          </w:p>
        </w:tc>
        <w:tc>
          <w:tcPr>
            <w:tcW w:w="14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1"/>
              </w:rPr>
              <w:t>July 31, 2011</w:t>
            </w:r>
          </w:p>
        </w:tc>
        <w:tc>
          <w:tcPr>
            <w:tcW w:w="0" w:type="dxa"/>
            <w:vAlign w:val="bottom"/>
          </w:tcPr>
          <w:p>
            <w:pPr>
              <w:spacing w:after="0"/>
              <w:rPr>
                <w:sz w:val="1"/>
                <w:szCs w:val="1"/>
                <w:color w:val="auto"/>
              </w:rPr>
            </w:pPr>
          </w:p>
        </w:tc>
      </w:tr>
      <w:tr>
        <w:trPr>
          <w:trHeight w:val="27"/>
        </w:trPr>
        <w:tc>
          <w:tcPr>
            <w:tcW w:w="20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Ochlocknee, Georgia</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171,958</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221,105</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5,148</w:t>
            </w:r>
          </w:p>
        </w:tc>
        <w:tc>
          <w:tcPr>
            <w:tcW w:w="1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122"/>
        </w:trPr>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4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23,363</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One fatality occurred following an accident at our Georgia plant involving a non-Oil-Dri employee during the twelve months ended July 31, 2011. During fiscal 2011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 issued a proposed Item 106 of Regulation S-K to implement the mine safety reporting requirements of the Dodd-Frank Act. It is possible that the final rule adopted by the SEC will require disclosures that differ from the above presentation.</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2020-02-18T23:31:16Z</dcterms:created>
  <dcterms:modified xsi:type="dcterms:W3CDTF">2020-02-18T23:31:16Z</dcterms:modified>
</cp:coreProperties>
</file>