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Quarterly Period Ended January 31, 2023</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286" w:right="419" w:bottom="1440" w:gutter="0" w:footer="0" w:header="0"/>
        </w:sectPr>
      </w:pPr>
    </w:p>
    <w:p>
      <w:pPr>
        <w:spacing w:after="0" w:line="8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6"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6" w:right="419" w:bottom="1440" w:gutter="0" w:footer="0" w:header="0"/>
          <w:type w:val="continuous"/>
        </w:sectPr>
      </w:pPr>
    </w:p>
    <w:p>
      <w:pPr>
        <w:spacing w:after="0" w:line="103"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87" w:lineRule="exact"/>
        <w:rPr>
          <w:sz w:val="24"/>
          <w:szCs w:val="24"/>
          <w:color w:val="auto"/>
        </w:rPr>
      </w:pPr>
    </w:p>
    <w:p>
      <w:pPr>
        <w:sectPr>
          <w:pgSz w:w="11900" w:h="16838" w:orient="portrait"/>
          <w:cols w:equalWidth="0" w:num="5">
            <w:col w:w="2620" w:space="440"/>
            <w:col w:w="1380" w:space="200"/>
            <w:col w:w="1720" w:space="60"/>
            <w:col w:w="1320" w:space="460"/>
            <w:col w:w="2960"/>
          </w:cols>
          <w:pgMar w:left="320" w:top="1286"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286"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3980" w:space="720"/>
            <w:col w:w="1440" w:space="660"/>
            <w:col w:w="4360"/>
          </w:cols>
          <w:pgMar w:left="320" w:top="1286" w:right="4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6" w:right="4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2023.</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5,119,546 Shares and Class B Stock – 2,045,415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6"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Financial Statements</w:t>
            </w:r>
          </w:p>
        </w:tc>
        <w:tc>
          <w:tcPr>
            <w:tcW w:w="1700" w:type="dxa"/>
            <w:vAlign w:val="bottom"/>
            <w:gridSpan w:val="5"/>
            <w:shd w:val="clear" w:color="auto" w:fill="CCEEFF"/>
          </w:tcPr>
          <w:p>
            <w:pPr>
              <w:jc w:val="center"/>
              <w:ind w:left="1430"/>
              <w:spacing w:after="0" w:line="189" w:lineRule="exact"/>
              <w:rPr>
                <w:sz w:val="20"/>
                <w:szCs w:val="20"/>
                <w:color w:val="auto"/>
              </w:rPr>
            </w:pPr>
            <w:r>
              <w:rPr>
                <w:rFonts w:ascii="Arial" w:cs="Arial" w:eastAsia="Arial" w:hAnsi="Arial"/>
                <w:sz w:val="18"/>
                <w:szCs w:val="18"/>
                <w:color w:val="0000FF"/>
                <w:w w:val="99"/>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Controls and Procedures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Risk Factors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Mine Safety Disclosures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Exhibits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0000FF"/>
              </w:rPr>
              <w:t>Signatures</w:t>
            </w:r>
          </w:p>
        </w:tc>
        <w:tc>
          <w:tcPr>
            <w:tcW w:w="1800" w:type="dxa"/>
            <w:vAlign w:val="bottom"/>
            <w:gridSpan w:val="6"/>
            <w:shd w:val="clear" w:color="auto" w:fill="CCEEFF"/>
          </w:tcPr>
          <w:p>
            <w:pPr>
              <w:jc w:val="center"/>
              <w:ind w:left="1330"/>
              <w:spacing w:after="0" w:line="189" w:lineRule="exact"/>
              <w:rPr>
                <w:sz w:val="20"/>
                <w:szCs w:val="20"/>
                <w:color w:val="auto"/>
              </w:rPr>
            </w:pPr>
            <w:r>
              <w:rPr>
                <w:rFonts w:ascii="Arial" w:cs="Arial" w:eastAsia="Arial" w:hAnsi="Arial"/>
                <w:sz w:val="18"/>
                <w:szCs w:val="18"/>
                <w:color w:val="0000FF"/>
                <w:w w:val="89"/>
              </w:rPr>
              <w:t>34</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2022, and from time to time in our filings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9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and "Ultra-Clear"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for share and per share amounts)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900" w:type="dxa"/>
            <w:vAlign w:val="bottom"/>
          </w:tcPr>
          <w:p>
            <w:pPr>
              <w:ind w:left="14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16,298</w:t>
            </w: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net allowances of</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$1,037 and $922 at January 31, 2023 and July 31, 2022, respectively</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57,179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51,683</w:t>
            </w: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35,562</w:t>
            </w: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7,474</w:t>
            </w: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w:t>
            </w: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114,681</w:t>
            </w: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292,615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283,240</w:t>
            </w: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(180,936)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(175,374)</w:t>
            </w: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111,679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107,866</w:t>
            </w: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3,618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3,618</w:t>
            </w: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$550 and $524 at January 31, 2023 and July 31, 2022, respectively</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w:t>
            </w: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of $7,685 and $7,608 at January 31, 2023 and July 31, 2022, respectively</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10,601</w:t>
            </w: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7,546</w:t>
            </w: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24,777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27,064</w:t>
            </w: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256,044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249,611</w:t>
            </w: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11,048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13,401</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2,178</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33,785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30,085</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49,541</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48,515</w:t>
            </w: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$191 and $202 at January 31, 2023 and July 31, 2022, respectively</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31,809</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31,798</w:t>
            </w: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4,441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4,559</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9,749</w:t>
            </w: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49,529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50,747</w:t>
            </w: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99,070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99,262</w:t>
            </w: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8,744,223 shares at January 31, 2023</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8,686,768 shares at July 31, 2022</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w:t>
            </w: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2,397,056 shares at January 31, 2023</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2,397,056 shares at July 31, 2022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54,328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52,467</w:t>
            </w: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184,133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178,754</w:t>
            </w: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(2,325)</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(3,624,677 Common and 351,641 Class B shares at</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January 31, 2023 and 3,609,938 Common and 351,641 Class B shares at July 31, 2022)</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(79,886)</w:t>
            </w:r>
          </w:p>
        </w:tc>
        <w:tc>
          <w:tcPr>
            <w:tcW w:w="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(79,428)</w:t>
            </w: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156,974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150,349</w:t>
            </w: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256,044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9"/>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7"/>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129"/>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200,208</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169,670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(154,882)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(140,266)</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45,326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29,404</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(31,451)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 (1)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1,953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 (1)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r>
      <w:tr>
        <w:trPr>
          <w:trHeight w:val="229"/>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1,975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1,966</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0.5600</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0.5400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0.4200</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0.4050</w:t>
            </w:r>
          </w:p>
        </w:tc>
      </w:tr>
    </w:tbl>
    <w:p>
      <w:pPr>
        <w:spacing w:after="0" w:line="310" w:lineRule="exact"/>
        <w:rPr>
          <w:sz w:val="20"/>
          <w:szCs w:val="20"/>
          <w:color w:val="auto"/>
        </w:rPr>
      </w:pPr>
    </w:p>
    <w:p>
      <w:pPr>
        <w:ind w:left="260" w:hanging="252"/>
        <w:spacing w:after="0" w:line="308" w:lineRule="auto"/>
        <w:tabs>
          <w:tab w:leader="none" w:pos="28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of Basic Common potential common stock equivalents related to non-vested restricted stock of $7 thousand shares was excluded from the computation of average diluted shares outstanding for the six months ended January 31, 2023, as inclusion would have been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9"/>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7"/>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9,097</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56"/>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8,955</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20"/>
          </w:cols>
          <w:pgMar w:left="320" w:top="891" w:right="359" w:bottom="10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014"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9"/>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Borders>
              <w:bottom w:val="single" w:sz="8" w:color="auto"/>
            </w:tcBorders>
          </w:tcPr>
          <w:p>
            <w:pPr>
              <w:spacing w:after="0"/>
              <w:rPr>
                <w:sz w:val="20"/>
                <w:szCs w:val="20"/>
                <w:color w:val="auto"/>
              </w:rPr>
            </w:pPr>
          </w:p>
        </w:tc>
      </w:tr>
      <w:tr>
        <w:trPr>
          <w:trHeight w:val="227"/>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129"/>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101,669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(78,653)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23,016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(15,710)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(Expense)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 (1)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0.56</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1,939</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1,985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1,965</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0.2800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0.2700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0.2100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0.2025</w:t>
            </w:r>
          </w:p>
        </w:tc>
      </w:tr>
    </w:tbl>
    <w:p>
      <w:pPr>
        <w:spacing w:after="0" w:line="296" w:lineRule="exact"/>
        <w:rPr>
          <w:sz w:val="20"/>
          <w:szCs w:val="20"/>
          <w:color w:val="auto"/>
        </w:rPr>
      </w:pPr>
    </w:p>
    <w:p>
      <w:pPr>
        <w:ind w:left="260" w:hanging="252"/>
        <w:spacing w:after="0" w:line="291" w:lineRule="auto"/>
        <w:tabs>
          <w:tab w:leader="none" w:pos="28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 of Basic Common potential common stock equivalents related to non-vested restricted stock of 1 thousand shares was excluded from the computation of average diluted shares outstanding for the three months ended January 31, 2023, as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9"/>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Borders>
              <w:bottom w:val="single" w:sz="8" w:color="auto"/>
            </w:tcBorders>
          </w:tcPr>
          <w:p>
            <w:pPr>
              <w:spacing w:after="0"/>
              <w:rPr>
                <w:sz w:val="20"/>
                <w:szCs w:val="20"/>
                <w:color w:val="auto"/>
              </w:rPr>
            </w:pPr>
          </w:p>
        </w:tc>
      </w:tr>
      <w:tr>
        <w:trPr>
          <w:trHeight w:val="227"/>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3,856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56"/>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4,107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59"/>
              <w:spacing w:after="0"/>
              <w:rPr>
                <w:sz w:val="20"/>
                <w:szCs w:val="20"/>
                <w:color w:val="auto"/>
              </w:rPr>
            </w:pPr>
            <w:r>
              <w:rPr>
                <w:rFonts w:ascii="Arial" w:cs="Arial" w:eastAsia="Arial" w:hAnsi="Arial"/>
                <w:sz w:val="12"/>
                <w:szCs w:val="12"/>
                <w:b w:val="1"/>
                <w:bCs w:val="1"/>
                <w:color w:val="auto"/>
                <w:w w:val="92"/>
              </w:rPr>
              <w:t>For the Three Months Ended 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2"/>
                <w:szCs w:val="12"/>
                <w:b w:val="1"/>
                <w:bCs w:val="1"/>
                <w:color w:val="auto"/>
                <w:w w:val="91"/>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Arial" w:cs="Arial" w:eastAsia="Arial" w:hAnsi="Arial"/>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8"/>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6"/>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October 31, 2021</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11,033,024</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(3,618,510)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1,103</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49,377</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179,164</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(68,922)</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(4,124)</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(297)</w:t>
            </w:r>
          </w:p>
        </w:tc>
        <w:tc>
          <w:tcPr>
            <w:tcW w:w="22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156,301</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2,002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1,961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Arial" w:cs="Arial" w:eastAsia="Arial" w:hAnsi="Arial"/>
                <w:sz w:val="12"/>
                <w:szCs w:val="12"/>
                <w:color w:val="auto"/>
                <w:w w:val="94"/>
              </w:rPr>
              <w:t>(1,844)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(1,844)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(113,236)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(3,910)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(3,910)</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32,000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(850)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(30)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January 31, 2022</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11,065,024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(3,732,596)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1,107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50,220</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179,322</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(72,862)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(4,158)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(338)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153,291</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October 31, 2022</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11,122,674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(3,968,939)</w:t>
            </w: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1,112</w:t>
            </w:r>
          </w:p>
        </w:tc>
        <w:tc>
          <w:tcPr>
            <w:tcW w:w="40" w:type="dxa"/>
            <w:vAlign w:val="bottom"/>
          </w:tcPr>
          <w:p>
            <w:pPr>
              <w:spacing w:after="0"/>
              <w:rPr>
                <w:sz w:val="14"/>
                <w:szCs w:val="14"/>
                <w:color w:val="auto"/>
              </w:rPr>
            </w:pPr>
          </w:p>
        </w:tc>
        <w:tc>
          <w:tcPr>
            <w:tcW w:w="240" w:type="dxa"/>
            <w:vAlign w:val="bottom"/>
            <w:gridSpan w:val="3"/>
          </w:tcPr>
          <w:p>
            <w:pPr>
              <w:ind w:left="120"/>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53,385</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182,135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(79,648)</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(2,576)</w:t>
            </w:r>
          </w:p>
        </w:tc>
        <w:tc>
          <w:tcPr>
            <w:tcW w:w="280" w:type="dxa"/>
            <w:vAlign w:val="bottom"/>
            <w:gridSpan w:val="3"/>
          </w:tcPr>
          <w:p>
            <w:pPr>
              <w:jc w:val="right"/>
              <w:ind w:right="45"/>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(380)</w:t>
            </w:r>
          </w:p>
        </w:tc>
        <w:tc>
          <w:tcPr>
            <w:tcW w:w="220" w:type="dxa"/>
            <w:vAlign w:val="bottom"/>
            <w:gridSpan w:val="3"/>
          </w:tcPr>
          <w:p>
            <w:pPr>
              <w:ind w:left="1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154,028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251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Arial" w:cs="Arial" w:eastAsia="Arial" w:hAnsi="Arial"/>
                <w:sz w:val="12"/>
                <w:szCs w:val="12"/>
                <w:color w:val="auto"/>
                <w:w w:val="94"/>
              </w:rPr>
              <w:t>(1,858)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(1,858)</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(4,133)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(133)</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18,605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(3,246)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840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11,141,279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(3,976,318)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1,114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54,328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184,133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(79,886)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(2,325)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(390)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156,974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center"/>
              <w:ind w:left="299"/>
              <w:spacing w:after="0"/>
              <w:rPr>
                <w:sz w:val="20"/>
                <w:szCs w:val="20"/>
                <w:color w:val="auto"/>
              </w:rPr>
            </w:pPr>
            <w:r>
              <w:rPr>
                <w:rFonts w:ascii="Arial" w:cs="Arial" w:eastAsia="Arial" w:hAnsi="Arial"/>
                <w:sz w:val="12"/>
                <w:szCs w:val="12"/>
                <w:b w:val="1"/>
                <w:bCs w:val="1"/>
                <w:color w:val="auto"/>
                <w:w w:val="92"/>
              </w:rPr>
              <w:t>For the Six Months Ended January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color w:val="auto"/>
              </w:rPr>
              <w:t>Number of 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tcPr>
          <w:p>
            <w:pPr>
              <w:jc w:val="center"/>
              <w:ind w:right="140"/>
              <w:spacing w:after="0" w:line="125" w:lineRule="exact"/>
              <w:rPr>
                <w:sz w:val="20"/>
                <w:szCs w:val="20"/>
                <w:color w:val="auto"/>
              </w:rPr>
            </w:pPr>
            <w:r>
              <w:rPr>
                <w:rFonts w:ascii="Arial" w:cs="Arial" w:eastAsia="Arial" w:hAnsi="Arial"/>
                <w:sz w:val="12"/>
                <w:szCs w:val="12"/>
                <w:color w:val="auto"/>
                <w:w w:val="92"/>
              </w:rPr>
              <w:t>Common &amp; Class</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w w:val="89"/>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25" w:lineRule="exact"/>
              <w:rPr>
                <w:sz w:val="20"/>
                <w:szCs w:val="20"/>
                <w:color w:val="auto"/>
              </w:rPr>
            </w:pPr>
            <w:r>
              <w:rPr>
                <w:rFonts w:ascii="Arial" w:cs="Arial" w:eastAsia="Arial" w:hAnsi="Arial"/>
                <w:sz w:val="12"/>
                <w:szCs w:val="12"/>
                <w:color w:val="auto"/>
                <w:w w:val="96"/>
              </w:rPr>
              <w:t>Common &amp;</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Retained</w:t>
            </w: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color w:val="auto"/>
                <w:w w:val="96"/>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140"/>
              <w:spacing w:after="0" w:line="125" w:lineRule="exact"/>
              <w:rPr>
                <w:sz w:val="20"/>
                <w:szCs w:val="20"/>
                <w:color w:val="auto"/>
              </w:rPr>
            </w:pPr>
            <w:r>
              <w:rPr>
                <w:rFonts w:ascii="Arial" w:cs="Arial" w:eastAsia="Arial" w:hAnsi="Arial"/>
                <w:sz w:val="12"/>
                <w:szCs w:val="12"/>
                <w:color w:val="auto"/>
                <w:w w:val="97"/>
              </w:rPr>
              <w:t>Accumulated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5" w:lineRule="exact"/>
              <w:rPr>
                <w:sz w:val="20"/>
                <w:szCs w:val="20"/>
                <w:color w:val="auto"/>
              </w:rPr>
            </w:pPr>
            <w:r>
              <w:rPr>
                <w:rFonts w:ascii="Arial" w:cs="Arial" w:eastAsia="Arial" w:hAnsi="Arial"/>
                <w:sz w:val="12"/>
                <w:szCs w:val="12"/>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Arial" w:cs="Arial" w:eastAsia="Arial" w:hAnsi="Arial"/>
                <w:sz w:val="12"/>
                <w:szCs w:val="12"/>
                <w:color w:val="auto"/>
              </w:rPr>
              <w:t>Total Stockholders'</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2"/>
                <w:szCs w:val="12"/>
                <w:color w:val="auto"/>
                <w:w w:val="91"/>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2"/>
                <w:szCs w:val="12"/>
                <w:color w:val="auto"/>
                <w:w w:val="90"/>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w w:val="92"/>
              </w:rPr>
              <w:t>Comprehensive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2021</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10,958,367</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(3,539,193)</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1,096</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48,271</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180,443</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(66,154)</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(4,117)</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(307)</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159,232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2,587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2,556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(3,708)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(179,003)</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106,657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(14,400)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496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(507)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January 31, 2022</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11,065,024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(3,732,596)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1,107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50,220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179,322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(72,862)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(4,158)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(338)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153,291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July 31, 2022</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11,083,824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(3,961,579)</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1,108</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52,467</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178,754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(79,428)</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(2,183)</w:t>
            </w:r>
          </w:p>
        </w:tc>
        <w:tc>
          <w:tcPr>
            <w:tcW w:w="40" w:type="dxa"/>
            <w:vAlign w:val="bottom"/>
          </w:tcPr>
          <w:p>
            <w:pPr>
              <w:spacing w:after="0"/>
              <w:rPr>
                <w:sz w:val="14"/>
                <w:szCs w:val="14"/>
                <w:color w:val="auto"/>
              </w:rPr>
            </w:pPr>
          </w:p>
        </w:tc>
        <w:tc>
          <w:tcPr>
            <w:tcW w:w="2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(369)</w:t>
            </w:r>
          </w:p>
        </w:tc>
        <w:tc>
          <w:tcPr>
            <w:tcW w:w="4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150,349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9,097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(7,493)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4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57,455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(7,246)</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(233)</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1,634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1,634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2023</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11,141,279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(3,976,318)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1,114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54,328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184,133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(79,886)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(2,325)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156,974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6"/>
                <w:szCs w:val="16"/>
                <w:color w:val="auto"/>
              </w:rPr>
            </w:pPr>
          </w:p>
        </w:tc>
        <w:tc>
          <w:tcPr>
            <w:tcW w:w="122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390"/>
              <w:spacing w:after="0" w:line="189" w:lineRule="exact"/>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 on the disposals of property, plant and equipment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assets: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(2,432)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liabilities: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Arial" w:cs="Arial" w:eastAsia="Arial" w:hAnsi="Arial"/>
                <w:sz w:val="18"/>
                <w:szCs w:val="18"/>
                <w:b w:val="1"/>
                <w:bCs w:val="1"/>
                <w:color w:val="auto"/>
              </w:rPr>
              <w:t>Total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14,898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(13,280)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Proceeds from issuance of notes payable</w:t>
            </w:r>
          </w:p>
        </w:tc>
        <w:tc>
          <w:tcPr>
            <w:tcW w:w="428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(3,711)</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(2,347)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16,298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13,951</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right"/>
              <w:ind w:right="25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3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9"/>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payments, net of amounts 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280" w:type="dxa"/>
            <w:vAlign w:val="bottom"/>
          </w:tcPr>
          <w:p>
            <w:pPr>
              <w:ind w:left="200"/>
              <w:spacing w:after="0"/>
              <w:rPr>
                <w:sz w:val="20"/>
                <w:szCs w:val="20"/>
                <w:color w:val="auto"/>
              </w:rPr>
            </w:pPr>
            <w:r>
              <w:rPr>
                <w:rFonts w:ascii="Arial" w:cs="Arial" w:eastAsia="Arial" w:hAnsi="Arial"/>
                <w:sz w:val="18"/>
                <w:szCs w:val="18"/>
                <w:color w:val="auto"/>
              </w:rPr>
              <w:t>Income tax payments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1,283</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1,858</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2022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2023 are not necessarily an indication of the results that may be expected for the fiscal year ending July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of our estimates and assumptions are revised periodically. Actual results could differ from these estimates. For more information see "Critical Accounting Policies and Estimates" in Item 2 "Management's Discussion and Analysis of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which are summarized in detail in our Annual Report on Form 10-K for the fiscal year ended July 31, 2022, have not materially changed. The following is a description of certain of our significant accounting policies: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control of finished products are transferred to our customers. We record an allowance for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during the development phase associated with opening a new mine.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spacing w:after="0" w:line="266" w:lineRule="auto"/>
        <w:rPr>
          <w:sz w:val="20"/>
          <w:szCs w:val="20"/>
          <w:color w:val="auto"/>
        </w:rPr>
      </w:pPr>
      <w:r>
        <w:rPr>
          <w:rFonts w:ascii="Arial" w:cs="Arial" w:eastAsia="Arial" w:hAnsi="Arial"/>
          <w:sz w:val="18"/>
          <w:szCs w:val="18"/>
          <w:b w:val="1"/>
          <w:bCs w:val="1"/>
          <w:color w:val="auto"/>
        </w:rPr>
        <w:t xml:space="preserve">Reclamation. </w:t>
      </w:r>
      <w:r>
        <w:rPr>
          <w:rFonts w:ascii="Arial" w:cs="Arial" w:eastAsia="Arial" w:hAnsi="Arial"/>
          <w:sz w:val="18"/>
          <w:szCs w:val="18"/>
          <w:color w:val="auto"/>
        </w:rPr>
        <w:t>We perform ongoing reclamation activities during the normal course of our overburden removal. As overburden is removed from a mine site,</w:t>
      </w:r>
      <w:r>
        <w:rPr>
          <w:rFonts w:ascii="Arial" w:cs="Arial" w:eastAsia="Arial" w:hAnsi="Arial"/>
          <w:sz w:val="18"/>
          <w:szCs w:val="18"/>
          <w:b w:val="1"/>
          <w:bCs w:val="1"/>
          <w:color w:val="auto"/>
        </w:rPr>
        <w:t xml:space="preserve"> </w:t>
      </w:r>
      <w:r>
        <w:rPr>
          <w:rFonts w:ascii="Arial" w:cs="Arial" w:eastAsia="Arial" w:hAnsi="Arial"/>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an annual basis we evaluate our potential reclamation liability in accordance with ASC 410, </w:t>
      </w:r>
      <w:r>
        <w:rPr>
          <w:rFonts w:ascii="Arial" w:cs="Arial" w:eastAsia="Arial" w:hAnsi="Arial"/>
          <w:sz w:val="18"/>
          <w:szCs w:val="18"/>
          <w:i w:val="1"/>
          <w:iCs w:val="1"/>
          <w:color w:val="auto"/>
        </w:rPr>
        <w:t>Asset Retirement and Environmental Obligations.</w:t>
      </w:r>
      <w:r>
        <w:rPr>
          <w:rFonts w:ascii="Arial" w:cs="Arial" w:eastAsia="Arial" w:hAnsi="Arial"/>
          <w:sz w:val="18"/>
          <w:szCs w:val="18"/>
          <w:color w:val="auto"/>
        </w:rPr>
        <w:t xml:space="preserve"> The reclamation assets are depreciated over the estimated useful lives of the various mines. The reclamation liabilities are increased based on a yearly accretion charge over the estimated useful lives of the mines.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provides that a contract is, or contains, a lease if it conveys the right to control the use of an identified asset and, accordingly,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performance obligations under the terms of the contracts with customers are satisfied. Our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$0.2 million and $0.5 million as of January 31, 2023 and July 31, 2022, respectively. This liability is reported in Other within Accrued Expenses on the unaudited Condensed Consolidated Balance Sheet. Revenue recognized during the six months ended January 31, 2023 that was included in the liability for advance payments at the beginning of the period was $0.1 million.</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Current and Noncurrent Liabilities. </w:t>
      </w:r>
      <w:r>
        <w:rPr>
          <w:rFonts w:ascii="Arial" w:cs="Arial" w:eastAsia="Arial" w:hAnsi="Arial"/>
          <w:sz w:val="18"/>
          <w:szCs w:val="18"/>
          <w:color w:val="auto"/>
        </w:rPr>
        <w:t>Other liabilities include the accruals for general expenses not yet paid, cash collected not yet vouchered,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and reclamation liability accrual. Current liabilities are due to be paid within the next 12 months. Included in current liabilities within Accrued Expenses on the unaudited Condensed Consolidated Balance Sheet is $2.5 million for the Georgia landfill modification reserve as modification efforts are expected to begin in the third quarter of fiscal year 2023, refer to Note 7 for further details.</w:t>
      </w:r>
    </w:p>
    <w:p>
      <w:pPr>
        <w:spacing w:after="0" w:line="207" w:lineRule="exact"/>
        <w:rPr>
          <w:sz w:val="20"/>
          <w:szCs w:val="20"/>
          <w:color w:val="auto"/>
        </w:rPr>
      </w:pPr>
    </w:p>
    <w:p>
      <w:pPr>
        <w:ind w:right="5680" w:firstLine="8"/>
        <w:spacing w:after="0" w:line="511"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Adopted Accounting Pronouncements</w:t>
      </w:r>
    </w:p>
    <w:p>
      <w:pPr>
        <w:jc w:val="both"/>
        <w:spacing w:after="0" w:line="255" w:lineRule="auto"/>
        <w:rPr>
          <w:sz w:val="20"/>
          <w:szCs w:val="20"/>
          <w:color w:val="auto"/>
        </w:rPr>
      </w:pPr>
      <w:r>
        <w:rPr>
          <w:rFonts w:ascii="Arial" w:cs="Arial" w:eastAsia="Arial" w:hAnsi="Arial"/>
          <w:sz w:val="18"/>
          <w:szCs w:val="18"/>
          <w:color w:val="auto"/>
        </w:rPr>
        <w:t xml:space="preserve">In March 2020, the FASB issued guidance under ASC 848,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On August 30, 2022 we amended our debt agreements to replace the LIBOR-based reference rate with an adjusted term Secured Overnight Financing Rate (SOFR), ASC 848 will allow us to account for the modification as a continuation of the existing contract without additional analysis.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9"/>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7"/>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18,142</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9,795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9,515</w:t>
            </w:r>
          </w:p>
        </w:tc>
      </w:tr>
      <w:tr>
        <w:trPr>
          <w:trHeight w:val="229"/>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7,905</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37,938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35,562</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The inventory obsolescence reserve was $0.9 million and $0.8 million at January 31, 2023 and July 31, 2022, respectively. Inventories have increased due to a combination of rising costs and building inventory levels for anticipated demand.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are primarily money market mutual funds classified as Level 1. We had no cash equivalents as of January 31, 2023 and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p>
      <w:pPr>
        <w:jc w:val="both"/>
        <w:ind w:right="20"/>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January 31, 2023 and July 31, 2022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$31.2 million and $31.8 million as of January 31, 2023 and July 31, 2022,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Intangible assets, other than goodwill, include trademarks, patents, customer lists and product registrations. Intangible amortization expense was $67 thousand and $138 thousand in the second quarter of fiscal years 2023 and 2022, respectively. Intangible amortization expense was $134 thousand and $253 thousand in the first six months of fiscal years 2023 and 2022, respectively. Estimated intangible amortization for the remainder of fiscal year 2023 is $131 thousand. Estimated intangible amortization for the next five fiscal years is as follows (in thousands):</w:t>
      </w:r>
    </w:p>
    <w:p>
      <w:pPr>
        <w:spacing w:after="0" w:line="91"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2027</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2028</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$0.4 million that was determined to have an indefinite life and is not amortized.</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performed our goodwill impairment analysis on our Retail and Wholesale Products Group and Business to Business Products Group reporting units in the third quarter of fiscal year 2022. As a result, we identified goodwill impairment of $5.6 million which left no remaining goodwill in the Retail and Wholesale Products Group reporting unit and no impairment was identified for the Business to Business Products Group.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triggering events in fiscal year 2023 that would indicate a new impairment analysis is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9"/>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7"/>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13,780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13,439</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4,022</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 Landfill Modification Reserve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1,971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Tax</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10,861</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33,785</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30,085</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change in salaries, wages, commissions and employee benefits relates primarily to the payment of annual bonuses during the first quarter of fiscal year 2023 offset by the increase in labor costs and bonus accrual for the first six months of fiscal year 2023. The increase in freight cost is primarily due to increased fuel prices, export fees and demurrage charges for international ocean freight. Refer to Note 7 for details of the Georgia landfill modification reserve recorded for the first time in the second quarter of fiscal year 2023. Trade promotions and advertising accruals have increased with marketing spend due to timing. Real estate tax decreased due to the timing of payments which typically occur in the second quarter of the fiscal year. Other is higher at January 31, 2023 compared to July 31, 2022 due to an increase in accruals for cash received in advance, account receivable credits, and other accrued expenses due to timing of purchases and rising costs offset by a reduction in professional fees.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CONTINGENCIES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determined a reasonable estimate of this liability within a range, with no amount within that range being a better estimate than any other amount, and therefore recorded that estimate in Other within Accrued expenses. There have been no changes during fiscal 2022 or the six months ended January 31, 2023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19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three months ended January 31, 2023, we recorded a reserve of $2.5 million for anticipated modification costs that we expect to incur to address capacity issues at our sole landfill located in Ochlocknee, Georgia. Reserves are recorded when it is probable that a liability has been incurred and the amount of the liability can be reasonably estimated. The amount of the reserve represents management’s best estimate of the costs for the modification with respect to this matter.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30, 2022, we entered into (i) the Sixth Amendment to Credit Agreement (the "Sixth Amendment"), which amends the Credit Agreement, dated as of January 27, 2006 (as previously amended, the "Credit Agreement"), among us, BMO Harris Bank N.A (“BMO”), and certain of our domestic subsidiaries; and (ii) Amendment No. 3 (the "Third Amendment") to our Amended and Restated Note Purchase and Private Shelf Agreement, dated as of May 15, 2020 (as previously amended, the "Note Agreement"), with PGIM, Inc. ("Prudential") and certain existing noteholders affiliated with Prudential named therein.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96" w:lineRule="auto"/>
        <w:rPr>
          <w:sz w:val="20"/>
          <w:szCs w:val="20"/>
          <w:color w:val="auto"/>
        </w:rPr>
      </w:pPr>
      <w:r>
        <w:rPr>
          <w:rFonts w:ascii="Arial" w:cs="Arial" w:eastAsia="Arial" w:hAnsi="Arial"/>
          <w:sz w:val="16"/>
          <w:szCs w:val="16"/>
          <w:color w:val="auto"/>
        </w:rPr>
        <w:t>The Sixth Amendment amended the Credit Agreement to, among other things: extend the facility termination date to August 30, 2027; replace the LIBOR-based reference rate with an adjusted term Secured Overnight Financing Rate ("SOFR"); revise the method for calculating consolidated EBITDA and consolidated debt for purposes of the Credit Agreement; modify certain restrictive covenants, including increasing the unsecured indebtedness basket from $50 million to $75 million; and revise the existing financial covenants by replacing the consolidated debt covenant with a covenant to maintain a maximum debt to earnings ratio, lowering the minimum fixed charge coverage ratio level and revising the method for calculating the fixed charge coverage ratio.</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Third Amendment amended the Note Agreement to, among other things, modify the existing fixed charge coverage financial covenant and replace the existing consolidated debt financial covenant with a maximum debt to earnings ratio and effect certain changes consistent with the Sixth Amendment, including modifying the method for calculating consolidated EBITDA and the excess leverage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three and six months ended January 31, 2023. Operating lease costs are included in Cost of Sales or SG&amp;A expenses based on the nature of the lease. The following table summarizes total lease costs for our operating leases (in thousands):</w:t>
      </w:r>
    </w:p>
    <w:p>
      <w:pPr>
        <w:spacing w:after="0" w:line="72"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c>
          <w:tcPr>
            <w:tcW w:w="180" w:type="dxa"/>
            <w:vAlign w:val="bottom"/>
          </w:tcPr>
          <w:p>
            <w:pPr>
              <w:spacing w:after="0"/>
              <w:rPr>
                <w:sz w:val="17"/>
                <w:szCs w:val="17"/>
                <w:color w:val="auto"/>
              </w:rPr>
            </w:pPr>
          </w:p>
        </w:tc>
        <w:tc>
          <w:tcPr>
            <w:tcW w:w="24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9"/>
        </w:trPr>
        <w:tc>
          <w:tcPr>
            <w:tcW w:w="2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January 31,</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2"/>
              </w:rPr>
              <w:t>January 31,</w:t>
            </w:r>
          </w:p>
        </w:tc>
        <w:tc>
          <w:tcPr>
            <w:tcW w:w="820" w:type="dxa"/>
            <w:vAlign w:val="bottom"/>
            <w:tcBorders>
              <w:bottom w:val="single" w:sz="8" w:color="auto"/>
            </w:tcBorders>
          </w:tcPr>
          <w:p>
            <w:pPr>
              <w:spacing w:after="0"/>
              <w:rPr>
                <w:sz w:val="20"/>
                <w:szCs w:val="20"/>
                <w:color w:val="auto"/>
              </w:rPr>
            </w:pPr>
          </w:p>
        </w:tc>
      </w:tr>
      <w:tr>
        <w:trPr>
          <w:trHeight w:val="241"/>
        </w:trPr>
        <w:tc>
          <w:tcPr>
            <w:tcW w:w="2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r>
      <w:tr>
        <w:trPr>
          <w:trHeight w:val="250"/>
        </w:trPr>
        <w:tc>
          <w:tcPr>
            <w:tcW w:w="222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687</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1,383</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175"/>
        </w:trPr>
        <w:tc>
          <w:tcPr>
            <w:tcW w:w="2220" w:type="dxa"/>
            <w:vAlign w:val="bottom"/>
          </w:tcPr>
          <w:p>
            <w:pPr>
              <w:spacing w:after="0" w:line="176" w:lineRule="exact"/>
              <w:rPr>
                <w:sz w:val="20"/>
                <w:szCs w:val="20"/>
                <w:color w:val="auto"/>
              </w:rPr>
            </w:pPr>
            <w:r>
              <w:rPr>
                <w:rFonts w:ascii="Arial" w:cs="Arial" w:eastAsia="Arial" w:hAnsi="Arial"/>
                <w:sz w:val="18"/>
                <w:szCs w:val="18"/>
                <w:color w:val="auto"/>
              </w:rPr>
              <w:t>Short-term operating lease</w:t>
            </w: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2220" w:type="dxa"/>
            <w:vAlign w:val="bottom"/>
          </w:tcPr>
          <w:p>
            <w:pPr>
              <w:spacing w:after="0"/>
              <w:rPr>
                <w:sz w:val="20"/>
                <w:szCs w:val="20"/>
                <w:color w:val="auto"/>
              </w:rPr>
            </w:pPr>
            <w:r>
              <w:rPr>
                <w:rFonts w:ascii="Arial" w:cs="Arial" w:eastAsia="Arial" w:hAnsi="Arial"/>
                <w:sz w:val="18"/>
                <w:szCs w:val="18"/>
                <w:color w:val="auto"/>
              </w:rPr>
              <w:t>cost</w:t>
            </w:r>
          </w:p>
        </w:tc>
        <w:tc>
          <w:tcPr>
            <w:tcW w:w="780" w:type="dxa"/>
            <w:vAlign w:val="bottom"/>
          </w:tcPr>
          <w:p>
            <w:pPr>
              <w:spacing w:after="0"/>
              <w:rPr>
                <w:sz w:val="21"/>
                <w:szCs w:val="21"/>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13"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160" w:type="dxa"/>
            <w:vAlign w:val="bottom"/>
          </w:tcPr>
          <w:p>
            <w:pPr>
              <w:spacing w:after="0"/>
              <w:rPr>
                <w:sz w:val="18"/>
                <w:szCs w:val="18"/>
                <w:color w:val="auto"/>
              </w:rPr>
            </w:pPr>
          </w:p>
        </w:tc>
        <w:tc>
          <w:tcPr>
            <w:tcW w:w="280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Three Months Ended</w:t>
            </w:r>
          </w:p>
        </w:tc>
        <w:tc>
          <w:tcPr>
            <w:tcW w:w="160" w:type="dxa"/>
            <w:vAlign w:val="bottom"/>
          </w:tcPr>
          <w:p>
            <w:pPr>
              <w:spacing w:after="0"/>
              <w:rPr>
                <w:sz w:val="18"/>
                <w:szCs w:val="18"/>
                <w:color w:val="auto"/>
              </w:rPr>
            </w:pPr>
          </w:p>
        </w:tc>
        <w:tc>
          <w:tcPr>
            <w:tcW w:w="23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39"/>
        </w:trPr>
        <w:tc>
          <w:tcPr>
            <w:tcW w:w="4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January 31,</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780" w:type="dxa"/>
            <w:vAlign w:val="bottom"/>
            <w:tcBorders>
              <w:bottom w:val="single" w:sz="8" w:color="auto"/>
            </w:tcBorders>
          </w:tcPr>
          <w:p>
            <w:pPr>
              <w:spacing w:after="0"/>
              <w:rPr>
                <w:sz w:val="20"/>
                <w:szCs w:val="20"/>
                <w:color w:val="auto"/>
              </w:rPr>
            </w:pPr>
          </w:p>
        </w:tc>
      </w:tr>
      <w:tr>
        <w:trPr>
          <w:trHeight w:val="241"/>
        </w:trPr>
        <w:tc>
          <w:tcPr>
            <w:tcW w:w="4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2022</w:t>
            </w:r>
          </w:p>
        </w:tc>
      </w:tr>
      <w:tr>
        <w:trPr>
          <w:trHeight w:val="25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175"/>
        </w:trPr>
        <w:tc>
          <w:tcPr>
            <w:tcW w:w="4160" w:type="dxa"/>
            <w:vAlign w:val="bottom"/>
          </w:tcPr>
          <w:p>
            <w:pPr>
              <w:ind w:left="40"/>
              <w:spacing w:after="0" w:line="176" w:lineRule="exact"/>
              <w:rPr>
                <w:sz w:val="20"/>
                <w:szCs w:val="20"/>
                <w:color w:val="auto"/>
              </w:rPr>
            </w:pPr>
            <w:r>
              <w:rPr>
                <w:rFonts w:ascii="Arial" w:cs="Arial" w:eastAsia="Arial" w:hAnsi="Arial"/>
                <w:sz w:val="18"/>
                <w:szCs w:val="18"/>
                <w:color w:val="auto"/>
                <w:w w:val="93"/>
              </w:rPr>
              <w:t>Cash paid for amounts included in the measurement of</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1,180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30"/>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have no new leases in the three months ended January 31, 2023.</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January 31, 2023</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July 31, 2022</w:t>
            </w:r>
          </w:p>
        </w:tc>
      </w:tr>
      <w:tr>
        <w:trPr>
          <w:trHeight w:val="223"/>
        </w:trPr>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7.6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 years</w:t>
            </w:r>
          </w:p>
        </w:tc>
      </w:tr>
      <w:tr>
        <w:trPr>
          <w:trHeight w:val="229"/>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3.90%</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January 31, 2023, (in thousands):</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1,180</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2,052</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1,919</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2027</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4,577</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12,571</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(1,802)</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OTHER POSTRETIREMENT BENEFITS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Postretirement Health Benefits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on or after March 1, 2020. On September 20, 2022, the Company's Board of Directors approved a resolution to terminate the Company's defined benefit pension plan. The Company expects to complete the termination over a period of eighteen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6"/>
              </w:rPr>
              <w:t>Pension Benefits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78"/>
        </w:trPr>
        <w:tc>
          <w:tcPr>
            <w:tcW w:w="4660" w:type="dxa"/>
            <w:vAlign w:val="bottom"/>
          </w:tcPr>
          <w:p>
            <w:pPr>
              <w:spacing w:after="0"/>
              <w:rPr>
                <w:sz w:val="15"/>
                <w:szCs w:val="15"/>
                <w:color w:val="auto"/>
              </w:rPr>
            </w:pPr>
          </w:p>
        </w:tc>
        <w:tc>
          <w:tcPr>
            <w:tcW w:w="3240" w:type="dxa"/>
            <w:vAlign w:val="bottom"/>
            <w:gridSpan w:val="7"/>
          </w:tcPr>
          <w:p>
            <w:pPr>
              <w:ind w:left="40"/>
              <w:spacing w:after="0" w:line="177" w:lineRule="exact"/>
              <w:rPr>
                <w:sz w:val="20"/>
                <w:szCs w:val="20"/>
                <w:color w:val="auto"/>
              </w:rPr>
            </w:pPr>
            <w:r>
              <w:rPr>
                <w:rFonts w:ascii="Arial" w:cs="Arial" w:eastAsia="Arial" w:hAnsi="Arial"/>
                <w:sz w:val="18"/>
                <w:szCs w:val="18"/>
                <w:b w:val="1"/>
                <w:bCs w:val="1"/>
                <w:color w:val="auto"/>
                <w:w w:val="99"/>
              </w:rPr>
              <w:t>For the Three Months Ended January</w:t>
            </w:r>
          </w:p>
        </w:tc>
        <w:tc>
          <w:tcPr>
            <w:tcW w:w="120" w:type="dxa"/>
            <w:vAlign w:val="bottom"/>
          </w:tcPr>
          <w:p>
            <w:pPr>
              <w:spacing w:after="0"/>
              <w:rPr>
                <w:sz w:val="15"/>
                <w:szCs w:val="15"/>
                <w:color w:val="auto"/>
              </w:rPr>
            </w:pPr>
          </w:p>
        </w:tc>
        <w:tc>
          <w:tcPr>
            <w:tcW w:w="2860" w:type="dxa"/>
            <w:vAlign w:val="bottom"/>
            <w:gridSpan w:val="5"/>
          </w:tcPr>
          <w:p>
            <w:pPr>
              <w:jc w:val="center"/>
              <w:ind w:right="30"/>
              <w:spacing w:after="0" w:line="177"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7"/>
              </w:rPr>
              <w:t>31,</w:t>
            </w:r>
          </w:p>
        </w:tc>
        <w:tc>
          <w:tcPr>
            <w:tcW w:w="108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2023</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5"/>
              </w:rPr>
              <w:t>(558)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actuarial loss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(201)</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80"/>
        </w:trPr>
        <w:tc>
          <w:tcPr>
            <w:tcW w:w="4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Postretirement Health Benefits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78"/>
        </w:trPr>
        <w:tc>
          <w:tcPr>
            <w:tcW w:w="4660" w:type="dxa"/>
            <w:vAlign w:val="bottom"/>
          </w:tcPr>
          <w:p>
            <w:pPr>
              <w:spacing w:after="0"/>
              <w:rPr>
                <w:sz w:val="15"/>
                <w:szCs w:val="15"/>
                <w:color w:val="auto"/>
              </w:rPr>
            </w:pPr>
          </w:p>
        </w:tc>
        <w:tc>
          <w:tcPr>
            <w:tcW w:w="3240" w:type="dxa"/>
            <w:vAlign w:val="bottom"/>
            <w:gridSpan w:val="7"/>
          </w:tcPr>
          <w:p>
            <w:pPr>
              <w:ind w:left="40"/>
              <w:spacing w:after="0" w:line="177" w:lineRule="exact"/>
              <w:rPr>
                <w:sz w:val="20"/>
                <w:szCs w:val="20"/>
                <w:color w:val="auto"/>
              </w:rPr>
            </w:pPr>
            <w:r>
              <w:rPr>
                <w:rFonts w:ascii="Arial" w:cs="Arial" w:eastAsia="Arial" w:hAnsi="Arial"/>
                <w:sz w:val="18"/>
                <w:szCs w:val="18"/>
                <w:b w:val="1"/>
                <w:bCs w:val="1"/>
                <w:color w:val="auto"/>
                <w:w w:val="99"/>
              </w:rPr>
              <w:t>For the Three Months Ended January</w:t>
            </w:r>
          </w:p>
        </w:tc>
        <w:tc>
          <w:tcPr>
            <w:tcW w:w="120" w:type="dxa"/>
            <w:vAlign w:val="bottom"/>
          </w:tcPr>
          <w:p>
            <w:pPr>
              <w:spacing w:after="0"/>
              <w:rPr>
                <w:sz w:val="15"/>
                <w:szCs w:val="15"/>
                <w:color w:val="auto"/>
              </w:rPr>
            </w:pPr>
          </w:p>
        </w:tc>
        <w:tc>
          <w:tcPr>
            <w:tcW w:w="2860" w:type="dxa"/>
            <w:vAlign w:val="bottom"/>
            <w:gridSpan w:val="5"/>
          </w:tcPr>
          <w:p>
            <w:pPr>
              <w:jc w:val="center"/>
              <w:ind w:right="30"/>
              <w:spacing w:after="0" w:line="177"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1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7"/>
              </w:rPr>
              <w:t>31,</w:t>
            </w:r>
          </w:p>
        </w:tc>
        <w:tc>
          <w:tcPr>
            <w:tcW w:w="1080" w:type="dxa"/>
            <w:vAlign w:val="bottom"/>
            <w:tcBorders>
              <w:bottom w:val="single" w:sz="8" w:color="auto"/>
            </w:tcBorders>
          </w:tcPr>
          <w:p>
            <w:pPr>
              <w:spacing w:after="0"/>
              <w:rPr>
                <w:sz w:val="20"/>
                <w:szCs w:val="20"/>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2023</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six months of fiscal year 2023. We have no minimum funding requirements for the remainder of fiscal year 2023.</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9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4880" w:type="dxa"/>
            <w:vAlign w:val="bottom"/>
            <w:tcBorders>
              <w:bottom w:val="single" w:sz="8" w:color="auto"/>
            </w:tcBorders>
            <w:gridSpan w:val="7"/>
          </w:tcPr>
          <w:p>
            <w:pPr>
              <w:ind w:left="100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2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8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8.50%. The graded trend rate is expected to decrease to an ultimate rate of 4.90% in fiscal year 2044.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As a result of a change in management organization during fiscal year 2022 and as part of our routine assessments of our segments, our wholly owned subsidiary located in the United Kingdom (UK) is now included in our Business to Business Products Group and our co-packaged coarse cat litter is now</w:t>
      </w:r>
    </w:p>
    <w:p>
      <w:pPr>
        <w:jc w:val="both"/>
        <w:spacing w:after="0" w:line="271" w:lineRule="auto"/>
        <w:rPr>
          <w:sz w:val="20"/>
          <w:szCs w:val="20"/>
          <w:color w:val="auto"/>
        </w:rPr>
      </w:pPr>
      <w:r>
        <w:rPr>
          <w:rFonts w:ascii="Arial" w:cs="Arial" w:eastAsia="Arial" w:hAnsi="Arial"/>
          <w:sz w:val="18"/>
          <w:szCs w:val="18"/>
          <w:color w:val="auto"/>
        </w:rPr>
        <w:t>included in the Retail and Wholesale Products Group. Prior year net sales and operating income have also been reclassified to reflect these changes. The organization change was intended to better serve our customers and the segment information presented reflects the information regularly reviewed by our chief operating decision maker.</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and marketers of consumer products. The Business to Business Products Group customers include: processors and refiners of edible oils,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2022.</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9"/>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2"/>
              </w:rPr>
              <w:t>Group</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20"/>
                <w:szCs w:val="20"/>
                <w:color w:val="auto"/>
              </w:rPr>
            </w:pPr>
          </w:p>
        </w:tc>
      </w:tr>
      <w:tr>
        <w:trPr>
          <w:trHeight w:val="227"/>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110,580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98,468</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20,787</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17,940</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19,788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37,241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68,841</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53,262</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131,367</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116,408</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98"/>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4"/>
                <w:szCs w:val="24"/>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9"/>
        </w:trPr>
        <w:tc>
          <w:tcPr>
            <w:tcW w:w="3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2"/>
              </w:rPr>
              <w:t>Group</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20"/>
                <w:szCs w:val="20"/>
                <w:color w:val="auto"/>
              </w:rPr>
            </w:pPr>
          </w:p>
        </w:tc>
      </w:tr>
      <w:tr>
        <w:trPr>
          <w:trHeight w:val="227"/>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9"/>
          </w:tcPr>
          <w:p>
            <w:pPr>
              <w:jc w:val="center"/>
              <w:ind w:left="710"/>
              <w:spacing w:after="0"/>
              <w:rPr>
                <w:sz w:val="20"/>
                <w:szCs w:val="20"/>
                <w:color w:val="auto"/>
              </w:rPr>
            </w:pPr>
            <w:r>
              <w:rPr>
                <w:rFonts w:ascii="Arial" w:cs="Arial" w:eastAsia="Arial" w:hAnsi="Arial"/>
                <w:sz w:val="18"/>
                <w:szCs w:val="18"/>
                <w:b w:val="1"/>
                <w:bCs w:val="1"/>
                <w:color w:val="auto"/>
                <w:w w:val="92"/>
              </w:rPr>
              <w:t>For the Three Months Ended January 31,</w:t>
            </w:r>
          </w:p>
        </w:tc>
        <w:tc>
          <w:tcPr>
            <w:tcW w:w="960" w:type="dxa"/>
            <w:vAlign w:val="bottom"/>
            <w:tcBorders>
              <w:bottom w:val="single" w:sz="8" w:color="auto"/>
            </w:tcBorders>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56,382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49,937</w:t>
            </w: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10,133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8,820</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9,785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19,012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35,154</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28,453</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66,515</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58,757</w:t>
            </w:r>
          </w:p>
        </w:tc>
      </w:tr>
      <w:tr>
        <w:trPr>
          <w:trHeight w:val="21"/>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8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July 31, 2022</w:t>
            </w: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83,697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75,644</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130,443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125,293</w:t>
            </w:r>
          </w:p>
        </w:tc>
      </w:tr>
      <w:tr>
        <w:trPr>
          <w:trHeight w:val="229"/>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41,904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48,674</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256,044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249,611</w:t>
            </w: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for employees. In addition, Income from our Business to Business and Retail and Wholesale Products as well as Corporate Expenses for the three and six months ended January 31, 2022 were adjusted for a change in management organization. See Note 1 of the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68,841</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131,367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116,408</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16,256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3,374</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200,208</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169,670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(17,372)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11,476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9,076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9,097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35,154</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66,515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8,682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2,092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101,669</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87,210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(9,110)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(6,598)</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(Expense) Income,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5,039</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January 31, 2023, there were 229,759 shares available for future grants under this plan.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of our non-vested restricted stock as of January 31, 2023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57,000 and 107,000 restricted shares of Common Stock granted during the second quarter of fiscal years 2023 and 2022, respectively. Stock-based compensation expense was $1.6 million and $1.5 million for the second quarter of fiscal years 2023 and 2022, respectively.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9"/>
        </w:trPr>
        <w:tc>
          <w:tcPr>
            <w:tcW w:w="80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28.53</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January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(loss) income by component as of January 31, 2023 (in thousands):</w:t>
      </w: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2"/>
            <w:vMerge w:val="restart"/>
          </w:tcPr>
          <w:p>
            <w:pPr>
              <w:jc w:val="center"/>
              <w:ind w:right="540"/>
              <w:spacing w:after="0"/>
              <w:rPr>
                <w:sz w:val="20"/>
                <w:szCs w:val="20"/>
                <w:color w:val="auto"/>
              </w:rPr>
            </w:pPr>
            <w:r>
              <w:rPr>
                <w:rFonts w:ascii="Arial" w:cs="Arial" w:eastAsia="Arial" w:hAnsi="Arial"/>
                <w:sz w:val="18"/>
                <w:szCs w:val="18"/>
                <w:b w:val="1"/>
                <w:bCs w:val="1"/>
                <w:color w:val="auto"/>
                <w:w w:val="87"/>
              </w:rPr>
              <w:t>Pension and</w:t>
            </w: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80"/>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0" w:type="dxa"/>
            <w:vAlign w:val="bottom"/>
            <w:gridSpan w:val="2"/>
          </w:tcPr>
          <w:p>
            <w:pPr>
              <w:jc w:val="center"/>
              <w:ind w:right="54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Health Benefits</w:t>
            </w: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188"/>
        </w:trPr>
        <w:tc>
          <w:tcPr>
            <w:tcW w:w="4020" w:type="dxa"/>
            <w:vAlign w:val="bottom"/>
          </w:tcPr>
          <w:p>
            <w:pPr>
              <w:ind w:left="20"/>
              <w:spacing w:after="0" w:line="189" w:lineRule="exact"/>
              <w:rPr>
                <w:sz w:val="20"/>
                <w:szCs w:val="20"/>
                <w:color w:val="auto"/>
              </w:rPr>
            </w:pPr>
            <w:r>
              <w:rPr>
                <w:rFonts w:ascii="Arial" w:cs="Arial" w:eastAsia="Arial" w:hAnsi="Arial"/>
                <w:sz w:val="18"/>
                <w:szCs w:val="18"/>
                <w:color w:val="auto"/>
                <w:w w:val="92"/>
              </w:rPr>
              <w:t>Other comprehensive loss before reclassifications, net</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20"/>
                <w:szCs w:val="20"/>
                <w:color w:val="auto"/>
              </w:rPr>
            </w:pPr>
          </w:p>
        </w:tc>
        <w:tc>
          <w:tcPr>
            <w:tcW w:w="18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88"/>
        </w:trPr>
        <w:tc>
          <w:tcPr>
            <w:tcW w:w="40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Net current-period other comprehensive loss, net of tax</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$71,768 and 81,210 for the second quarter of fiscal years 2023 and 2022 respectively and were $126,926 and $156,476 for the first six months of fiscal years 2023 and 2022 respectively. Outstanding accounts receivable from that customer, and its subsidiaries, were $8,661 as of January 31, 2023 and $5,608 as of July 31, 2022.</w:t>
      </w: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One member of our Board is currently the President and Chief Executive Officer of a vendor of ours. Total payments to this vendor for fees and cost reimbursements were $49,916 and $349,773 for the second quarter of fiscal years 2023 and 2022 respectively and were $112,276 and $565,191 for the first six months of fiscal years 2023 and 2022 respectively. There were no outstanding accounts payable to that vendor as of January 31, 2023 or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2022.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as described in Note 11 of the Notes to the unaudited Condensed Consolidated Financial Statements. Each operating segment is discussed individually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Consolidated net sales were at an all-time high in the second quarter and first six months of fiscal year 2023 as we continued to implement strategic price increases across multiple principal products in order to improve profitability in both the Retail and Wholesale Products Group and the Business to Business Products Group. Consolidated net sales increased approximately $14.5 million or 17% in the second quarter of fiscal year 2023 and $30.5 million or 18% for the first six months of fiscal year 2023 compared to the same periods of fiscal year 2022. Consolidated income from operations in the second quarter and first six months of fiscal year 2023 increased by $5.4 million and $11.5 million, respectively compared to the same periods in fiscal year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expenses continued to increase, consolidated net income for the three and six months ended January 31, 2023, were $3.9 million and $9.1 million, respectively, compared to $2.0 million and $2.6 million in the three and six months ended January 31, 2022,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we recorded a $2.5 million reserve for anticipated modification costs that we expect to incur to address the capacity issues at our sole landfill located in Ochlocknee, Georgia. Refer to Note 7 to the Financial Statements for additional details.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Balance Sheets as of January 31, 2023, and our Consolidated Statements of Cash Flows for the second quarter of fiscal year 2023 show a decrease in total cash and cash equivalents from fiscal year-end 2022. The decrease is driven by capital expenditures on property, plant &amp; equipment and an increase in accounts receivables and inventories, offset by improved net income and increased accrued expenses. Refer to the "Liquidity and Capital Resources" section below for more analysis of the movements in cash.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sales for the six months ended January 31, 2023, were $200.2 million, a 18% increase compared to net sales of $169.7 million for the six months ended January 31, 2022. Net sales increased for both our Retail and Wholesale Products Group and Business to Business Products Group, primarily due to price increases implemented across both product groups.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In the first six months of fiscal year 2023, we have been able to reduce our backlog of orders. The actions taken to increase personnel, expand production shifts, increase production equipment, repair equipment, and utilize alternative modes of transportation have driven a reduction of our backlog by $0.9 million, a 13% decrease from July 31, 2022. In order to meet the increase in customer demand, we continue to implement strategies to further reduce labor, manufacturing and freight constraints. Segment results are discussed further below.</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Consolidated gross profit for the first six months of fiscal year 2023 was $45.3 million, or 23% of net sales, compared to $29.4 million, or 17%, of net sales, for the first six months of fiscal year 2022. The increase is driven by higher selling prices across multiple products thus helping to mitigate the increases in costs of goods sold. Our domestic costs of goods sold per ton increased 12%, driven primarily by per ton increases in natural gas, non-fuel manufacturing and freight costs, offset by lower per ton packaging costs. The cost of natural gas per ton used to operate kilns that dry our clay was 47% higher in the first six months of fiscal year 2023 compared to the first six months of fiscal year 2022. There was also a 20% increase in per ton non-fuel manufacturing costs during the first six months of fiscal year 2023 compared to the first six months of fiscal year 2022, due to higher per ton costs for labor, repairs, purchased materials, electricity, depreciation, and diesel. Domestic freight costs per ton increased approximately 15% in the first six months of fiscal year 2023 compared to the same period of fiscal year 2022. This excludes the impact of a significant customer in our cat litter business that altered shipping terms in January 2023 from collect to delivered which further increased our overall freight cost. Ocean freight costs have also increased due to rising fuel prices, export fees, and demurrage charges. In addition, our overall freight costs can vary between periods depending on the mix of products sold and the geographic distribution of our customers. Packaging costs per ton decreased by approximately 3% in the first six months of fiscal year 2023 compared to the first six months of fiscal year 2023 due to lower commodity costs, particularly as it relates to resin and pallet costs. Many of our contracts for packaging purchases are subject to periodic price adjustments, which trail changes in underlying commodity prices.</w:t>
      </w:r>
    </w:p>
    <w:p>
      <w:pPr>
        <w:spacing w:after="0" w:line="20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Total selling, general and administrative expenses of $31.5 million for the first six months of fiscal year 2023 were higher by $4.4 million, or 16%, compared to $27.0 million for the first six months of fiscal year 2022. Unallocated corporate expenses were higher by $4.4 million, or 34%, driven by higher bonus accrual due to improved quarterly results compared to the Company’s performance target under the annual incentive plan as well as an increase in compensation and outside services to support strategic initiatives. The discussion of the segments' operating incomes below describes the changes in SG&amp;A expenses that were allocated to the operating segments.</w:t>
      </w:r>
    </w:p>
    <w:p>
      <w:pPr>
        <w:spacing w:after="0" w:line="22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other (expense) income, net of $(2.4) million for the first six months of fiscal year 2023 compared to a net other income of $0.7 million in the same period of fiscal year 2022. This was mostly due to the $2.5 million reserve recorded for anticipated modification costs to address the landfill capacity issue.</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net income before taxes for the first six months of fiscal year 2023 was $11.5 million compared to $3.1 million for the first six months of fiscal year 2022. Results for the first six months of fiscal year 2023 were driven by the factors discussed above.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a tax expense for the first six months of fiscal year 2023 of $2.4 million compared to $0.5 million for the first six months of fiscal year 2022. Our tax expense was driven primarily by higher net income. We used an estimated annual effective tax rate ("ETR") of 21% in determining our provision for income taxes, which is based on expected annual taxable income and the assessment of various tax deductions, including depletion.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sales of the Business to Business Products Group for the first six months of fiscal year 2023 were $68.8 million, an increase of $15.5 million, or 29%, from net sales of $53.3 million for the first six months of fiscal year 2022, with increases across all three of our businesses in this group. Net sales of our fluids purification products increased approximately $6.7 million, or 22%, compared to the first six months of the prior fiscal year. The increase in net sales was driven by price increases across all regions and continued demand for our products used in the filtration of edible oil, renewable diesel, and jet fuel. Net sales increased in all regions with most of the increase driven by sales in North America when compared to the first half of fiscal year 2022. Net sales of our agricultural and horticultural chemical carrier products increased approximately $6.3 million, or 46%, for the first half of fiscal year 2023 compared to the same period in fiscal year 2022. This is a result of quarterly price increases implemented throughout the year. Net sales of our animal health and nutrition products increased $2.6 million, or 29%, during the first half of fiscal year 2023 compared to the first half of fiscal year 2022. We saw growth in net sales in all regions except Asia and our subsidiary in China, with the most impact coming from Latin America. Latin American sales benefited from the European Union's ("EU") regulations requiring antibiotic-free foreign protein imports, as a large percentage of meat is exported from that region to the EU. North American sales rose due to a new product line and increased distribution. The decrease in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Asia sales is due to timing and ocean freight delays and not indicative of projected sales for the year. Net sales of our subsidiary in China decreased period over period, as discussed in the "Foreign Operations" section below.</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SG&amp;A expenses for the Business to Business Products Group increased approximately 11% or $0.8 million for the first half of fiscal year 2023 compared to the same period of the prior fiscal year. The majority of the increase relates to research and development expenses that are now allocated to the animal health business (a change in where existing costs were allocated), previously included in unallocated corporate expenses and increased travel costs.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to Business Products Group’s operating income for the first six months of fiscal year 2023 was $15.0 million, an increase of $3.0 million, or 25%, from operating income of $12.0 million for the first six months of fiscal year 2022. The increase in operating income was mostly driven by higher net sales across all business within this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Retail and Wholesale Products Group for the first half of fiscal year 2023 were $131.4 million, an increase of $15.0 million, or 13%, from net sales of $116.4 million for the first half of fiscal year 2022 driven by higher net sales of cat litter, industrial and sport products, slightly offset by a decline in our co-packaged cat litter business. Total global cat litter net sales were higher by approximately $12.1 million, or 12% compared to the first six months of fiscal year 2022 driven mostly by price increases. Domestic cat litter net sales were $95.8 million an increase of $11.2 million from the first half of fiscal year 2022 driven primarily by price increases. Increased sales of branded and private label lightweight and coarse litter were partially offset by a decrease in revenue for private label heavy weight litter. Net sales of co-packaged products decreased by approximately $0.5 million compared to the same period in fiscal year 2022. This decrease was primarily driven by our customer discontinuing export sales to one of their foreign subsidiaries as well as softer domestic sales volumes. Net sales of cat litter by our subsidiary in Canada increased period over period, as discussed in "Foreign Operations" below. Net sales of our global industrial and sports products increased approximately $2.8 million, or 16%, compared to the first six months of fiscal year 2022, primarily driven by price increases implemented to rebuild margins, and to a lesser extent from higher volumes.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for the Retail and Wholesale Products Group were lower by approximately $1.1 million, or 14%, during the first half of fiscal year 2023 compared to the first half of fiscal year 2022, primarily due to the timing of marketing and advertising costs. These decreases were partially offset by higher broker sales commissions which are percentage based on net sales, and an increase in our allowance for doubtful accounts due to one customer declaring bankruptcy. We anticipate total advertising expense in fiscal year 2023 to be higher than fiscal year 2022, with a majority of the spend concentrated in the second half of the fiscal year.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 experienced an operating income for the first half of fiscal year 2023 of $16.3 million, an increase of $12.9 million, or 380%, from operating income of $3.4 million for the first half of fiscal year 2022. This was driven primarily by the increase in gross margins due to selling price increases partially offset by higher costs of goods sold, and to a much lesser extent lower than expected advertising spend in the first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first six months of fiscal year 2023 were $11.2 million, an increase of $1.6 million, or 17%, compared to net sales of $9.6 million during the first half of fiscal year 2022. All of our foreign operations, with the exception of our subsidiary in China, experienced an increase in net sales during the half of fiscal year 2023 compared to fiscal year 2022. Total net sales of our subsidiary in Canada during this period increased by $1.3 million, or 22%, compared to the same period in fiscal year 2022 driven by higher private label cat litter net sales offset by a decrease of $0.1 million in net sales of industrial products. The increase in cat litter sales of $1.4 million was driven primarily by price increases instituted in response to rising costs and to a lesser extent by increases in demand. Net sales of our subsidiary in the United Kingdom in the first six months of fiscal year 2023 increased by $0.2 million, or 18%, compared to net sales in the first six months of fiscal year 2022. The increase is driven primarily by price increases which offset the impact of softer sale volumes. Net sales of our subsidiary in Mexico increased during the first six months of fiscal year 2023 compared to the same period of fiscal year 2022 by $0.5 million, or 48% due to growing demand for our animal health products. Net sales of our subsidiary in China decreased $0.4 million, or 22%, during the first half of fiscal year 2023 compared to the first half of fiscal year 2022 primarily due to a transition in our distribution strategy. Net sales by our foreign subsidiaries represented 6% of our consolidated net sales during both the first six months of fiscal year 2023 and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Our foreign subsidiaries reported net income of $0.6 million for the first six months of fiscal year 2023, compared to a net loss of $0.7 million for the first six months of fiscal year 2022. The net income in the first six months of fiscal year 2023 was driven by price increases in Canada and the UK, increased sales volume in Mexico, and reduction of costs of goods sold in China and Indonesia.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of our foreign subsidiaries as of January 31, 2023, were $14.9 million, compared to $13.0 million as of July 31,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2023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Consolidated net sales for the three months ended January 31, 2023, were $101.7 million, a 17% increase compared to net sales of $87.2 million for the three months ended January 31, 2022. Net sales increased for both our Retail and Wholesale Products Group and Business to Business Products Group, primarily due to price increases implemented across both product groups.</w:t>
      </w:r>
    </w:p>
    <w:p>
      <w:pPr>
        <w:spacing w:after="0" w:line="21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The actions taken to increase personnel, expand our production shifts, increase production equipment, make various repairs to equipment, and utilize alternative modes of transportation have driven a reduction of our backlog when compared to prior year. See discussion above in "Results from Operations - Six Months Ended January 31, 2023, compared to Six Months ended January 31, 2022" for more detail on backlog. Segment results are discussed below.</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Consolidated gross profit for the three months ended January 31, 2023, was $23.0 million, or 23% of net sales, compared to $15.6 million, or 18%, of net sales, for the three months ended January 31, 2022. The increase is driven by higher selling prices across multiple products thus helping to mitigate the increases in costs of goods sold. Domestic costs of goods sold per ton rose by 18%, driven primarily by per ton increases in non-fuel manufacturing, freight and natural gas costs. The cost of natural gas per ton used to operate kilns that dry our clay was 9% higher in the second quarter of fiscal year 2023 compared to the second quarter of fiscal year 2022. Per ton non-fuel manufacturing costs rose 28% in the second quarter of fiscal year 2023 compared to the second quarter of fiscal year 2022, due to higher costs for labor, repairs, purchased materials, depreciation, electricity, and diesel. Domestic freight costs per ton increased approximately 17% in the second quarter of fiscal year 2023 compared to the same period of fiscal year 2022. This excludes the impact of a significant customer in our cat litter business that altered shipping terms in January 2023 from collect to delivered which further increased our overall freight cost. Ocean freight costs have also increased due to rising fuel costs, export fees, and demurrage charges. In addition, our overall freight costs can vary between periods depending on the mix of products sold and the geographic distribution of our customers. Packaging costs per ton remained flat in the three months ended January 31, 2023, when compared to the same period of fiscal year 2022. Many of our contracts for packaging purchases are subject to periodic price adjustments, which trail changes in underlying commodity prices.</w:t>
      </w:r>
    </w:p>
    <w:p>
      <w:pPr>
        <w:spacing w:after="0" w:line="19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Total selling, general and administrative expenses of $15.0 million for the three months ended January 31, 2023, were higher by $2.0 million, or 15%, compared to $13.0 million for the same period of fiscal year 2022. Unallocated corporate expenses were higher by $2.5 million, or 38%, driven by higher bonus accrual due to improved quarterly results compared to the Company’s performance target under the annual incentive plan, an increase in compensation and outside services to support strategic initiatives. The discussion of the segments' operating incomes below describes the changes in SG&amp;A expenses that were allocated to the operating segments.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(expense) income, net of $(2.3) million for the three months ended January 31, 2023, decreased compared to net other income of $0.5 million in the same period of fiscal year 2022. This was mostly driven by the reserve recorded for the Georgia landfill modification offset by the impact of foreign currency translation gains. Refer above to Results of Operations – Overview section of Management’s Discussion and Analysis as well as Note 7 to the Financial Statements for additional details of the Georgia landfill modification reserve.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income before taxes for the three months ended January 31, 2023, was $5.0 million compared to $2.4 million for the same period of fiscal year 2022. Results for the second quarter of fiscal year 2023 were driven by the factors discussed above.</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had a tax expense for the second quarter of fiscal year 2023 of $1.2 million compared to $0.4 million for the second quarter of fiscal year 2022. Our tax expense was driven primarily by higher net income. We used an estimated annual ETR of 21% in both periods in determining our provision for income taxes, which is based on expected annual taxable income and the assessment of various tax deductions, including depletion.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sales of the Business to Business Products Group for the three months ended January 31, 2023, were $35.2 million, an increase of $6.7 million, or 24%, from net sales of $28.5 million for the three months ended January 31, 2022, with increases across all three of our businesses in this group. Net sales of our fluids purification products increased approximately $3.5 million, or 22%, compared to the second quarter of fiscal year 2022. The increase in net sales was driven by price increases implemented across all regions. Net sales increased in all regions, with most of the increase driven by North America and the region including Europe, Middle East, and Africa when compared to the three months ended January 31, 2022. Net sales of our agricultural and horticultural chemical carrier products increased approximately $2.5 million, or 34%, for the three months ended January 31, 2023, compared to the same period in fiscal year 2022. This is a result of quarterly price increases implemented throughout the year. Net sales of our animal health and nutrition products increased $0.8 million, or 14%, during the three months ended January 31, 2023, compared to the same period in fiscal year 2022. The growth was driven by North America, Latin America, Asia (excluding China), and Mexico, offset by a decrease in sales in China. North American sales rose due to a strategic focus on this region, several significant new customers, and new product line. In Latin America a shift in product mix and price increases resulted in higher net sales, while the increase in Mexico was driven by higher sales volumes compared to prior year. Net sales of our subsidiary in China decreased period over period, as discussed in the "Foreign Operations" section below.</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SG&amp;A expenses for the Business to Business Products Group in the three months ended January 31, 2023 remained flat compared to the same period of fiscal year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Business to Business Products Group’s operating income for the three months ended January 31, 2023, was $7.7 million, an increase of $1.3 million, or 20%, from operating income of $6.4 million for the three months ended January 31, 2022. The overall increase in operating income was driven primarily by higher net sales due to continued strategic price increases.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Net sales of the Retail and Wholesale Products Group for the three months ended January 31, 2023, were $66.5 million, an increase of $7.8 million, or 13%, from net sales of $58.8 million for the three months ended January 31, 2022, driven by higher net sales of cat litter, industrial and sports products, offset by a decline in our co-packaged cat litter business. Global cat litter net sales were higher by approximately $6.4 million, or 13%, compared to the second quarter of fiscal year 2022 driven by price increases. Domestic cat litter net sales were $49.0 million an increase of $6.1 million driven primarily by price increases. Increased sales of lightweight (branded and private label) and coarse litter were partially offset by a decrease in net sales of private label heavy weight litter, and modest, category wide, elasticity impacts from price increases. Net sales of co-packaged products decreased by approximately $0.2 million compared to the same period in fiscal year 2022. This decrease was primarily due to our customer discontinuing export sales to one of their foreign subsidiaries. Net sales of cat litter by our subsidiary in Canada increased period over period, as discussed in "Foreign Operations" below. Net sales of our global industrial and sports products increased approximately $1.3 million, or 15%, compared to the three months ended January 31, 2022, primarily driven by price increases implemented to rebuild margins, and to a lesser extent from higher volumes.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expenses for the Retail and Wholesale Products Group were lower by approximately $0.6 million, or 16%, during the three months ended January 31, 2023, compared to the same period in fiscal year 2022. The decrease was primarily due to timing of SG&amp;A spend, offset by an increase in our allowance for doubtful accounts due to a customer declaring bankruptcy. Advertising costs in the second quarter of fiscal year 2023 were flat when compared with prior year second quarter. We anticipate total advertising expense in fiscal year 2023 to be higher than fiscal year 2022 and more in line with historical levels, with spending concentrated in the second half of the year.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Retail and Wholesale Products Group experienced an operating income of $8.7 for the second quarter of fiscal year 2023, an increase of $6.5 million, or 315%, from operating income of $2.1 million for the same period of fiscal year 2022. This was driven primarily by the increase in gross margins due to selling price increases partially offset by higher costs of goods sold.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Foreign operations include our subsidiary in Canada which is reported in the Retail and Wholesale Products Group, and our subsidiaries in the UK, Mexico, China and Indonesia, which are reported in the Business to Business Products Group. Net sales by our foreign subsidiaries during the three months ending January 31, 2023 were $5.5 million, an increase of $0.2 million, or 4%, compared to net sales of $5.3 million during the same period of fiscal year 2022 which was driven by increases in net sales in Canada, UK and Mexico offset by reduction in net sales in China and Indonesia. Total net sales of our subsidiary in Canada increased by $0.4 million, or 15%, in the three months ended January 31, 2023, compared to the same period in fiscal year 2022 driven by higher private label cat litter sales. The increase in cat litter sales was mainly driven by price increases instituted in response to rising costs as well as from higher demand. Net sales of industrial products decreased by $0.1 million compared to second quarter of fiscal year 2022. Net sales of our subsidiary in the United Kingdom in the three months ended January 31, 2023, increased by $0.2 million, or 45%, compared to net sales in the three months ended January 31, 2022. The increase primarily relates to prices increases. Net sales of our subsidiary in Mexico increased during the second quarter of fiscal year 2023 compared to the second quarter of fiscal year 2022 by $0.3 million, or 60% due to growing demand of our animal health products. Net sales of our subsidiary in China decreased $0.7 million, or 56%, during the second quarter of fiscal year 2023 compared to the second quarter of fiscal year 2022 primarily due to a transition in our distribution strategy. Net sales by our foreign subsidiaries represented 5% and 6% of our consolidated net sales during the second quarter of fiscal years 2023 and 2022, respectively.</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foreign subsidiaries reported net income of $0.1 million for the three months ended January 31, 2023, compared to a net loss of $0.4 million for the three months ended January 31, 2022. The increase in net income was driven by price increases in Canada and UK, increased sales in Mexico, and a reduction of costs in Indonesia offset by a reduction in net sales in China.</w:t>
      </w:r>
    </w:p>
    <w:p>
      <w:pPr>
        <w:spacing w:after="0" w:line="211"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 xml:space="preserve">Identifiable assets of our foreign subsidiaries as of January 31, 2023, were $19.3 million, compared to $17.4 million as of July 31, 2022. </w:t>
      </w:r>
      <w:r>
        <w:rPr>
          <w:rFonts w:ascii="Arial" w:cs="Arial" w:eastAsia="Arial" w:hAnsi="Arial"/>
          <w:sz w:val="18"/>
          <w:szCs w:val="18"/>
          <w:b w:val="1"/>
          <w:bCs w:val="1"/>
          <w:u w:val="single" w:color="auto"/>
          <w:color w:val="auto"/>
        </w:rPr>
        <w:t>LIQUIDITY AND CAPITAL RESOURCES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principal liquidity needs are to fund our capital requirements, including funding working capital needs; purchasing and upgrading equipment, facilities (including significant renovations at one of our plants), information systems, and real estate; supporting new product development; investing in infrastructure; repurchasing stock; paying dividends; making pension contributions; and, from time to time, business acquisitions, and funding our debt service requirements. During the first six months of fiscal year 2023, we principally funded these short and long-term capital requirements using cash from current operations as well as cash generated in fiscal year 2022 from borrowings under our Series Senior C Notes.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anticipate cash flows from operations and our available sources of liquidity will be sufficient to meet our cash requirements. In addition, we are actively monitoring the timing and collection of our accounts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For the Six Months Ended January</w:t>
      </w:r>
    </w:p>
    <w:p>
      <w:pPr>
        <w:jc w:val="center"/>
        <w:ind w:left="646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36"/>
        </w:trPr>
        <w:tc>
          <w:tcPr>
            <w:tcW w:w="64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(13,280)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(10,574)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14,957</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4,418</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2023 and 2022 were as follows: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Accounts receivable, less allowance for doubtful accounts, increased $5.7 million in the first six months of fiscal year 2023 compared to an increase of $5.0 million in the first six months of fiscal year 2022. The increase in accounts receivable was driven primarily by higher net sales as sales prices increased offset by the level and timing of collections due to payment terms.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increased by $2.4 million in the first six months of both fiscal year 2023 compared to $6.2 million in the first six months of 2022 due to a combination of rising costs, specifically due to natural gas, purchased materials, electricity, repairs, diesel, and freight and the building of inventory levels for anticipated seasonal demand and thwart potential supply chain disruptions.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assets decreased by $2.0 million in the first six months of fiscal year 2023 compared to a decrease of $0.6 million in the first six months of fiscal year 2022. The decrease in other assets in the first six months of fiscal year 2023 relates mostly to capitalized pre-production costs being transferred to property, plant and equipment as the mines are now in production.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payable increased by $0.2 million in the first six months of fiscal year 2023 compared to an increase of $1.3 million in the first six months of fiscal year 2022. Trade and freight payables vary in both periods due to the timing of payments, higher cost of goods and services we purchased, production volume levels and vendor payment terms.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Accrued expenses increased $3.9 million in the first six months of fiscal year 2023 compared to a decrease of $1.6 million in the first six months of fiscal year 2022. The majority of this increase is driven by the $2.5 million reserve added in the second quarter for the Georgia landfill modification as well as higher compensation related expenses accrued for in fiscal year 2023 compared to fiscal year 2022. The increases were offset by the payout of the prior fiscal year's bonus which reduced accrued compensation in both fiscal years, but to a greater extent in fiscal year 2023 as the accrual was higher at year end 2022 than the prior fiscal year. The increase in accrued expenses is also impacted by the decrease in advertising expenses and other accruals that vary based on timing. In addition, accrued plant expenses can also fluctuate due to timing of payments, changes in the cost of goods and services we purchase, production volume levels and vendor payment terms. The decrease in accrued expenses for the first six months of fiscal year 2022 was driven by the payout of the bonuses and real estate taxes offset by higher accrued utilities due to the rising cost of natural gas, higher accrued advertising due to the timing of our advertising programs, and additional accrued capital projects.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liabilities decreased by $0.9 million in the first six months of fiscal year 2023 and $1.0 million for the same period in fiscal year 2022. The decreases in both fiscal years 2023 and 2022 relate primarily to a reduction in the operating lease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of $13.3 million in the first six months of fiscal year 2023 were higher compared to cash used in investing activities of $10.6 million in the first six months of fiscal year 2022 driven by capital expenditures. During the first six months of fiscal year 2023 we expanded our plant equipment and improved our facilities to support increased demand for our products as well as made improvements to our IT network.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of $3.9 million in the first six months of fiscal year 2023 compared to cash provided by financing activities of $15.0 million in the first six months of fiscal year 2022. The decrease is driven by less share repurchases and no additional note issuances in the current year compared to the second quarter of fiscal year 2022. Cash provided by financing activities in the first six months of fiscal year 2022 was primarily driven by the issuance of a $25.0 million note offset by treasury stock repurchases and dividend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balances held by our foreign subsidiaries of $3.4 million as of January 31, 2023, remained relatively flat compared to $3.3 million as of July 31, 2022. See further discussion in "Foreign Operations" above.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spacing w:after="0" w:line="290" w:lineRule="auto"/>
        <w:rPr>
          <w:sz w:val="20"/>
          <w:szCs w:val="20"/>
          <w:color w:val="auto"/>
        </w:rPr>
      </w:pPr>
      <w:r>
        <w:rPr>
          <w:rFonts w:ascii="Arial" w:cs="Arial" w:eastAsia="Arial" w:hAnsi="Arial"/>
          <w:sz w:val="16"/>
          <w:szCs w:val="16"/>
          <w:color w:val="auto"/>
        </w:rPr>
        <w:t>We are party to a credit agreement (as amended, the "Credit Agreement") with BMO Harris Bank N.A. ("BMO Harris"), which terminates on August 30, 2027. The agreement provides for a $45 million unsecured revolving credit facility and a maximum of $10 million for letters of credit. The agreement terms also state that we may select a variable interest rate based on either the BMO Harris prime rate or an adjusted SOFR-based rate, plus a margin that varies depending on our debt to earnings ratio, or a fixed rate as agreed between us and BMO Harris. As of January 31, 2023, the variable rates would have been 7.50% for the BMO Harris prime-based rate or 4.69% for the adjusted SOFR-based rate. The Credit Agreement contains restrictive covenants that, among other things and under various conditions, limit our ability to incur additional indebtedness or to dispose of assets. The agreement also requires us to maintain a minimum fixed charge coverage ratio and a maximum net debt to earnings ratio. As of January 31, 2023 and 2022, we were in compliance with the covenants. There were no borrowings during the first six months of either fiscal year 2023 or 2022.</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party to an Amended and Restated Note Purchase and Private Shelf Agreement (as amended, the "Note Agreement") with PGIM, Inc. ("Prudential") and certain existing noteholders and purchasers affiliated with Prudential named therein pursuant to which, among other things, we issued $10 million in aggregate principal amount of our 3.95% Series B Senior Notes due May 15, 2030 of which $8 million aggregate principal amount remained outstanding as of January 31, 2023. The Note Agreement provides us with the ability to request, from time to time until May 15, 2023 (or such earlier date as provided for in the agreement), the issuance of additional senior unsecured notes in an aggregate principal amount of up to $75 million minus the aggregate principal amount of the notes then outstanding and the additional notes that have been accepted for purchase. The issuance of such additional notes is at the discretion of the noteholders and purchasers and on an uncommitted basis. Pursuant to the Note Agreement, on December 16, 2021, we issued $25 million in aggregate principal amount of our 3.25% Series C Senior Notes due December 16, 2031. As of January 31, 2023 outstanding notes payable totaled $31.8 million, net of $0.2 million of unamortized debt issuance costs.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8 of the Notes to the unaudited Condensed Consolidated Financial Statements in this Quarterly Report on Form 10-Q for discussion on amendments made to the credit agreement with BMO Harris and our Senior Note Agreements.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2023, we had remaining authority to repurchase 429,033 shares of Common Stock and 273,100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cash flow from operations, availability under our revolving credit facility, current cash and investment balances and our ability to obtain other financing, if necessary, will provide sufficient liquidity for foreseeable working capital needs, capital expenditures at existing facilities, deferred compensation payouts, dividend payments and debt service obligations for at least the next 12 months. We expect capital expenditures in fiscal year 2023 to be greater than in fiscal year 2022. We do not believe that these increased capital expenditures will dramatically impact our cash position; however our cash requirements are subject to change as business conditions warrant and opportunities arise. Our anticipated advertising expense for fiscal year 2023 is expected to be higher compared to fiscal year 2022 and in line with historical pre-pandemic levels.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still working remotely. We are continually monitoring and assessing the effects of a hybrid work model on our internal controls to minimize the impact to their design and operating effectiveness.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2023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2022. There have been no material changes to our risk factors since the Company's Annual Report on Form 10-K for the year ended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January 31, 2023, we did not sell any securities which were not registered under the Securities Act of 1933. The following chart summarize our Common Stock and Class B stock purchases during this period. There are no shares of our Class A Common Stock currently outstanding.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8"/>
        </w:trPr>
        <w:tc>
          <w:tcPr>
            <w:tcW w:w="21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Ended January 31, 2023</w:t>
            </w:r>
          </w:p>
        </w:tc>
        <w:tc>
          <w:tcPr>
            <w:tcW w:w="226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3"/>
                <w:szCs w:val="23"/>
                <w:b w:val="1"/>
                <w:bCs w:val="1"/>
                <w:color w:val="auto"/>
                <w:w w:val="85"/>
                <w:vertAlign w:val="superscript"/>
              </w:rPr>
              <w:t>3</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4</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Arial" w:cs="Arial" w:eastAsia="Arial" w:hAnsi="Arial"/>
                <w:sz w:val="18"/>
                <w:szCs w:val="18"/>
                <w:color w:val="auto"/>
              </w:rPr>
              <w:t>November 1, 2022 to</w:t>
            </w:r>
          </w:p>
        </w:tc>
        <w:tc>
          <w:tcPr>
            <w:tcW w:w="22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0"/>
              <w:spacing w:after="0"/>
              <w:rPr>
                <w:sz w:val="20"/>
                <w:szCs w:val="20"/>
                <w:color w:val="auto"/>
              </w:rPr>
            </w:pPr>
            <w:r>
              <w:rPr>
                <w:rFonts w:ascii="Arial" w:cs="Arial" w:eastAsia="Arial" w:hAnsi="Arial"/>
                <w:sz w:val="18"/>
                <w:szCs w:val="18"/>
                <w:color w:val="auto"/>
              </w:rPr>
              <w:t>November 30, 2022</w:t>
            </w:r>
          </w:p>
        </w:tc>
        <w:tc>
          <w:tcPr>
            <w:tcW w:w="2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ind w:left="10"/>
              <w:spacing w:after="0"/>
              <w:rPr>
                <w:sz w:val="20"/>
                <w:szCs w:val="20"/>
                <w:color w:val="auto"/>
              </w:rPr>
            </w:pPr>
            <w:r>
              <w:rPr>
                <w:rFonts w:ascii="Arial" w:cs="Arial" w:eastAsia="Arial" w:hAnsi="Arial"/>
                <w:sz w:val="18"/>
                <w:szCs w:val="18"/>
                <w:color w:val="auto"/>
                <w:w w:val="89"/>
              </w:rPr>
              <w:t>433,166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2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1, 2022 to</w:t>
            </w:r>
          </w:p>
        </w:tc>
        <w:tc>
          <w:tcPr>
            <w:tcW w:w="226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2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88"/>
              </w:rPr>
              <w:t>4,133</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$32.34</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429,033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5"/>
              </w:rPr>
              <w:t>January 1, 2023 to January</w:t>
            </w:r>
          </w:p>
        </w:tc>
        <w:tc>
          <w:tcPr>
            <w:tcW w:w="2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31, 2023</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9"/>
              </w:rPr>
              <w:t>429,033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8"/>
        <w:spacing w:after="0"/>
        <w:tabs>
          <w:tab w:leader="none" w:pos="11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table summarizes repurchases of (and remaining authority to repurchase) shares of our Common Stock. Our Board of Directors authorized the repurchase of 300,000 shares of Class B Stock on March 21, 2018, however there have been no repurchases of Class B Stock for the three months ended January 31, 2023, and the authorized Class B Stock is not included in the table above. No shares of our Class A Common Stock are currently outstanding. Descriptions of our Common Stock, Class B Stock and Class A Common Stock are contained in Exhibit 4.1 of the Annual Report on Form 10-K for the fiscal year ended July 31, 2022.</w:t>
      </w:r>
    </w:p>
    <w:p>
      <w:pPr>
        <w:spacing w:after="0" w:line="231" w:lineRule="exact"/>
        <w:rPr>
          <w:sz w:val="20"/>
          <w:szCs w:val="20"/>
          <w:color w:val="auto"/>
        </w:rPr>
      </w:pPr>
    </w:p>
    <w:p>
      <w:pPr>
        <w:ind w:right="20" w:firstLine="8"/>
        <w:spacing w:after="0" w:line="267" w:lineRule="auto"/>
        <w:tabs>
          <w:tab w:leader="none" w:pos="88"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68" w:lineRule="exact"/>
        <w:rPr>
          <w:sz w:val="20"/>
          <w:szCs w:val="20"/>
          <w:color w:val="auto"/>
        </w:rPr>
      </w:pPr>
    </w:p>
    <w:p>
      <w:pPr>
        <w:ind w:left="120" w:hanging="112"/>
        <w:spacing w:after="0"/>
        <w:tabs>
          <w:tab w:leader="none" w:pos="120"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Includes 4,133 Common Stock shares surrendered by employees to pay taxes related to restricted stock awards.</w:t>
      </w:r>
    </w:p>
    <w:p>
      <w:pPr>
        <w:spacing w:after="0" w:line="229" w:lineRule="exact"/>
        <w:rPr>
          <w:sz w:val="20"/>
          <w:szCs w:val="20"/>
          <w:color w:val="auto"/>
        </w:rPr>
      </w:pPr>
    </w:p>
    <w:p>
      <w:pPr>
        <w:jc w:val="both"/>
        <w:ind w:right="20" w:firstLine="8"/>
        <w:spacing w:after="0" w:line="273" w:lineRule="auto"/>
        <w:tabs>
          <w:tab w:leader="none" w:pos="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authorized the repurchase of 250,000 shares of Common Stock on June 14, 2012 and an additional 750,000 shares of Common Stock on March 11, 2019. These authorizations do not have a stated expiration date.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7900" w:type="dxa"/>
            <w:vAlign w:val="bottom"/>
            <w:gridSpan w:val="8"/>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SEC Document Reference</w:t>
            </w: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Certifications pursuant to Rule 13a–14(a).</w:t>
            </w:r>
          </w:p>
        </w:tc>
        <w:tc>
          <w:tcPr>
            <w:tcW w:w="3760" w:type="dxa"/>
            <w:vAlign w:val="bottom"/>
            <w:gridSpan w:val="3"/>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0000FF"/>
              </w:rPr>
              <w:t>Certifications pursuant to Section 1350 of the Sarbanes-Oxley Act of 2002.</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264"/>
        </w:trPr>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Mine Safety Disclosures</w:t>
            </w:r>
            <w:r>
              <w:rPr>
                <w:rFonts w:ascii="Arial" w:cs="Arial" w:eastAsia="Arial" w:hAnsi="Arial"/>
                <w:sz w:val="18"/>
                <w:szCs w:val="18"/>
                <w:color w:val="000000"/>
              </w:rPr>
              <w:t>.</w:t>
            </w:r>
          </w:p>
        </w:tc>
        <w:tc>
          <w:tcPr>
            <w:tcW w:w="1380" w:type="dxa"/>
            <w:vAlign w:val="bottom"/>
            <w:gridSpan w:val="2"/>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84"/>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5"/>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bl>
    <w:p>
      <w:pPr>
        <w:spacing w:after="0" w:line="323"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2023</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320"/>
          </w:cols>
          <w:pgMar w:left="660" w:top="895" w:right="91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3" w:lineRule="auto"/>
        <w:tabs>
          <w:tab w:leader="none" w:pos="1960" w:val="left"/>
        </w:tabs>
        <w:numPr>
          <w:ilvl w:val="3"/>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9, 2023</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82"/>
        </w:trPr>
        <w:tc>
          <w:tcPr>
            <w:tcW w:w="840" w:type="dxa"/>
            <w:vAlign w:val="bottom"/>
          </w:tcPr>
          <w:p>
            <w:pPr>
              <w:spacing w:after="0"/>
              <w:rPr>
                <w:sz w:val="15"/>
                <w:szCs w:val="15"/>
                <w:color w:val="auto"/>
              </w:rPr>
            </w:pPr>
          </w:p>
        </w:tc>
        <w:tc>
          <w:tcPr>
            <w:tcW w:w="4220" w:type="dxa"/>
            <w:vAlign w:val="bottom"/>
          </w:tcPr>
          <w:p>
            <w:pPr>
              <w:ind w:left="20"/>
              <w:spacing w:after="0" w:line="182" w:lineRule="exact"/>
              <w:rPr>
                <w:sz w:val="20"/>
                <w:szCs w:val="20"/>
                <w:color w:val="auto"/>
              </w:rPr>
            </w:pPr>
            <w:r>
              <w:rPr>
                <w:rFonts w:ascii="Arial" w:cs="Arial" w:eastAsia="Arial" w:hAnsi="Arial"/>
                <w:sz w:val="18"/>
                <w:szCs w:val="18"/>
                <w:color w:val="auto"/>
              </w:rPr>
              <w:t>Daniel S. Jaffee</w:t>
            </w:r>
          </w:p>
        </w:tc>
      </w:tr>
      <w:tr>
        <w:trPr>
          <w:trHeight w:val="230"/>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9, 2023</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9,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2023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9, 2023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2023.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16"/>
                <w:szCs w:val="16"/>
                <w:color w:val="auto"/>
              </w:rPr>
            </w:pPr>
          </w:p>
        </w:tc>
        <w:tc>
          <w:tcPr>
            <w:tcW w:w="1180" w:type="dxa"/>
            <w:vAlign w:val="bottom"/>
          </w:tcPr>
          <w:p>
            <w:pPr>
              <w:jc w:val="center"/>
              <w:spacing w:after="0" w:line="189"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960" w:type="dxa"/>
            <w:vAlign w:val="bottom"/>
          </w:tcPr>
          <w:p>
            <w:pPr>
              <w:jc w:val="center"/>
              <w:spacing w:after="0" w:line="189" w:lineRule="exact"/>
              <w:rPr>
                <w:sz w:val="20"/>
                <w:szCs w:val="20"/>
                <w:color w:val="auto"/>
              </w:rPr>
            </w:pPr>
            <w:r>
              <w:rPr>
                <w:rFonts w:ascii="Arial" w:cs="Arial" w:eastAsia="Arial" w:hAnsi="Arial"/>
                <w:sz w:val="18"/>
                <w:szCs w:val="18"/>
                <w:color w:val="auto"/>
                <w:w w:val="89"/>
              </w:rPr>
              <w:t>Section</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89" w:lineRule="exact"/>
              <w:rPr>
                <w:sz w:val="20"/>
                <w:szCs w:val="20"/>
                <w:color w:val="auto"/>
              </w:rPr>
            </w:pPr>
            <w:r>
              <w:rPr>
                <w:rFonts w:ascii="Arial" w:cs="Arial" w:eastAsia="Arial" w:hAnsi="Arial"/>
                <w:sz w:val="18"/>
                <w:szCs w:val="18"/>
                <w:color w:val="auto"/>
                <w:w w:val="88"/>
              </w:rPr>
              <w:t>107(a)</w:t>
            </w:r>
          </w:p>
        </w:tc>
        <w:tc>
          <w:tcPr>
            <w:tcW w:w="136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3"/>
              </w:rPr>
              <w:t>Total Dollar</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2"/>
              </w:rPr>
              <w:t>(2) 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42"/>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13,960</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28,277</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1,070</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8"/>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January 31, 2023.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3"/>
      <w:numFmt w:val="bullet"/>
      <w:start w:val="1"/>
    </w:lvl>
  </w:abstractNum>
  <w:abstractNum w:abstractNumId="8">
    <w:nsid w:val="4DB127F8"/>
    <w:multiLevelType w:val="hybridMultilevel"/>
    <w:lvl w:ilvl="0">
      <w:lvlJc w:val="left"/>
      <w:lvlText w:val="4"/>
      <w:numFmt w:val="bullet"/>
      <w:start w:val="1"/>
    </w:lvl>
  </w:abstractNum>
  <w:abstractNum w:abstractNumId="9">
    <w:nsid w:val="216231B"/>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2023-03-09T17:56:42Z</dcterms:created>
  <dcterms:modified xsi:type="dcterms:W3CDTF">2023-03-09T17:56:42Z</dcterms:modified>
</cp:coreProperties>
</file>