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2012</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2012.</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–5,129,301 Shares and Class B Stock –2,048,118 Shares</w:t>
      </w:r>
    </w:p>
    <w:p>
      <w:pPr>
        <w:sectPr>
          <w:pgSz w:w="11900" w:h="16838" w:orient="portrait"/>
          <w:cols w:equalWidth="0" w:num="1">
            <w:col w:w="11380"/>
          </w:cols>
          <w:pgMar w:left="240" w:top="116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080" w:type="dxa"/>
            <w:vAlign w:val="bottom"/>
          </w:tcPr>
          <w:p>
            <w:pPr>
              <w:ind w:left="4160"/>
              <w:spacing w:after="0"/>
              <w:rPr>
                <w:sz w:val="20"/>
                <w:szCs w:val="20"/>
                <w:color w:val="auto"/>
              </w:rPr>
            </w:pPr>
            <w:r>
              <w:rPr>
                <w:rFonts w:ascii="Arial" w:cs="Arial" w:eastAsia="Arial" w:hAnsi="Arial"/>
                <w:sz w:val="18"/>
                <w:szCs w:val="18"/>
                <w:b w:val="1"/>
                <w:bCs w:val="1"/>
                <w:color w:val="auto"/>
              </w:rPr>
              <w:t>CONTENTS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8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9080" w:type="dxa"/>
            <w:vAlign w:val="bottom"/>
          </w:tcPr>
          <w:p>
            <w:pPr>
              <w:ind w:left="302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Financial Statements</w:t>
            </w:r>
          </w:p>
        </w:tc>
        <w:tc>
          <w:tcPr>
            <w:tcW w:w="840" w:type="dxa"/>
            <w:vAlign w:val="bottom"/>
            <w:gridSpan w:val="6"/>
            <w:shd w:val="clear" w:color="auto" w:fill="CCEEFF"/>
          </w:tcPr>
          <w:p>
            <w:pPr>
              <w:jc w:val="right"/>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CEEFF"/>
          </w:tcPr>
          <w:p>
            <w:pPr>
              <w:spacing w:after="0"/>
              <w:rPr>
                <w:sz w:val="10"/>
                <w:szCs w:val="10"/>
                <w:color w:val="auto"/>
              </w:rPr>
            </w:pPr>
          </w:p>
        </w:tc>
        <w:tc>
          <w:tcPr>
            <w:tcW w:w="9080" w:type="dxa"/>
            <w:vAlign w:val="bottom"/>
            <w:vMerge w:val="restart"/>
            <w:shd w:val="clear" w:color="auto" w:fill="CCEEFF"/>
          </w:tcPr>
          <w:p>
            <w:pPr>
              <w:ind w:left="200"/>
              <w:spacing w:after="0" w:line="190" w:lineRule="exact"/>
              <w:rPr>
                <w:sz w:val="20"/>
                <w:szCs w:val="20"/>
                <w:color w:val="auto"/>
              </w:rPr>
            </w:pPr>
            <w:r>
              <w:rPr>
                <w:rFonts w:ascii="Arial" w:cs="Arial" w:eastAsia="Arial" w:hAnsi="Arial"/>
                <w:sz w:val="18"/>
                <w:szCs w:val="18"/>
                <w:color w:val="auto"/>
              </w:rPr>
              <w:t>and Results Of Operations</w:t>
            </w:r>
          </w:p>
        </w:tc>
        <w:tc>
          <w:tcPr>
            <w:tcW w:w="840" w:type="dxa"/>
            <w:vAlign w:val="bottom"/>
            <w:gridSpan w:val="6"/>
            <w:vMerge w:val="restart"/>
            <w:shd w:val="clear" w:color="auto" w:fill="CCEEFF"/>
          </w:tcPr>
          <w:p>
            <w:pPr>
              <w:jc w:val="right"/>
              <w:spacing w:after="0" w:line="190"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115"/>
        </w:trPr>
        <w:tc>
          <w:tcPr>
            <w:tcW w:w="1060" w:type="dxa"/>
            <w:vAlign w:val="bottom"/>
            <w:shd w:val="clear" w:color="auto" w:fill="CCEEFF"/>
          </w:tcPr>
          <w:p>
            <w:pPr>
              <w:spacing w:after="0"/>
              <w:rPr>
                <w:sz w:val="10"/>
                <w:szCs w:val="10"/>
                <w:color w:val="auto"/>
              </w:rPr>
            </w:pPr>
          </w:p>
        </w:tc>
        <w:tc>
          <w:tcPr>
            <w:tcW w:w="9080" w:type="dxa"/>
            <w:vAlign w:val="bottom"/>
            <w:vMerge w:val="continue"/>
            <w:shd w:val="clear" w:color="auto" w:fill="CCEEFF"/>
          </w:tcPr>
          <w:p>
            <w:pPr>
              <w:spacing w:after="0"/>
              <w:rPr>
                <w:sz w:val="10"/>
                <w:szCs w:val="10"/>
                <w:color w:val="auto"/>
              </w:rPr>
            </w:pPr>
          </w:p>
        </w:tc>
        <w:tc>
          <w:tcPr>
            <w:tcW w:w="840" w:type="dxa"/>
            <w:vAlign w:val="bottom"/>
            <w:gridSpan w:val="6"/>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9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Mine Safety Disclosure</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Signatures</w:t>
            </w:r>
          </w:p>
        </w:tc>
        <w:tc>
          <w:tcPr>
            <w:tcW w:w="9080" w:type="dxa"/>
            <w:vAlign w:val="bottom"/>
            <w:shd w:val="clear" w:color="auto" w:fill="CCEEFF"/>
          </w:tcPr>
          <w:p>
            <w:pPr>
              <w:spacing w:after="0"/>
              <w:rPr>
                <w:sz w:val="21"/>
                <w:szCs w:val="21"/>
                <w:color w:val="auto"/>
              </w:rPr>
            </w:pP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338"/>
        </w:trPr>
        <w:tc>
          <w:tcPr>
            <w:tcW w:w="1060" w:type="dxa"/>
            <w:vAlign w:val="bottom"/>
            <w:tcBorders>
              <w:top w:val="single" w:sz="8" w:color="CCEEFF"/>
            </w:tcBorders>
          </w:tcPr>
          <w:p>
            <w:pPr>
              <w:spacing w:after="0"/>
              <w:rPr>
                <w:sz w:val="24"/>
                <w:szCs w:val="24"/>
                <w:color w:val="auto"/>
              </w:rPr>
            </w:pPr>
          </w:p>
        </w:tc>
        <w:tc>
          <w:tcPr>
            <w:tcW w:w="9080" w:type="dxa"/>
            <w:vAlign w:val="bottom"/>
            <w:tcBorders>
              <w:top w:val="single" w:sz="8" w:color="CCEEFF"/>
            </w:tcBorders>
          </w:tcPr>
          <w:p>
            <w:pPr>
              <w:ind w:left="3420"/>
              <w:spacing w:after="0"/>
              <w:rPr>
                <w:sz w:val="20"/>
                <w:szCs w:val="20"/>
                <w:color w:val="auto"/>
              </w:rPr>
            </w:pPr>
            <w:r>
              <w:rPr>
                <w:rFonts w:ascii="Arial" w:cs="Arial" w:eastAsia="Arial" w:hAnsi="Arial"/>
                <w:sz w:val="18"/>
                <w:szCs w:val="18"/>
                <w:b w:val="1"/>
                <w:bCs w:val="1"/>
                <w:color w:val="auto"/>
              </w:rPr>
              <w:t>FORWARD-LOOKING STATEMENTS</w:t>
            </w:r>
          </w:p>
        </w:tc>
        <w:tc>
          <w:tcPr>
            <w:tcW w:w="3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2011.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Verge, Fresh</w:t>
      </w:r>
    </w:p>
    <w:p>
      <w:pPr>
        <w:ind w:right="20" w:firstLine="8"/>
        <w:spacing w:after="0" w:line="261" w:lineRule="auto"/>
        <w:tabs>
          <w:tab w:leader="none" w:pos="21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Light, Resorb and Changing Litter for Good are trademarks of Oil-Dri Corporation of America. Fresh Step is a registered trademark of The Clorox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$653 and $607</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January 31, 2012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21,640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189,279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(110,443)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66,810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$394 and $381 at January 31, 2012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$373 and $333 at January 31, 2012 and July 31 2011,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$1,486 and $1,361 at January 31, 2012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1,931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174,222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6,034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27,400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50,233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76,483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7,762,438 shares at January 31, 2012</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7,750,324 shares at July 31, 2011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2,372,859 shares at January 31, 2012</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2,372,859 shares at July 31, 2011</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Less Treasury Stock, at cost (2,633,137 Common and 324,741 Class B shares at</w:t>
            </w: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January 31, 2012 and 2,642,387 Common and 324,741 Class B shares at July 31, 2011)</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97,739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95,298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Six Months Ended January</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(91,028)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(87,786)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28,757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121,388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116,917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Retained Earnings – January 31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123,363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118,819</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Six Months Ended January</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4,200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(45,649)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(44,709)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(9,438)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5,124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7,128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3,262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ind w:right="-120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42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39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r>
      <w:tr>
        <w:trPr>
          <w:trHeight w:val="209"/>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4,182</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discount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7,256</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(3,512)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(10,565)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(38,375)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(20,167)</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3"/>
        </w:trPr>
        <w:tc>
          <w:tcPr>
            <w:tcW w:w="574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13,468</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9,474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r>
      <w:tr>
        <w:trPr>
          <w:trHeight w:val="257"/>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January 31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27,359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19,282</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19"/>
          </w:cols>
          <w:pgMar w:left="240" w:top="580" w:right="1440" w:bottom="1440"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580"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2011 included in our Annual Report on Form 10-K filed with the Securities and Exchange Commission (“SEC”).</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2012 are not necessarily an indication of the results that may be expected for the fiscal year ending July 31,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our sales agreements with customers, we recognize revenue when risk of loss and title are transferred. An invoice is generated upon shipment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pit, it is hauled to previously mined pits and used to refill older sites. This process allows us to continuously reclaim older pits and dispose of overburden simultaneously, therefore minimizing our liability for future reclamation costs.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766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Accounting Standards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believe this Statement will result in enhanced disclosures only and therefore will not have a significant impact on our Consolidated Financial Statements beginning with our Quarterly Report on Form 10-Q for the quarter ending April 30, 2012.</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2011, the FASB issued guidance under ASC 220, </w:t>
      </w:r>
      <w:r>
        <w:rPr>
          <w:rFonts w:ascii="Arial" w:cs="Arial" w:eastAsia="Arial" w:hAnsi="Arial"/>
          <w:sz w:val="16"/>
          <w:szCs w:val="16"/>
          <w:i w:val="1"/>
          <w:iCs w:val="1"/>
          <w:color w:val="auto"/>
        </w:rPr>
        <w:t>Comprehensive Income: Presentation of Comprehensive Income,</w:t>
      </w:r>
      <w:r>
        <w:rPr>
          <w:rFonts w:ascii="Arial" w:cs="Arial" w:eastAsia="Arial" w:hAnsi="Arial"/>
          <w:sz w:val="16"/>
          <w:szCs w:val="16"/>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In December 2011, the FASB deferred, until further review, the requirements related to the presentation of reclassification of items out of accumulated other comprehensive income. We are currently evaluating the impact this guidance will have on our Consolidated Financial Statements beginning with our Quarterly Report on Form 10-Q for the quarter ending October 31, 2012. This guidance will be applied retrospectively.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 (in thousands of dollars):</w:t>
      </w:r>
    </w:p>
    <w:p>
      <w:pPr>
        <w:spacing w:after="0" w:line="38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21,640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2012 and July 31, 2011 were $376,000 and $326,000,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 as follows:</w:t>
      </w:r>
    </w:p>
    <w:p>
      <w:pPr>
        <w:spacing w:after="0" w:line="34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460" w:hanging="917"/>
        <w:spacing w:after="0" w:line="308"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January 31, 2012</w:t>
            </w: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4,099</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noncurrent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January 31, 2012. The cash surrender value of life insurance is included in other noncurrent assets on the condensed Consolidated Balance Sheets.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investment in short-term securities on the Consolidated Balance Sheets includes U.S. Treasury securities, certificates of deposit and debt securities. We have the ability to hold our investment in short-term securities to maturity and intend to do so; therefore, these investments were reported at amortized cost on the Consolidated Balance sheets, which approximated fair value as of January 31, 2012. These balances are excluded from the above table.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January 31, 2012 due to the short maturity and nature of those balances; therefore, these balances are excluded from the above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notes payable approximated their fair values at January 31, 2012 and are not included in the above table. The estimated fair value of notes payable, including current maturities, was approximately $32,621,000 as of January 31, 2012.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benefits cost of our defined benefit plan were as follows:</w:t>
      </w:r>
    </w:p>
    <w:p>
      <w:pPr>
        <w:spacing w:after="0" w:line="167"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PENSION PLAN</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8"/>
                <w:szCs w:val="18"/>
                <w:color w:val="auto"/>
              </w:rPr>
            </w:pPr>
          </w:p>
        </w:tc>
        <w:tc>
          <w:tcPr>
            <w:tcW w:w="22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January 31,</w:t>
            </w:r>
          </w:p>
        </w:tc>
        <w:tc>
          <w:tcPr>
            <w:tcW w:w="160" w:type="dxa"/>
            <w:vAlign w:val="bottom"/>
          </w:tcPr>
          <w:p>
            <w:pPr>
              <w:spacing w:after="0"/>
              <w:rPr>
                <w:sz w:val="20"/>
                <w:szCs w:val="20"/>
                <w:color w:val="auto"/>
              </w:rPr>
            </w:pPr>
          </w:p>
        </w:tc>
        <w:tc>
          <w:tcPr>
            <w:tcW w:w="22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January 31,</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65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pension benefit cost: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40" w:type="dxa"/>
            <w:vAlign w:val="bottom"/>
            <w:tcBorders>
              <w:top w:val="single" w:sz="8" w:color="auto"/>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funded the plan based upon actuarially determined contributions that take into account the normal cost and the minimum and maximum contribution requirements of various regulations. We did not make a contribution to our pension plan during the second quarter ended January 31, 2012. We intend to make a contribution to the pension plan during the third quarter of fiscal 2012 approximately equal to the annual actuarial determined cost. We currently estimate this amount to be approximately $1,068,000. See Item 3. Quantitative and Qualitative Disclosures About Market Risk for a discussion of the potential impact of financial market fluctuations on pension plan assets and future funding contributions.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plan covering postretirement health benefits is an unfunded plan. The components of the net periodic postretirement health benefit cost were as follows:</w:t>
      </w:r>
    </w:p>
    <w:p>
      <w:pPr>
        <w:spacing w:after="0" w:line="19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POSTRETIREMENT HEALTH BENEFITS</w:t>
      </w:r>
    </w:p>
    <w:p>
      <w:pPr>
        <w:spacing w:after="0" w:line="2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gridSpan w:val="10"/>
          </w:tcPr>
          <w:p>
            <w:pPr>
              <w:ind w:left="10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8"/>
                <w:szCs w:val="18"/>
                <w:color w:val="auto"/>
              </w:rPr>
            </w:pPr>
          </w:p>
        </w:tc>
        <w:tc>
          <w:tcPr>
            <w:tcW w:w="224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jc w:val="right"/>
              <w:ind w:right="63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postretirement benefit cost:</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auto"/>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Amortization of net transition obligation</w:t>
            </w: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7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127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6"/>
          </w:tcPr>
          <w:p>
            <w:pPr>
              <w:jc w:val="right"/>
              <w:ind w:right="43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4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w w:val="97"/>
              </w:rPr>
              <w:t>PENSION PLAN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jc w:val="right"/>
              <w:ind w:right="430"/>
              <w:spacing w:after="0"/>
              <w:rPr>
                <w:sz w:val="20"/>
                <w:szCs w:val="20"/>
                <w:color w:val="auto"/>
              </w:rPr>
            </w:pPr>
            <w:r>
              <w:rPr>
                <w:rFonts w:ascii="Arial" w:cs="Arial" w:eastAsia="Arial" w:hAnsi="Arial"/>
                <w:sz w:val="18"/>
                <w:szCs w:val="18"/>
                <w:b w:val="1"/>
                <w:bCs w:val="1"/>
                <w:color w:val="auto"/>
              </w:rPr>
              <w:t>HEALTH BENEFITS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1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gridSpan w:val="17"/>
          </w:tcPr>
          <w:p>
            <w:pPr>
              <w:jc w:val="right"/>
              <w:ind w:right="790"/>
              <w:spacing w:after="0"/>
              <w:rPr>
                <w:sz w:val="20"/>
                <w:szCs w:val="20"/>
                <w:color w:val="auto"/>
              </w:rPr>
            </w:pPr>
            <w:r>
              <w:rPr>
                <w:rFonts w:ascii="Arial" w:cs="Arial" w:eastAsia="Arial" w:hAnsi="Arial"/>
                <w:sz w:val="18"/>
                <w:szCs w:val="18"/>
                <w:b w:val="1"/>
                <w:bCs w:val="1"/>
                <w:color w:val="auto"/>
                <w:w w:val="95"/>
              </w:rPr>
              <w:t>For the Three and Six Months Ended January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Measurement date</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7/31/2011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7/31/2010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7/31/2011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7/31/2010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Census date</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8/1/2011</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8/1/2010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8/1/2010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a graded rate starting at 8.5% and decreasing to an ultimate rate of 5% in 0.5% annual increments.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9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SEGMENT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2011.</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Assets</w:t>
            </w:r>
          </w:p>
        </w:tc>
      </w:tr>
      <w:tr>
        <w:trPr>
          <w:trHeight w:val="27"/>
        </w:trPr>
        <w:tc>
          <w:tcPr>
            <w:tcW w:w="858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January 31, 2012</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2011</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80,020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81,049</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52,882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174,222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9"/>
          </w:tcPr>
          <w:p>
            <w:pPr>
              <w:jc w:val="center"/>
              <w:ind w:left="41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Operating Income</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77,548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76,460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1,839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5,666</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119,785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113,486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15,467</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r>
      <w:tr>
        <w:trPr>
          <w:trHeight w:val="243"/>
        </w:trPr>
        <w:tc>
          <w:tcPr>
            <w:tcW w:w="6980" w:type="dxa"/>
            <w:vAlign w:val="bottom"/>
          </w:tcPr>
          <w:p>
            <w:pPr>
              <w:ind w:left="60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581"/>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10"/>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 January 31,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Operating Income</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38,900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3,058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r>
      <w:tr>
        <w:trPr>
          <w:trHeight w:val="243"/>
        </w:trPr>
        <w:tc>
          <w:tcPr>
            <w:tcW w:w="6980" w:type="dxa"/>
            <w:vAlign w:val="bottom"/>
          </w:tcPr>
          <w:p>
            <w:pPr>
              <w:ind w:left="60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 stock.</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237,115 restricted shares have been issued under the 2006 Plan.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our directors at an option price per share of 100% of the fair market value of Common Stock on the date of grant. Stock options have been granted to our directors for a 10-year term with a one year vesting period. There are 12,500 stock options outstanding as of January 31, 2012 and no stock options are available for future grants under this plan. All stock issued under this plan was from treasury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stock options were granted in the first six months of fiscal years 2012 or 2011. Changes in our stock options during the first six months of fiscal 2012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4"/>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Options Outstanding, July 31, 2011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1,882</w:t>
            </w:r>
          </w:p>
        </w:tc>
      </w:tr>
      <w:tr>
        <w:trPr>
          <w:trHeight w:val="27"/>
        </w:trPr>
        <w:tc>
          <w:tcPr>
            <w:tcW w:w="5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January 31, 2012</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1,604</w:t>
            </w:r>
          </w:p>
        </w:tc>
      </w:tr>
      <w:tr>
        <w:trPr>
          <w:trHeight w:val="25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January 31, 2012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cash received from the exercise of stock options during the second quarter of fiscal 2012 was $55,000 and the related tax benefit was $18,000. The amount of cash received from the exercise of stock options during the second quarter of fiscal 2011 was $255,000 and the related tax benefit was $114,000. The amount of cash received from the exercise of stock options during the first six months of fiscal 2012 was $121,000 and the related tax benefit was $65,000. The amount of cash received from the exercise of stock options during the first six months of fiscal 2011 was $549,000 and the related tax benefit was $268,000.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2006 Plan, no new restricted shares of common stock were granted in the second quarter of either fiscal 2012 or fiscal 2011. In the first six months of fiscal 2012, 8,000 restricted shares of Common Stock were granted. In the first six months of fiscal 2011, 2,000 restricted shares of Common Stock and 129,933 restricted shares of Class B Stock were granted.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Included in our stock-based compensation expense in the second quarter of fiscal years 2012 and 2011 was $170,000 and $187,000, respectively, related to unvested restricted stock. In the first six months of fiscal years 2012 and 2011, the expense related to the unvested restricted stock was $334,000 and $308,000,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restricted stock outstanding during the first six months of fiscal 2012 were as follows: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Restricted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at July 31, 2011</w:t>
            </w:r>
          </w:p>
        </w:tc>
        <w:tc>
          <w:tcPr>
            <w:tcW w:w="4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Vested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at January 31, 2012</w:t>
            </w:r>
          </w:p>
        </w:tc>
        <w:tc>
          <w:tcPr>
            <w:tcW w:w="4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16</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2011.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manufacture and market sorbent products principally produced from clay minerals and, to a lesser extent, other sorbent materials. Our principal products include cat litter, industrial and automotive absorbents, bleaching clay and fluid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6 of the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six months ended January 31, 2012 were $119,785,000, an increase of 6% from net sales of $113,486,000, for the six months ended January 31, 2011. Net income for the first six months of fiscal 2012 was $4,314,000, compared to $4,296,000 in the first six months of fiscal 2011. Diluted net income per share was $0.60 for the first six months of both fiscal years 2012 and 2011.</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Both consolidated net sales and net income for the first six months of fiscal 2012 improved due to selling price increases and a favorable product sales mix, defined as a greater proportion of sales from higher priced products. Consolidated net income for the first six months of fiscal 2012 was negatively impacted by higher packaging, freight and material costs per ton and by increased advertising and promotional expenditures in the Retail and Wholesale Products Group. The Business to Business Products Group's segment operating income increased as improved sales outweighed increased costs; however the Retail and Wholesale Products Group's segment operating income decreased as higher costs exceeded improved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six months of fiscal 2012 were $42,237,000, an increase of $5,211,000, or 14%, from net sales of $37,026,000 in the first six months of fiscal 2011. The increase in net sales was attributed to higher net selling prices, a 1% increase in tons sold and a favorable product sales mix. Net sales of fluid purification products increased approximately 15% with 9% more tons sold. This increase was driven primarily by sales to additional edible oil processing sites of existing customers. Sales growth also occurred for petroleum oil and biodiesel production customers. Net sales of agricultural products increased approximately 26% with 7% more tons sold. Sales to agricultural chemical carrier formulators increased in anticipation of the corn planting season. Sales also increased to customers for other agricultural applications. Net sales of animal health and nutrition products increased approximately 29% compared to the first six months of fiscal 2011. A favorable product sales mix outweighed a 2% decrease in tons sold. Sales of our enterosorbent animal health products increased in foreign markets, including those markets for which we implemented new distribution processes late in fiscal 2011. Our co-packaged traditional coarse cat litter net sales decreased 3% with 9% fewer tons sold due to the continued decline in the coarse cat litter segment of the market.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Business to Business Products Group’s segment operating income for the first six months of fiscal 2012 was $13,867,000, an increase of $4,066,000, or 41%, from operating income of $9,801,000 in the first six months of fiscal 2011. The increase in segment operating income was driven by the sales increase described above, which was partially offset by higher freight and material costs per ton. Freight costs increased approximately 14% due to higher diesel fuel prices. Material costs increased approximately 3% due to higher non-fuel manufacturing costs, which exceeded a reduction in the cost of fuel used in manufacturing. See further discussion of manufacturing costs under Consolidated Results below.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Group were down 2% compared to the first six months of fiscal 2011 due primarily to reduced advertising and promotion costs for our animal health and nutrition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Retail and Wholesale Products Group for the first six months of fiscal 2012 were $77,548,000, an increase of $1,088,000, or 1%, from net sales of $76,460,000 for the first six months of fiscal 2011. The benefits of a favorable product sales mix and higher net selling prices more than offset the impact of a 6% decrease in tons sold for the Group. Net sales increased for our cat litter and industrial absorbents products, but decreased for our foreign subsidiaries, as described under Foreign Operations below. Overall cat litter net sales increased approximately 2% due to a favorable product sales mix and higher net selling prices, which outweighed an 8% decrease in tons sold. Branded cat litter sales increased approximately 27% with 17% more tons sold. The increase in branded cat litter sales was due primarily to our Cat's Pride Fresh &amp; Light scoopable products, which were introduced in the fourth quarter of fiscal 2011, combined with higher sales of our established Cat's Pride scoopable products. The increase in sales of branded cat litter was partially offset by approximately 20% lower net sales of private label cat litter. The decrease in private label cat litter sales was due primarily to the continued decline of the coarse cat litter market, as well as a trend away from private label cat litter products. Industrial absorbents net sales increased approximately 4% compared to the first six months of fiscal 2011 due primarily to price increases implemented earlier during fiscal 2012 than during fiscal 2011.</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Retail and Wholesale Products Group's segment operating income for the first six months of fiscal 2012 was $1,839,000, a decrease of $3,827,000, or 68%, from operating income of $5,666,000 for the first six months of fiscal 2011. The decrease was due primarily to increased advertising and promotion costs for our Cat's Pride Fresh &amp; Light cat litter. In addition, the Group’s combined packaging, freight, and materials costs per ton increased approximately 8% compared to the first six months of fiscal 2011. Packaging costs increased approximately17% due to fluctuations in the price of paper and resin and the mix of products produced. Freight costs increased approximately 10% due to higher diesel fuel prices. Material costs increased approximately 4% due primarily to increased purchases of additives, fragrances and other materials for the production of scoopable cat litters. These cost increases more than offset the lower cost of fuel used in manufacturing. See further discussion of manufacturing costs under Consolidated Results below.</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Group were up 49% compared to the first six months of fiscal 2011 due primarily to increased advertising and promotion expenditures described above. We expect to invest heavily in advertising and promotions throughout the introduction of our Cat's Pride Fresh</w:t>
      </w: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Light cat litter in fiscal 2012. We anticipate such spending thereafter on an annual basis will be higher than historic levels.</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gross profit as a percentage of net sales for the first six months of fiscal 2012 was 24%, which was higher than the 23% reported in the first six months of fiscal 2011. Gross profit improved due to the higher sales described above and a greater proportion of sales from higher margin products; however, this positive impact was partially offset by higher packaging, freight and material costs. The increase in packaging and freight costs are described in the operating segment discussions above. Overall material costs increased due to a 4% increase in non-fuel manufacturing cost per ton, which exceeded a 13% decrease in the cost of fuel used in our manufacturing processes. We primarily use natural gas in our manufacturing processes to operate kilns that dry our clay. As described in Item 3. Quantitative and Qualitative Disclosures About Market Risk below, we have contracted for a portion of our planned natural gas needs for fiscal 2012. The increase in non-fuel manufacturing cost per ton produced was driven primarily by higher depreciation expense and increased manufacturing of products that required purchased additives, fragrances and other materials.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as a percentage of net sales for the first six months of fiscal 2012 were 18%, compared to 17% for the first six months of fiscal 2011. The discussions of the Groups’ operating income above describe the fluctuation in the selling, general and administrative expenses that were allocated to the operating segments, including approximately $3,500,000 higher advertising costs in the Retail and Wholesale Products Group. We believe that during fiscal 2012 advertising and promotional expenditures will exceed the additional contribution from our Cat's Pride Fresh &amp; Light products and therefore will negatively impact earnings for the year. Accordingly, we expect our consolidated earnings for the full year of fiscal 2012 will be less than fiscal 2011. The remaining unallocated corporate expenses in the first six months of fiscal 2012 included a higher estimated annual incentive plan bonus accrual. The incentive bonus expense was based on performance targets that are established for each fiscal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was $83,000 higher for the first six months of fiscal 2012 compared to the same period in fiscal 2011. New debt issued in the second quarter of fiscal 2011was outstanding during the full six months of fiscal 2012. Interest income was $24,000 lower in the first six months of fiscal 2012 compared to the first six months of fiscal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Net other income was $76,000 higher for the first six months of fiscal 2012 compared to the first six months of fiscal 2011 due to certain nonrecurring regulatory expenses in fiscal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25% of pre-tax income in the first six months of fiscal 2012, the same as for the full year of fiscal 2011. The effective tax rate for fiscal 2012 is based on the projected composition and estimated level of our taxable income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2011</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January 31, 2012 were $60,203,000, an increase of 5% from net sales of $57,201,000, for the three months ended January 31, 2011. Net income for the second quarter of fiscal 2012 was $3,239,000, an increase of 82% from net income of $1,777,000 in the second quarter of fiscal 2011. Diluted net income per share for the second quarter of fiscal 2012 was $0.45 compared to $0.25 for the second quarter of fiscal 2011.</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sales for the second quarter of fiscal 2012 improved due to a favorable product sales mix, defined as a greater proportion of sales from higher priced products, and due to higher net selling prices. Consolidated net income for the second quarter of fiscal 2012 increased due to the improved sales, which more than offset the impact of increased freight, packaging and material costs. The Business to Business Products Group segment operating income increased primarily due to higher sales and a favorable product mix. The Retail and Wholesale Products Group's segment operating income increased due to lower advertising and promotional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Business to Business Products Group for the second quarter of fiscal 2012 were $21,303,000, an increase of $3,322,000, or 18%, from net sales of $17,981,000 in the second quarter of fiscal 2011. Net sales increased due to a favorable product sales mix combined with higher selling prices and a 4% increase in tons sold for the Group. Net sales of fluid purification products increased approximately 15% with 10% more tons sold. This increase was driven primarily by sales to additional edible oil processing sites of existing customers. Sales growth also occurred for biodiesel production customers; however, sales to petroleum and recycled motor oil customers declined due to variations in order timing from these markets. Net sales of agricultural products increased approximately 52% with 21% more tons sold compared to the second quarter of fiscal 2011. Sales to agricultural chemical carrier formulators increased in anticipation of a significantly higher number of acres of corn to be planted in the upcoming season. Sales also increased to customers for other agricultural applications. Net sales of animal health and nutrition products increased approximately 25% compared to the second quarter of fiscal 2011. A favorable product sales mix outweighed a 12% decrease in tons sold. Increased sales of our enterosorbent animal health products in domestic and certain foreign markets outweighed a decline in sales of our traditional products. Our co-packaged traditional coarse cat litter net sales decreased 3% due to the continued decline in the coarse cat litter segment of the market.</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Business to Business Products Group’s segment operating income for the second quarter of fiscal 2012 was $6,427,000, an increase of $1,914,000, or 42%, from operating income of $4,513,000 in the second quarter of fiscal 2011. The increase in segment operating income was driven by the increased sales described above and by a favorable product mix, which were partially offset by higher material and freight costs per ton. Material costs increased approximately 14% due to higher non-fuel manufacturing costs, which exceeded a reduction in the cost of fuel used in manufacturing. See further discussion of manufacturing costs under Consolidated Results below. Freight costs increased approximately 9% due to higher diesel fuel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for the Group were even with the second quarter of fiscal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second quarter of fiscal 2012 were $38,900,000, a decrease of $320,000, or 1%, from net sales of $39,220,000 in the second quarter of fiscal 2011. A 10% decrease in tons sold for the Group outweighed the benefits of a favorable product sales mix and net selling price increases. Net sales decreased for our foreign subsidiaries, as described under Foreign Operations below, while net sales for our cat litter and industrial absorbents products were even with the second quarter of fiscal 2011. The benefits of a favorable product sales mix and price increases for our cat litter products were offset by a 12% decrease in tons sold. Branded cat litter sales increased approximately 21% with 12% more tons sold. The increase in branded cat litter sales was due primarily to our Cat's Pride Fresh &amp; Light scoopable products, which were introduced in the fourth quarter of fiscal 2011, combined with higher sales of our established Cat's Pride scoopable products. The increase in sales of branded cat litter was offset by approximately 22% lower net sales of private label cat litter.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decrease in private label cat litter sales was due primarily to the continued decline of the coarse cat litter market, as well as a trend away from private label cat litter products. Industrial absorbents net sales and tons sold were even compared to the second quarter of fiscal 2011.</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Retail and Wholesale Products Group reported segment operating income for the second quarter of fiscal 2012 of $3,058,000, an increase of $458,000, or 18%, from operating income of $2,600,000 in the second quarter of fiscal 2011. The increase was due primarily to lower selling, general and administrative expenses, described below, and the lower cost of fuel used in manufacturing, discussed under Consolidated Results below. These lower costs were partially offset by higher packaging and freight costs. Packaging costs per ton increased 15% due to fluctuations in the price of paper and resin and the mix of products produced. Freight costs increased approximately 10% due to higher diesel fuel prices.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Group were down 9% compared to the second quarter of fiscal 2011 due primarily to lower advertising and promotional expenditures and overhead reductions at our foreign operations. We expect to resume significant advertising and promotions expenditures for the remainder of fiscal 2012 as we plan to launch the Cat's Pride Fresh &amp; Light products at additional retailers and we anticipate such spending on an annual basis thereafter will be higher than historic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consolidated gross profit as a percentage of net sales for the second quarter of fiscal 2012 was 24%, which was higher than the 22% reported in the second quarter of fiscal 2011. Gross profit was positively impacted by a greater proportion of sales from higher margin products; however, this positive impact was partially offset by higher material, freight and packaging costs. The increase in packaging and freight costs are described in the operating segment discussions above. Overall material costs were higher due to a 6% increase in non-fuel manufacturing cost per ton, which outweighed a 17% decrease in the cost of fuel used in our manufacturing processes. We primarily use natural gas in our manufacturing processes to operate kilns that dry our clay. As described in Item 3. Quantitative and Qualitative Disclosures About Market Risk below, we have contracted for a portion of our planned natural gas needs for fiscal 2012. The increase in non-fuel manufacturing cost per ton produced was driven primarily by higher depreciation expense and costs for repairs and labor. In addition, production increased for products that required purchased additives, fragrances and other materials.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as a percentage of net sales for the second quarter of fiscal 2012 was 16%, similar to the second quarter of fiscal 2011. The discussions of the Groups’ operating income above describe the fluctuation in the selling, general and administrative expenses that were allocated to the operating segments, including the lower advertising expense in the Retail and Wholesale Group. We expect to resume significant advertising and promotions expenditures in the remainder of fiscal 2012 as we plan to launch the Cat's Pride Fresh &amp; Light product at additional retailers. We believe these expenditures will exceed the additional contribution from our Cat's Pride Fresh &amp; Light products and therefore will negatively impact earnings for fiscal 2012. Accordingly, we expect our consolidated earnings for the full year of fiscal 2012 will be less than fiscal 2011. The remaining unallocated corporate expenses in the second quarter of fiscal 2012 included a higher estimated annual incentive plan bonus accrual. The incentive bonus expense was based on performance targets that are established for each fiscal year.</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was $30,000 lower for the second quarter of fiscal 2012 compared to the same period in fiscal 2011 due to scheduled payments that reduced notes payable balances. Interest income was $13,000 lower in the second quarter of fiscal 2012 compared to the first quarter of fiscal 2011.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other expense was $52,000 for the second quarter of fiscal 2012 compared to net other income of $15,000 for the second quarter of fiscal 2011. Interest earned on a lease agreement during the second quarter of fiscal 2011 did not recur in the second quarter of fiscal 2012.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24% of pre-tax income in the second quarter of fiscal 2012 compared to the 25% effective tax rate for the full year of fiscal 2011. The effective tax rate for fiscal 2012 is based on the projected composition and estimated level of our taxable income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by our foreign subsidiaries during the first six months of fiscal 2012 were $5,655,000, a decrease of 9% from net sales of $6,180,000 during the first six months of fiscal 2011. Net sales by our foreign subsidiaries represented 5% of our consolidated net sales during the first six months of both fiscal 2012 and 2011. Net sales declined 9% for our Canadian subsidiary and 4% for our United Kingdom subsidiary. Our Canadian subsidiary's cat litter sales were down due to an overall decline in the coarse litter market and increased competition. Sales of bleaching earth were down for our United Kingdom subsidiary in a strong competitive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and price sensitive marketplace.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first six months of fiscal 2012, our foreign subsidiaries reported a net loss of $316,000, compared to a net loss of $362,000 reported in the first six months of fiscal 2011. The decrease in the net loss was due primarily to a reduction in overhead costs at both our Canadian and United Kingdom subsidiaries.</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Identifiable assets of our foreign subsidiaries as of January 31, 2012 were $8,900,000 compared to $9,105,000 as of January 31, 2011. The decrease is primarily due to lower inventories and a reduction in net fixed assets, which were partially offset by higher cash and cash equivalents.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by our foreign subsidiaries during the second quarter of fiscal 2012 were $2,796,000, a decrease of 11% from net sales of $3,132,000 during the second quarter of fiscal 2011. Net sales by our foreign subsidiaries represented 5% of our consolidated net sales during the second quarters of both fiscal 2012 and 2011. Net sales declined 11% for our Canadian subsidiary and 9% for our United Kingdom subsidiary. Our Canadian subsidiary's cat litter sales were down due to overall decline in the coarse litter market and increased competition. Sales of bleaching earth were down for our United Kingdom subsidiary in a strong competitive and price sensitive marketplace.</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second quarter of fiscal 2012, our foreign subsidiaries reported a net loss of $159,000, compared to a net loss of $158,000 reported in the second quarter of fiscal 2011. A reduction in overhead costs in the second quarter of fiscal 2012 at both our Canadian and United Kingdom subsidiaries offset the decline in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and, from time to time, making acquisitions. During the first six months of fiscal 2012, we principally used cash generated from operations and from previous debt issuances to fund these requirements. We also have the ability to borrow under our credit facilities; however, we have not borrowed under the credit agreement in recent years. Cash and cash equivalents increased $9,474,000 during the first six months of fiscal 2012 to $27,359,000 at January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31,</w:t>
            </w:r>
          </w:p>
        </w:tc>
      </w:tr>
      <w:tr>
        <w:trPr>
          <w:trHeight w:val="234"/>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6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(20,167)</w:t>
            </w:r>
          </w:p>
        </w:tc>
      </w:tr>
      <w:tr>
        <w:trPr>
          <w:trHeight w:val="27"/>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13,468</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fiscal years 2012 and 2011, the primary components of operating cash flows were as follows: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Accounts receivable, less allowance for doubtful accounts, decreased $310,000 in the first six months of fiscal 2012 compared to a decrease of $202,000 in the first six months of fiscal 2011. The change in both periods is due to timing of sales and collections and the payment terms provided to various customers.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$2,410,000 in the first six months of fiscal 2012 compared to an increase of $1,231,000 in the same period in fiscal 2011. Finished goods and additive inventories increased in the first six months of fiscal 2012 due to increased stocking of fluid purification and agricultural products to meet forecasted needs and increased manufacturing of products that require additives. Inventories also increased in the first six months of both fiscal 2012 and 2011 due to higher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decreased $2,417,000 in the first six months of fiscal 2012 compared to an increase of $398,000 in the first six months of fiscal 2011. A decrease in deferred advertising costs and prepaid income taxes in the first six months of fiscal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exceeded an increase in prepaid insurance. Advertising costs are deferred and expense recognized in accordance with our accounting policies. In the first six months of fiscal 2011, an increase in prepaid insurance outweighed a decrease in prepaid repairs expense. Prepaid repairs expense decreased due to the timing of repairs and efforts to improve spare parts inventory management. The timing of insurance premium payments resulted in an increase in prepaid insurance in the first six months of both fiscal 2012 and 2011.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assets increased $349,000 in the first six months of fiscal 2012 compared to an increase of $231,000 in the first six months of fiscal 2011. The change in other assets for both periods included the effect of currency exchange rate fluctuations on non-cash assets held by our foreign subsidiaries. The change in the relative value of the U.S. Dollar to both the British Pound and the Canadian Dollar resulted in an increase in other assets in the first six months of fiscal 2012 compared to a decrease in the same period in fiscal 2011. The increase in the first six months of fiscal 2011 included capitalized costs related to the issuance of new debt.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decreased $179,000 in the first six months of fiscal 2012 compared to an increase of $1,468,000 in the first six months of fiscal 2011. Trade payables in both fiscal 2012 and fiscal 2011 varied due to timing of payments, cost fluctuations for goods and services we purchased and our production volume levels.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Accrued expenses decreased $98,000 in the first six months of fiscal 2012 compared to a decrease of $2,263,000 in the first six months of fiscal 2011. Accrued salaries included the bonus accrual, which in the first six months of both fiscal 2012 and 2011 was reduced by the payout of the prior fiscal year's bonus accrual and increased by the current fiscal year's first six month bonus accrual. The bonus paid out in fiscal 2011 was substantially greater than the bonus paid out in fiscal 2012. Accrued freight varied in both years due to the timing of payments and shipments at quarter-end. Accrued plant expenses decreased in the first six months of fiscal 2012 due to lower costs for fuel used in the manufacturing process and reduced production volumes resulted in lower purchasing activity. Accrued trade promotions and advertising increased in the first six months of fiscal 2012 due to marketing programs for our Cat's Pride Fresh &amp; Light cat litter.</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compensation increased $116,000 in the first six months of fiscal 2012 compared to a decrease of $29,000 in the first six months of fiscal 2011. In the first six months of both fiscal 2012 and 2011, deferred compensation balances were reduced by scheduled payouts and were increased by employee deferrals and interest earned on accumulated deferred compensation balances. The payout of an executive deferred bonus award under our annual incentive plan in the first six months of fiscal 2011 was greater than the payout in the first six months of fiscal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liabilities increased $1,002,000 in the first six months of fiscal 2012 compared to an increase of $935,000 in the first six months of fiscal 2011. Postretirement benefits accruals increased in both periods. The change in other liabilities also included the effect of currency exchange rate fluctuations on the liabilities of our foreign subsidiaries. The change in the relative value of the U.S. Dollar to both the British Pound and the Canadian Dollar resulted in an increase in other liabilities in the first six months of fiscal 2012 compared to a decrease in the same period of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investing activities was $3,366,000 in the first six months of fiscal 2012 compared to net cash used in investing activities of $20,167,000 in the first six months of fiscal 2011. Dispositions of investment securities exceeded purchases by $6,855,000 in the first six months of fiscal 2012; however, purchases exceeded dispositions by $15,525,000 in the first six months of fiscal 2011 due to the investment of proceeds from the issuance of new debt. Purchases and dispositions of investment securities in both periods are subject to variations in the timing of investment maturities. Cash used for capital expenditures of $3,512,000 in the first six months of fiscal 2012 included a new storage facility and replacement of machinery at our manufacturing facilities. Cash used for capital expenditures of $4,773,000 for the same period in fiscal 2011 included replacement of machinery, land purchases and other capital projects at our manufacturing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$4,196,000 in the first six months of fiscal 2012 compared to cash provided by financing activities of $13,468,000 in the first six months of fiscal 2011. Issuance of new debt during the first six months of fiscal 2011 provided $18,500,000 in additional cash. Payments on long-term debt in the first six months of fiscal 2012 were $2,100,000 compared to $1,500,000 in the first six months of fiscal 2011. Dividend payments in the first six months of fiscal 2012 of $2,262,000 were higher than the $2,103,000 paid during the same period of fiscal 2011 due to a dividend rate increase. There were no purchases of treasury stock in the first six months of fiscal 2012 compared to $2,194,000 in the first six months of fiscal 2011. Proceeds from issuance of Common Stock and treasury stock in connection with stock option exercises were $121,000 and $548,000 in the first six months of fiscal 2012 and 2011,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cash and investment balances held by our foreign subsidiaries of $1,939,000 at January 31, 2012 were higher than the January 31, 2011 balances of $1,718,000 due to fluctuations in working capital. During the first quarter of fiscal 2012, the decrease in our foreign subsidiaries' accounts receivable exceeded the decrease in current liabilities.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21, 2011, we signed a second amendment to extend our $15,000,000 unsecured revolving credit agreement with BMO Harris Bank N.A. (“BMO Harris”, formerly known as Harris Bank N.A.) which was scheduled to expire on December 31, 2011. The second amendment extends the credit agreement for an additional three years until December 31, 2014, revises certain rates and guarantees, and provides for an additional term regarding the disposition of letters of credit after the agreement termination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agreement provides that we may select a variable rate based on either BMO Harris’ prime rate or a LIBOR-based rate, plus a margin which varies depending on our debt to earnings ratio, or a fixed rate as agreed between us and BMO Harris. At January 31, 2012, the variable rates would have been 3.25% for BMO Harris’ prime-based rate or 2.37%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2012 and 2011 and we were in compliance with its covenants.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2012 we had remaining authority to repurchase 366,877 shares of common stock under a repurchase plan approved by the Board of Directors. These repurchases may be made on the open market (pursuant to Rule 10b5-1 plans or otherwise) or in negotiated transactions and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2012 to be lower than in fiscal 2011 due to completion of projects at our manufacturing facilities related to new products; however, we intend to spend significantly for product advertising and promotional activities throughout fiscal 2012 and we anticipate such spending thereafter will be higher than historic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tables in the following subsection summarize our contractual obligations and commercial commitments at January 31, 2012 for the time frames indicated.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7"/>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615"/>
        </w:trPr>
        <w:tc>
          <w:tcPr>
            <w:tcW w:w="3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12,333,000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6,229,000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1,451,000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2,180,000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1,231,000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10,506,000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3,169,000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3,146,000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2,105,000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1,074,000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49,016,300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9,501,300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13,826,000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10,020,000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15,669,000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make a contribution to our defined benefit pension plan in the third quarter of fiscal 2012 of approximately $1,068,000.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assets and future funding contributions.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unconditional purchase obligations in the table above include forward purchase contracts we have entered into for a portion of our natural gas fuel needs for fiscal 2012. As of January 31, 2012, the remaining purchase obligations were $1,074,000 for 310,000 MMBtu for fiscal 2012. These contracts were entered into in the normal course of business and no contracts were entered into for speculative purposes.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7"/>
          </w:tcPr>
          <w:p>
            <w:pPr>
              <w:ind w:left="60"/>
              <w:spacing w:after="0"/>
              <w:rPr>
                <w:sz w:val="20"/>
                <w:szCs w:val="20"/>
                <w:color w:val="auto"/>
              </w:rPr>
            </w:pPr>
            <w:r>
              <w:rPr>
                <w:rFonts w:ascii="Arial" w:cs="Arial" w:eastAsia="Arial" w:hAnsi="Arial"/>
                <w:sz w:val="18"/>
                <w:szCs w:val="18"/>
                <w:b w:val="1"/>
                <w:bCs w:val="1"/>
                <w:color w:val="auto"/>
                <w:w w:val="99"/>
              </w:rPr>
              <w:t>Amount of Commitment Expiration Per Period</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 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After 5 Years</w:t>
            </w:r>
          </w:p>
        </w:tc>
      </w:tr>
      <w:tr>
        <w:trPr>
          <w:trHeight w:val="27"/>
        </w:trPr>
        <w:tc>
          <w:tcPr>
            <w:tcW w:w="4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29,374,000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27,974,000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1,400,000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believe this Statement will result in enhanced disclosures only and therefore will not have a significant impact on our Consolidated Financial Statements beginning with our Quarterly Report on Form 10-Q for the quarter ending April 30, 2012.</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2011, the FASB issued guidance under ASC 220, </w:t>
      </w:r>
      <w:r>
        <w:rPr>
          <w:rFonts w:ascii="Arial" w:cs="Arial" w:eastAsia="Arial" w:hAnsi="Arial"/>
          <w:sz w:val="16"/>
          <w:szCs w:val="16"/>
          <w:i w:val="1"/>
          <w:iCs w:val="1"/>
          <w:color w:val="auto"/>
        </w:rPr>
        <w:t>Comprehensive Income: Presentation of Comprehensive Income,</w:t>
      </w:r>
      <w:r>
        <w:rPr>
          <w:rFonts w:ascii="Arial" w:cs="Arial" w:eastAsia="Arial" w:hAnsi="Arial"/>
          <w:sz w:val="16"/>
          <w:szCs w:val="16"/>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In December 2011, the FASB deferred, until further review, the requirements related to the presentation of reclassification of items out of accumulated other comprehensive income. We are currently evaluating the impact this guidance will have on our Consolidated Financial Statements beginning with our Quarterly Report on Form 10-Q for the quarter ending October 31, 2012. This guidance will be applied retrospectively.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that make up our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commodity price risk with respect to fuel. We have contracted for a portion of our anticipated fuel needs using forward purchase contracts to mitigate the volatility of our kiln fuel prices. As of January 31, 2012, we have purchased natural gas contracts representing approximately 35% of our planned kiln fuel needs for fiscal 2012. All contracts are related to the normal course of business and no contracts are entered into for speculative purposes.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January 31, 2012, the table presents the notional amounts in MMBtu’s, the weighted average contract prices, and the total dollar contract amount, which will mature by July 31, 2012. The Fair Value was determined using the “Most Recent Settle” price for the “Henry Hub Natural Gas” option contract prices as listed by the New York Mercantile Exchange on March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203835</wp:posOffset>
            </wp:positionV>
            <wp:extent cx="5900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Commodity Price Sensitivity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Natural Gas Future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Ending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22860</wp:posOffset>
            </wp:positionV>
            <wp:extent cx="5900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42"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Expected 2012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1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9"/>
              </w:rPr>
              <w:t>Fair Value</w:t>
            </w:r>
          </w:p>
        </w:tc>
      </w:tr>
      <w:tr>
        <w:trPr>
          <w:trHeight w:val="27"/>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Future Volumes (MMBtu)</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Price (Per MMBtu)</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Amount ($ U.S.,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r>
      <w:tr>
        <w:trPr>
          <w:trHeight w:val="27"/>
        </w:trPr>
        <w:tc>
          <w:tcPr>
            <w:tcW w:w="6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In the past, we have mitigated some of the negative impacts of such events on the natural gas contracts by substituting the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as of the end of the period covered by this Quarterly Report on Form 10-Q. The controls evaluation was conducted under the supervision and with the participation of management, including our Chief Executive Officer (“CEO”), Chief Financial Officer (“CFO”) and Chief Accounting Officer ("CAO"). Based upon the controls evaluation, our CEO, CFO and CAO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CFO and CAO,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2012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CFO and CAO,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580" w:right="239" w:bottom="1440" w:gutter="0" w:footer="0" w:header="0"/>
        </w:sectPr>
      </w:pPr>
    </w:p>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0"/>
        <w:spacing w:after="0"/>
        <w:tabs>
          <w:tab w:leader="none" w:pos="35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2792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312" w:lineRule="exact"/>
        <w:rPr>
          <w:sz w:val="20"/>
          <w:szCs w:val="20"/>
          <w:color w:val="auto"/>
        </w:rPr>
      </w:pPr>
    </w:p>
    <w:p>
      <w:pPr>
        <w:jc w:val="both"/>
        <w:ind w:left="1180" w:hanging="339"/>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Amendment, dated as of December 21, 2011 to the Credit Agreement among the Company, certain subsidiaries of the Company and BMO Harris Bank N.A. dated as of January 27, 2006.</w:t>
      </w:r>
    </w:p>
    <w:p>
      <w:pPr>
        <w:spacing w:after="0" w:line="140" w:lineRule="exact"/>
        <w:rPr>
          <w:rFonts w:ascii="Arial" w:cs="Arial" w:eastAsia="Arial" w:hAnsi="Arial"/>
          <w:sz w:val="18"/>
          <w:szCs w:val="18"/>
          <w:color w:val="auto"/>
        </w:rPr>
      </w:pPr>
    </w:p>
    <w:p>
      <w:pPr>
        <w:ind w:left="1180" w:hanging="3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sz w:val="20"/>
          <w:szCs w:val="20"/>
          <w:color w:val="auto"/>
        </w:rPr>
      </w:pPr>
    </w:p>
    <w:p>
      <w:pPr>
        <w:ind w:left="1180" w:hanging="33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Rule 13a – 14(a).</w:t>
      </w:r>
    </w:p>
    <w:p>
      <w:pPr>
        <w:spacing w:after="0" w:line="333" w:lineRule="exact"/>
        <w:rPr>
          <w:rFonts w:ascii="Arial" w:cs="Arial" w:eastAsia="Arial" w:hAnsi="Arial"/>
          <w:sz w:val="18"/>
          <w:szCs w:val="18"/>
          <w:color w:val="auto"/>
        </w:rPr>
      </w:pPr>
    </w:p>
    <w:p>
      <w:pPr>
        <w:ind w:left="1180" w:hanging="339"/>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Certifications pursuant to Section 1350 of the Sarbanes-Oxley Act of 2002.</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4500" w:type="dxa"/>
            <w:vAlign w:val="bottom"/>
          </w:tcPr>
          <w:p>
            <w:pPr>
              <w:ind w:left="60"/>
              <w:spacing w:after="0"/>
              <w:rPr>
                <w:sz w:val="20"/>
                <w:szCs w:val="20"/>
                <w:color w:val="auto"/>
              </w:rPr>
            </w:pPr>
            <w:r>
              <w:rPr>
                <w:rFonts w:ascii="Arial" w:cs="Arial" w:eastAsia="Arial" w:hAnsi="Arial"/>
                <w:sz w:val="18"/>
                <w:szCs w:val="18"/>
                <w:color w:val="auto"/>
              </w:rPr>
              <w:t>Mine Safety Disclosure</w:t>
            </w: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rPr>
              <w:t>101.INS</w:t>
            </w:r>
          </w:p>
        </w:tc>
        <w:tc>
          <w:tcPr>
            <w:tcW w:w="4500" w:type="dxa"/>
            <w:vAlign w:val="bottom"/>
          </w:tcPr>
          <w:p>
            <w:pPr>
              <w:ind w:left="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45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4500" w:type="dxa"/>
            <w:vAlign w:val="bottom"/>
          </w:tcPr>
          <w:p>
            <w:pPr>
              <w:ind w:left="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4500" w:type="dxa"/>
            <w:vAlign w:val="bottom"/>
          </w:tcPr>
          <w:p>
            <w:pPr>
              <w:ind w:left="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4500" w:type="dxa"/>
            <w:vAlign w:val="bottom"/>
          </w:tcPr>
          <w:p>
            <w:pPr>
              <w:ind w:left="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w w:val="94"/>
              </w:rPr>
              <w:t>101.PRE</w:t>
            </w:r>
          </w:p>
        </w:tc>
        <w:tc>
          <w:tcPr>
            <w:tcW w:w="45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 to Oil-Dri's (File No. 001-12622) Current Report on Form 8-K filed on December 28, 2011.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3" w:lineRule="exact"/>
        <w:rPr>
          <w:sz w:val="20"/>
          <w:szCs w:val="20"/>
          <w:color w:val="auto"/>
        </w:rPr>
      </w:pPr>
    </w:p>
    <w:p>
      <w:pPr>
        <w:sectPr>
          <w:pgSz w:w="11900" w:h="16838" w:orient="portrait"/>
          <w:cols w:equalWidth="0" w:num="2">
            <w:col w:w="6720" w:space="160"/>
            <w:col w:w="4540"/>
          </w:cols>
          <w:pgMar w:left="240" w:top="580"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791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791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Jeffrey M. Libert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763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339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320"/>
          </w:cols>
          <w:pgMar w:left="580" w:top="584" w:right="9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4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68605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340" w:lineRule="exact"/>
        <w:rPr>
          <w:sz w:val="20"/>
          <w:szCs w:val="20"/>
          <w:color w:val="auto"/>
        </w:rPr>
      </w:pPr>
    </w:p>
    <w:p>
      <w:pPr>
        <w:ind w:left="1640" w:right="720" w:hanging="536"/>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Second Amendment, dated as of December 21, 2011 to the Credit Agreement among the Company, certain subsidiaries of the Company and BMO Harris Bank N.A. dated as of January 27, 2006.</w:t>
      </w:r>
    </w:p>
    <w:p>
      <w:pPr>
        <w:spacing w:after="0" w:line="129" w:lineRule="exact"/>
        <w:rPr>
          <w:rFonts w:ascii="Arial" w:cs="Arial" w:eastAsia="Arial" w:hAnsi="Arial"/>
          <w:sz w:val="18"/>
          <w:szCs w:val="18"/>
          <w:color w:val="auto"/>
        </w:rPr>
      </w:pPr>
    </w:p>
    <w:p>
      <w:pPr>
        <w:ind w:left="1640" w:hanging="529"/>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sz w:val="20"/>
          <w:szCs w:val="20"/>
          <w:color w:val="auto"/>
        </w:rPr>
      </w:pPr>
    </w:p>
    <w:p>
      <w:pPr>
        <w:ind w:left="1640" w:hanging="53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Rule 13a – 14(a).</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80"/>
              <w:spacing w:after="0"/>
              <w:rPr>
                <w:sz w:val="20"/>
                <w:szCs w:val="20"/>
                <w:color w:val="auto"/>
              </w:rPr>
            </w:pPr>
            <w:r>
              <w:rPr>
                <w:rFonts w:ascii="Arial" w:cs="Arial" w:eastAsia="Arial" w:hAnsi="Arial"/>
                <w:sz w:val="18"/>
                <w:szCs w:val="18"/>
                <w:color w:val="auto"/>
              </w:rPr>
              <w:t>Mine Safety Disclosure</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8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8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8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Exhibit 10 to Oil-Dri's (File No. 001-12622) Current Report on Form 8-K filed on December 28, 2011.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376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370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For the Three Months Ended</w:t>
            </w:r>
          </w:p>
        </w:tc>
        <w:tc>
          <w:tcPr>
            <w:tcW w:w="160" w:type="dxa"/>
            <w:vAlign w:val="bottom"/>
          </w:tcPr>
          <w:p>
            <w:pPr>
              <w:spacing w:after="0"/>
              <w:rPr>
                <w:sz w:val="18"/>
                <w:szCs w:val="18"/>
                <w:color w:val="auto"/>
              </w:rPr>
            </w:pPr>
          </w:p>
        </w:tc>
        <w:tc>
          <w:tcPr>
            <w:tcW w:w="23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January 31,</w:t>
            </w:r>
          </w:p>
        </w:tc>
        <w:tc>
          <w:tcPr>
            <w:tcW w:w="160" w:type="dxa"/>
            <w:vAlign w:val="bottom"/>
          </w:tcPr>
          <w:p>
            <w:pPr>
              <w:spacing w:after="0"/>
              <w:rPr>
                <w:sz w:val="20"/>
                <w:szCs w:val="20"/>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w w:val="95"/>
              </w:rPr>
              <w:t>Less: Distributed and undistributed earnings allocated to nonvested</w:t>
            </w:r>
          </w:p>
        </w:tc>
        <w:tc>
          <w:tcPr>
            <w:tcW w:w="1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8"/>
                <w:szCs w:val="18"/>
                <w:color w:val="auto"/>
              </w:rPr>
              <w:t>Shares Calculation</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5,119</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1,929</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7,128</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7,114</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580" w:right="8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9, 2012</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Jeffrey M. Libert,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March 9, 2012</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Jeffrey M. Libert</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Jeffrey M. Libert</w:t>
            </w:r>
          </w:p>
        </w:tc>
      </w:tr>
      <w:tr>
        <w:trPr>
          <w:trHeight w:val="378"/>
        </w:trPr>
        <w:tc>
          <w:tcPr>
            <w:tcW w:w="108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9, 2012</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Chief Accounting Officer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9,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9,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Jeffrey M. Libert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32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9, 2012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Accounting Officer and Controller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2012. The columns in the table represent the total number of, and the proposed dollar assessment for, violations, citations and orders issued by the Mine Safety and Health Administration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1,421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amp;"/>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amp;"/>
      <w:numFmt w:val="bullet"/>
      <w:start w:val="1"/>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3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31"/>
    </w:lvl>
  </w:abstractNum>
  <w:abstractNum w:abstractNumId="8">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
    <w:nsid w:val="216231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2020-02-18T23:27:53Z</dcterms:created>
  <dcterms:modified xsi:type="dcterms:W3CDTF">2020-02-18T23:27:53Z</dcterms:modified>
</cp:coreProperties>
</file>