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15 )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Oil-Dri Corp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677864100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677864100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30-0447847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367,941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374,969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374,969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7.3%</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right="7540" w:hanging="427"/>
        <w:spacing w:after="0" w:line="256" w:lineRule="auto"/>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Issuer </w:t>
      </w:r>
      <w:r>
        <w:rPr>
          <w:rFonts w:ascii="Arial" w:cs="Arial" w:eastAsia="Arial" w:hAnsi="Arial"/>
          <w:sz w:val="22"/>
          <w:szCs w:val="22"/>
          <w:color w:val="auto"/>
        </w:rPr>
        <w:t>Oil-Dri Corp of America</w:t>
      </w:r>
    </w:p>
    <w:p>
      <w:pPr>
        <w:spacing w:after="0" w:line="81" w:lineRule="exact"/>
        <w:rPr>
          <w:rFonts w:ascii="Arial" w:cs="Arial" w:eastAsia="Arial" w:hAnsi="Arial"/>
          <w:sz w:val="22"/>
          <w:szCs w:val="22"/>
          <w:b w:val="1"/>
          <w:bCs w:val="1"/>
          <w:color w:val="auto"/>
        </w:rPr>
      </w:pPr>
    </w:p>
    <w:p>
      <w:pPr>
        <w:ind w:left="1340" w:hanging="427"/>
        <w:spacing w:after="0"/>
        <w:tabs>
          <w:tab w:leader="none" w:pos="13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410 North Michigan Avenue, Suite 400, Chicago, IL 60611</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340" w:right="694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Dimensional Fund Advisors LP</w:t>
      </w:r>
    </w:p>
    <w:p>
      <w:pPr>
        <w:spacing w:after="0" w:line="12" w:lineRule="exact"/>
        <w:rPr>
          <w:rFonts w:ascii="Arial" w:cs="Arial" w:eastAsia="Arial" w:hAnsi="Arial"/>
          <w:sz w:val="19"/>
          <w:szCs w:val="19"/>
          <w:b w:val="1"/>
          <w:bCs w:val="1"/>
          <w:color w:val="auto"/>
        </w:rPr>
      </w:pPr>
    </w:p>
    <w:p>
      <w:pPr>
        <w:ind w:left="1340" w:right="428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6300 Bee Cave Road, Building One, Austin, TX 78746</w:t>
      </w:r>
    </w:p>
    <w:p>
      <w:pPr>
        <w:spacing w:after="0" w:line="12" w:lineRule="exact"/>
        <w:rPr>
          <w:rFonts w:ascii="Arial" w:cs="Arial" w:eastAsia="Arial" w:hAnsi="Arial"/>
          <w:sz w:val="19"/>
          <w:szCs w:val="19"/>
          <w:b w:val="1"/>
          <w:bCs w:val="1"/>
          <w:color w:val="auto"/>
        </w:rPr>
      </w:pPr>
    </w:p>
    <w:p>
      <w:pPr>
        <w:ind w:left="1340" w:hanging="427"/>
        <w:spacing w:after="0"/>
        <w:tabs>
          <w:tab w:leader="none" w:pos="13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340"/>
        <w:spacing w:after="0"/>
        <w:rPr>
          <w:rFonts w:ascii="Arial" w:cs="Arial" w:eastAsia="Arial" w:hAnsi="Arial"/>
          <w:sz w:val="22"/>
          <w:szCs w:val="22"/>
          <w:b w:val="1"/>
          <w:bCs w:val="1"/>
          <w:color w:val="auto"/>
        </w:rPr>
      </w:pPr>
      <w:r>
        <w:rPr>
          <w:rFonts w:ascii="Arial" w:cs="Arial" w:eastAsia="Arial" w:hAnsi="Arial"/>
          <w:sz w:val="22"/>
          <w:szCs w:val="22"/>
          <w:color w:val="auto"/>
        </w:rPr>
        <w:t>Delaware Limited Partnership</w:t>
      </w:r>
    </w:p>
    <w:p>
      <w:pPr>
        <w:spacing w:after="0" w:line="101" w:lineRule="exact"/>
        <w:rPr>
          <w:rFonts w:ascii="Arial" w:cs="Arial" w:eastAsia="Arial" w:hAnsi="Arial"/>
          <w:sz w:val="22"/>
          <w:szCs w:val="22"/>
          <w:b w:val="1"/>
          <w:bCs w:val="1"/>
          <w:color w:val="auto"/>
        </w:rPr>
      </w:pPr>
    </w:p>
    <w:p>
      <w:pPr>
        <w:ind w:left="1340" w:right="730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340" w:right="8220" w:hanging="427"/>
        <w:spacing w:after="0" w:line="334" w:lineRule="auto"/>
        <w:tabs>
          <w:tab w:leader="none" w:pos="13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677864100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pacing w:after="0" w:line="131" w:lineRule="exact"/>
        <w:rPr>
          <w:sz w:val="20"/>
          <w:szCs w:val="20"/>
          <w:color w:val="auto"/>
        </w:rPr>
      </w:pPr>
    </w:p>
    <w:p>
      <w:pPr>
        <w:ind w:left="920"/>
        <w:spacing w:after="0"/>
        <w:tabs>
          <w:tab w:leader="none" w:pos="1320" w:val="left"/>
          <w:tab w:leader="none" w:pos="1780" w:val="left"/>
        </w:tabs>
        <w:rPr>
          <w:sz w:val="20"/>
          <w:szCs w:val="20"/>
          <w:color w:val="auto"/>
        </w:rPr>
      </w:pPr>
      <w:r>
        <w:rPr>
          <w:rFonts w:ascii="Arial" w:cs="Arial" w:eastAsia="Arial" w:hAnsi="Arial"/>
          <w:sz w:val="22"/>
          <w:szCs w:val="22"/>
          <w:color w:val="auto"/>
        </w:rPr>
        <w:t>(a)</w:t>
        <w:tab/>
        <w:t>[ ]</w:t>
      </w:r>
      <w:r>
        <w:rPr>
          <w:sz w:val="20"/>
          <w:szCs w:val="20"/>
          <w:color w:val="auto"/>
        </w:rPr>
        <w:tab/>
      </w:r>
      <w:r>
        <w:rPr>
          <w:rFonts w:ascii="Arial" w:cs="Arial" w:eastAsia="Arial" w:hAnsi="Arial"/>
          <w:sz w:val="19"/>
          <w:szCs w:val="19"/>
          <w:color w:val="auto"/>
        </w:rPr>
        <w:t>Broker or dealer registered under Section 15 of the Act (15 U.S.C. 78o).</w:t>
      </w:r>
    </w:p>
    <w:p>
      <w:pPr>
        <w:sectPr>
          <w:pgSz w:w="11900" w:h="16838" w:orient="portrait"/>
          <w:cols w:equalWidth="0" w:num="1">
            <w:col w:w="11020"/>
          </w:cols>
          <w:pgMar w:left="400" w:top="423" w:right="47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[X]</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46" w:lineRule="exact"/>
        <w:rPr>
          <w:rFonts w:ascii="Arial" w:cs="Arial" w:eastAsia="Arial" w:hAnsi="Arial"/>
          <w:sz w:val="22"/>
          <w:szCs w:val="22"/>
          <w:color w:val="auto"/>
        </w:rPr>
      </w:pPr>
    </w:p>
    <w:p>
      <w:pPr>
        <w:ind w:left="1340" w:hanging="427"/>
        <w:spacing w:after="0"/>
        <w:tabs>
          <w:tab w:leader="none" w:pos="1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10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spacing w:after="0"/>
        <w:rPr>
          <w:sz w:val="20"/>
          <w:szCs w:val="20"/>
          <w:color w:val="auto"/>
        </w:rPr>
      </w:pPr>
      <w:r>
        <w:rPr>
          <w:rFonts w:ascii="Arial" w:cs="Arial" w:eastAsia="Arial" w:hAnsi="Arial"/>
          <w:sz w:val="19"/>
          <w:szCs w:val="19"/>
          <w:color w:val="auto"/>
        </w:rPr>
        <w:t>A savings association as defined in Section 3(b) of the Federal Deposit Insurance Act (12 U.S.C. 1813);</w:t>
      </w:r>
    </w:p>
    <w:p>
      <w:pPr>
        <w:spacing w:after="0" w:line="16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119" w:lineRule="exact"/>
        <w:rPr>
          <w:sz w:val="20"/>
          <w:szCs w:val="20"/>
          <w:color w:val="auto"/>
        </w:rPr>
      </w:pPr>
    </w:p>
    <w:p>
      <w:pPr>
        <w:sectPr>
          <w:pgSz w:w="11900" w:h="16838" w:orient="portrait"/>
          <w:cols w:equalWidth="0" w:num="2">
            <w:col w:w="1640" w:space="160"/>
            <w:col w:w="9220"/>
          </w:cols>
          <w:pgMar w:left="400" w:top="423" w:right="479" w:bottom="0" w:gutter="0" w:footer="0" w:header="0"/>
          <w:type w:val="continuous"/>
        </w:sect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374,969 ** see Note 1 **</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340"/>
        <w:spacing w:after="0"/>
        <w:rPr>
          <w:rFonts w:ascii="Arial" w:cs="Arial" w:eastAsia="Arial" w:hAnsi="Arial"/>
          <w:sz w:val="22"/>
          <w:szCs w:val="22"/>
          <w:color w:val="auto"/>
        </w:rPr>
      </w:pPr>
      <w:r>
        <w:rPr>
          <w:rFonts w:ascii="Arial" w:cs="Arial" w:eastAsia="Arial" w:hAnsi="Arial"/>
          <w:sz w:val="22"/>
          <w:szCs w:val="22"/>
          <w:color w:val="auto"/>
        </w:rPr>
        <w:t>7.3%</w:t>
      </w:r>
    </w:p>
    <w:p>
      <w:pPr>
        <w:spacing w:after="0" w:line="125" w:lineRule="exact"/>
        <w:rPr>
          <w:rFonts w:ascii="Arial" w:cs="Arial" w:eastAsia="Arial" w:hAnsi="Arial"/>
          <w:sz w:val="22"/>
          <w:szCs w:val="22"/>
          <w:color w:val="auto"/>
        </w:rPr>
      </w:pPr>
    </w:p>
    <w:p>
      <w:pPr>
        <w:ind w:left="1340" w:hanging="427"/>
        <w:spacing w:after="0"/>
        <w:tabs>
          <w:tab w:leader="none" w:pos="1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1800" w:hanging="468"/>
        <w:spacing w:after="0"/>
        <w:tabs>
          <w:tab w:leader="none" w:pos="18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1800" w:hanging="468"/>
        <w:spacing w:after="0"/>
        <w:tabs>
          <w:tab w:leader="none" w:pos="18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79" w:lineRule="exact"/>
        <w:rPr>
          <w:rFonts w:ascii="Arial" w:cs="Arial" w:eastAsia="Arial" w:hAnsi="Arial"/>
          <w:sz w:val="22"/>
          <w:szCs w:val="22"/>
          <w:color w:val="auto"/>
        </w:rPr>
      </w:pPr>
    </w:p>
    <w:p>
      <w:pPr>
        <w:ind w:left="1800" w:hanging="468"/>
        <w:spacing w:after="0"/>
        <w:tabs>
          <w:tab w:leader="none" w:pos="1800" w:val="left"/>
        </w:tabs>
        <w:numPr>
          <w:ilvl w:val="1"/>
          <w:numId w:val="5"/>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1800" w:right="800" w:hanging="468"/>
        <w:spacing w:after="0" w:line="183" w:lineRule="auto"/>
        <w:tabs>
          <w:tab w:leader="none" w:pos="18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9"/>
          <w:szCs w:val="19"/>
          <w:color w:val="auto"/>
        </w:rPr>
        <w:t>367,941 ** see Note 1 **</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374,969 ** see Note 1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6" w:lineRule="exact"/>
        <w:rPr>
          <w:sz w:val="20"/>
          <w:szCs w:val="20"/>
          <w:color w:val="auto"/>
        </w:rPr>
      </w:pPr>
    </w:p>
    <w:p>
      <w:pPr>
        <w:sectPr>
          <w:pgSz w:w="11900" w:h="16838" w:orient="portrait"/>
          <w:cols w:equalWidth="0" w:num="2">
            <w:col w:w="6000" w:space="260"/>
            <w:col w:w="4760"/>
          </w:cols>
          <w:pgMar w:left="400" w:top="423" w:right="479" w:bottom="0" w:gutter="0" w:footer="0" w:header="0"/>
          <w:type w:val="continuous"/>
        </w:sectPr>
      </w:pPr>
    </w:p>
    <w:p>
      <w:pPr>
        <w:ind w:right="20" w:firstLine="9"/>
        <w:spacing w:after="0" w:line="279" w:lineRule="auto"/>
        <w:tabs>
          <w:tab w:leader="none" w:pos="270" w:val="left"/>
        </w:tabs>
        <w:numPr>
          <w:ilvl w:val="0"/>
          <w:numId w:val="6"/>
        </w:numPr>
        <w:rPr>
          <w:rFonts w:ascii="Arial" w:cs="Arial" w:eastAsia="Arial" w:hAnsi="Arial"/>
          <w:sz w:val="19"/>
          <w:szCs w:val="19"/>
          <w:color w:val="auto"/>
        </w:rPr>
      </w:pPr>
      <w:r>
        <w:rPr>
          <w:rFonts w:ascii="Arial" w:cs="Arial" w:eastAsia="Arial" w:hAnsi="Arial"/>
          <w:sz w:val="19"/>
          <w:szCs w:val="19"/>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23" w:right="479" w:bottom="0" w:gutter="0" w:footer="0" w:header="0"/>
          <w:type w:val="continuous"/>
        </w:sectPr>
      </w:pPr>
    </w:p>
    <w:bookmarkStart w:id="3" w:name="page4"/>
    <w:bookmarkEnd w:id="3"/>
    <w:p>
      <w:pPr>
        <w:ind w:right="100"/>
        <w:spacing w:after="0" w:line="282" w:lineRule="auto"/>
        <w:rPr>
          <w:sz w:val="20"/>
          <w:szCs w:val="20"/>
          <w:color w:val="auto"/>
        </w:rPr>
      </w:pPr>
      <w:r>
        <w:rPr>
          <w:rFonts w:ascii="Arial" w:cs="Arial" w:eastAsia="Arial" w:hAnsi="Arial"/>
          <w:sz w:val="19"/>
          <w:szCs w:val="19"/>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61"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32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8"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Dimensional Fund Advisors LP</w:t>
      </w:r>
    </w:p>
    <w:p>
      <w:pPr>
        <w:spacing w:after="0" w:line="8" w:lineRule="exact"/>
        <w:rPr>
          <w:sz w:val="20"/>
          <w:szCs w:val="20"/>
          <w:color w:val="auto"/>
        </w:rPr>
      </w:pPr>
    </w:p>
    <w:p>
      <w:pPr>
        <w:ind w:left="600"/>
        <w:spacing w:after="0"/>
        <w:rPr>
          <w:sz w:val="20"/>
          <w:szCs w:val="20"/>
          <w:color w:val="auto"/>
        </w:rPr>
      </w:pPr>
      <w:r>
        <w:rPr>
          <w:rFonts w:ascii="Arial" w:cs="Arial" w:eastAsia="Arial" w:hAnsi="Arial"/>
          <w:sz w:val="22"/>
          <w:szCs w:val="22"/>
          <w:color w:val="auto"/>
        </w:rPr>
        <w:t>By: Dimensional Holdings Inc., General Partner</w:t>
      </w:r>
    </w:p>
    <w:p>
      <w:pPr>
        <w:spacing w:after="0" w:line="2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February 14, 2023</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Global Chief Compliance Officer</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2023-02-10T13:59:12Z</dcterms:created>
  <dcterms:modified xsi:type="dcterms:W3CDTF">2023-02-10T13:59:12Z</dcterms:modified>
</cp:coreProperties>
</file>