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ectPr>
          <w:pgSz w:w="11900" w:h="16838" w:orient="portrait"/>
          <w:cols w:equalWidth="0" w:num="1">
            <w:col w:w="11240"/>
          </w:cols>
          <w:pgMar w:left="320" w:top="995" w:right="339" w:bottom="1440" w:gutter="0" w:footer="0" w:header="0"/>
        </w:sectPr>
      </w:pPr>
    </w:p>
    <w:p>
      <w:pPr>
        <w:spacing w:after="0" w:line="34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December 9, 2024</w:t>
      </w:r>
    </w:p>
    <w:p>
      <w:pPr>
        <w:spacing w:after="0" w:line="211" w:lineRule="exact"/>
        <w:rPr>
          <w:sz w:val="24"/>
          <w:szCs w:val="24"/>
          <w:color w:val="auto"/>
        </w:rPr>
      </w:pPr>
    </w:p>
    <w:p>
      <w:pPr>
        <w:sectPr>
          <w:pgSz w:w="11900" w:h="16838" w:orient="portrait"/>
          <w:cols w:equalWidth="0" w:num="2">
            <w:col w:w="7280" w:space="720"/>
            <w:col w:w="3240"/>
          </w:cols>
          <w:pgMar w:left="320" w:top="995" w:right="339" w:bottom="1440" w:gutter="0" w:footer="0" w:header="0"/>
          <w:type w:val="continuous"/>
        </w:sectPr>
      </w:pP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the registrant as specified in its charter)</w:t>
      </w:r>
    </w:p>
    <w:p>
      <w:pPr>
        <w:sectPr>
          <w:pgSz w:w="11900" w:h="16838" w:orient="portrait"/>
          <w:cols w:equalWidth="0" w:num="1">
            <w:col w:w="11240"/>
          </w:cols>
          <w:pgMar w:left="320" w:top="995" w:right="339" w:bottom="1440" w:gutter="0" w:footer="0" w:header="0"/>
          <w:type w:val="continuous"/>
        </w:sectPr>
      </w:pPr>
    </w:p>
    <w:p>
      <w:pPr>
        <w:spacing w:after="0" w:line="37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001-12622</w:t>
      </w:r>
    </w:p>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36-2048898</w:t>
      </w:r>
    </w:p>
    <w:p>
      <w:pPr>
        <w:spacing w:after="0" w:line="31" w:lineRule="exact"/>
        <w:rPr>
          <w:sz w:val="24"/>
          <w:szCs w:val="24"/>
          <w:color w:val="auto"/>
        </w:rPr>
      </w:pPr>
    </w:p>
    <w:p>
      <w:pPr>
        <w:sectPr>
          <w:pgSz w:w="11900" w:h="16838" w:orient="portrait"/>
          <w:cols w:equalWidth="0" w:num="3">
            <w:col w:w="4480" w:space="720"/>
            <w:col w:w="2940" w:space="720"/>
            <w:col w:w="2380"/>
          </w:cols>
          <w:pgMar w:left="320" w:top="995" w:right="33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ectPr>
          <w:pgSz w:w="11900" w:h="16838" w:orient="portrait"/>
          <w:cols w:equalWidth="0" w:num="1">
            <w:col w:w="11240"/>
          </w:cols>
          <w:pgMar w:left="320" w:top="995" w:right="339" w:bottom="1440" w:gutter="0" w:footer="0" w:header="0"/>
          <w:type w:val="continuous"/>
        </w:sectPr>
      </w:pPr>
    </w:p>
    <w:p>
      <w:pPr>
        <w:spacing w:after="0" w:line="1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7"/>
          <w:szCs w:val="17"/>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03" w:lineRule="exact"/>
        <w:rPr>
          <w:sz w:val="24"/>
          <w:szCs w:val="24"/>
          <w:color w:val="auto"/>
        </w:rPr>
      </w:pPr>
    </w:p>
    <w:p>
      <w:pPr>
        <w:sectPr>
          <w:pgSz w:w="11900" w:h="16838" w:orient="portrait"/>
          <w:cols w:equalWidth="0" w:num="3">
            <w:col w:w="3860" w:space="720"/>
            <w:col w:w="2660" w:space="720"/>
            <w:col w:w="3280"/>
          </w:cols>
          <w:pgMar w:left="320" w:top="995" w:right="3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410 North Michigan Avenue, Suite 400</w:t>
      </w:r>
    </w:p>
    <w:p>
      <w:pPr>
        <w:spacing w:after="0" w:line="3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60611-4213</w:t>
      </w:r>
    </w:p>
    <w:p>
      <w:pPr>
        <w:spacing w:after="0" w:line="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(Zip Code)</w:t>
      </w:r>
    </w:p>
    <w:p>
      <w:pPr>
        <w:spacing w:after="0" w:line="126" w:lineRule="exact"/>
        <w:rPr>
          <w:sz w:val="24"/>
          <w:szCs w:val="24"/>
          <w:color w:val="auto"/>
        </w:rPr>
      </w:pPr>
    </w:p>
    <w:p>
      <w:pPr>
        <w:sectPr>
          <w:pgSz w:w="11900" w:h="16838" w:orient="portrait"/>
          <w:cols w:equalWidth="0" w:num="2">
            <w:col w:w="8120" w:space="720"/>
            <w:col w:w="2400"/>
          </w:cols>
          <w:pgMar w:left="320" w:top="995" w:right="3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type w:val="continuous"/>
        </w:sectPr>
      </w:pPr>
    </w:p>
    <w:p>
      <w:pPr>
        <w:spacing w:after="0" w:line="127"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7"/>
          <w:szCs w:val="17"/>
          <w:color w:val="auto"/>
        </w:rPr>
        <w:t>Common Stock, par value $0.10 per share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93" w:lineRule="exact"/>
        <w:rPr>
          <w:sz w:val="24"/>
          <w:szCs w:val="24"/>
          <w:color w:val="auto"/>
        </w:rPr>
      </w:pPr>
    </w:p>
    <w:p>
      <w:pPr>
        <w:sectPr>
          <w:pgSz w:w="11900" w:h="16838" w:orient="portrait"/>
          <w:cols w:equalWidth="0" w:num="3">
            <w:col w:w="4080" w:space="620"/>
            <w:col w:w="1440" w:space="660"/>
            <w:col w:w="4440"/>
          </w:cols>
          <w:pgMar w:left="320" w:top="995" w:right="339" w:bottom="1440" w:gutter="0" w:footer="0" w:header="0"/>
          <w:type w:val="continuous"/>
        </w:sect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51435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2024, Oil-Dri Corporation of America (the “Company”) issued a press release announcing its results of operations for its first quarter ended October 31, 2024. A copy of the press release is attached as Exhibit 99.1, and the information contained therein is incorporated herein by reference.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hereto, is being furnished and shall not be deemed “filed” for purposes of Section 18 of the Securities Exchange Act of 1934, as amended (the “Exchange Act”), or otherwise subject to the liabilities of that section. This information shall not be deemed to be incorporated by reference into any filing under the Securities Act of 1933, as amended, or the Exchange Act, except as shall be expressly set forth by specific reference to such disclosure in this Form 8-K in such a filing.</w:t>
      </w:r>
    </w:p>
    <w:p>
      <w:pPr>
        <w:spacing w:after="0" w:line="351"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held its annual meeting of stockholders on December 11, 2024 (the “Annual Meeting”), and there were 4,519,588 shares of the Company's Common Stock, par value $0.10 per share (“Common Stock”), each share entitled to one vote per share, and 2,144,132 shares of the Company's Class B Stock, par value $0.10 per share (“Class B Stock”), each share entitled to ten votes per share, represented in person or by proxy at the meeting. As of October 14, 2024, the record date of the Annual Meeting, 5,134,478 shares of Common Stock and 2,155,407 shares of Class B Stock were outstanding. See the Company’s 2024 Proxy Statement (the “Proxy”) for more information on the proposals presented at the meeting, the relevant portions of which are incorporated herein by reference.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stockholders elected all of the nominees for director recommended by the Company’s Board of Directors (the “Board”). The voting results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62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4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Ellen-Blair Chube</w:t>
            </w:r>
          </w:p>
        </w:tc>
        <w:tc>
          <w:tcPr>
            <w:tcW w:w="10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23,988,792</w:t>
            </w:r>
          </w:p>
        </w:tc>
        <w:tc>
          <w:tcPr>
            <w:tcW w:w="8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1,348,963</w:t>
            </w:r>
          </w:p>
        </w:tc>
        <w:tc>
          <w:tcPr>
            <w:tcW w:w="10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623,153</w:t>
            </w: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M. Hindsley</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21,911,031</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3,426,724</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623,153</w:t>
            </w:r>
          </w:p>
        </w:tc>
      </w:tr>
      <w:tr>
        <w:trPr>
          <w:trHeight w:val="23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S. Jaffee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23,980,988</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1,356,767</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623,153</w:t>
            </w:r>
          </w:p>
        </w:tc>
      </w:tr>
      <w:tr>
        <w:trPr>
          <w:trHeight w:val="23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A. Nemeroff</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23,950,701</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1,387,054</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623,153</w:t>
            </w:r>
          </w:p>
        </w:tc>
      </w:tr>
      <w:tr>
        <w:trPr>
          <w:trHeight w:val="23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George C. Roeth</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24,181,948</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1,155,807</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623,153</w:t>
            </w: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Amy L Ryan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21,850,840</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3,486,915</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623,153</w:t>
            </w:r>
          </w:p>
        </w:tc>
      </w:tr>
      <w:tr>
        <w:trPr>
          <w:trHeight w:val="23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Patricia J. Schmeda</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24,171,395</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1,166,360</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623,153</w:t>
            </w:r>
          </w:p>
        </w:tc>
      </w:tr>
      <w:tr>
        <w:trPr>
          <w:trHeight w:val="23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Allan H. Selig</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24,050,189</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1,287,566</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623,153</w:t>
            </w:r>
          </w:p>
        </w:tc>
      </w:tr>
      <w:tr>
        <w:trPr>
          <w:trHeight w:val="23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Lawrence E. Washow</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24,167,415</w:t>
            </w:r>
          </w:p>
        </w:tc>
        <w:tc>
          <w:tcPr>
            <w:tcW w:w="8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1,170,340</w:t>
            </w:r>
          </w:p>
        </w:tc>
        <w:tc>
          <w:tcPr>
            <w:tcW w:w="10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623,153</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 AUDITOR</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Grant Thornton LLP as independent auditor for the fiscal year ending July 31, 2025. The voting results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25,930,763</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28,484</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r>
    </w:tbl>
    <w:p>
      <w:pPr>
        <w:spacing w:after="0" w:line="200" w:lineRule="exact"/>
        <w:rPr>
          <w:sz w:val="20"/>
          <w:szCs w:val="20"/>
          <w:color w:val="auto"/>
        </w:rPr>
      </w:pPr>
    </w:p>
    <w:p>
      <w:pPr>
        <w:spacing w:after="0" w:line="2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PROPOSAL 3: APPROVAL OF AN AMENDMENT TO THE CERTIFICATE OF INCORPORATION TO INCREASE THE NUMBER OF AUTHORIZED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The stockholders voted to approve an amendment to our Certificate of Incorporation, as amended (the “Charter”), to increase the number of authorized shares of Common Stock, from 15 million to 30 million to implement a two-for-one stock split of our Common Stock and our Class B Stock in the form of a stock dividend. A form of the amendment to the Charter was annexed in the Proxy and, as indicated in the Proxy, approval of a majority of the votes entitled to be cast by the holders of our outstanding Common Stock, voting separately as a class, in addition to the approval of a majority of the votes entitled to be cast by the holders of our outstanding Common Stock and Class B Stock, voting together as a single class, was necessary to approve the amendment. The voting results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and Class B Stock, voting together as a single class</w:t>
            </w:r>
          </w:p>
        </w:tc>
        <w:tc>
          <w:tcPr>
            <w:tcW w:w="3620" w:type="dxa"/>
            <w:vAlign w:val="bottom"/>
          </w:tcPr>
          <w:p>
            <w:pPr>
              <w:spacing w:after="0"/>
              <w:rPr>
                <w:sz w:val="17"/>
                <w:szCs w:val="17"/>
                <w:color w:val="auto"/>
              </w:rPr>
            </w:pPr>
          </w:p>
        </w:tc>
      </w:tr>
      <w:tr>
        <w:trPr>
          <w:trHeight w:val="291"/>
        </w:trPr>
        <w:tc>
          <w:tcPr>
            <w:tcW w:w="318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29"/>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25,854,250</w:t>
            </w:r>
          </w:p>
        </w:tc>
      </w:tr>
      <w:tr>
        <w:trPr>
          <w:trHeight w:val="229"/>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66,046</w:t>
            </w:r>
          </w:p>
        </w:tc>
      </w:tr>
      <w:tr>
        <w:trPr>
          <w:trHeight w:val="230"/>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40,612</w:t>
            </w:r>
          </w:p>
        </w:tc>
      </w:tr>
      <w:tr>
        <w:trPr>
          <w:trHeight w:val="513"/>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Common Stock, voting separately as a class</w:t>
            </w:r>
          </w:p>
        </w:tc>
        <w:tc>
          <w:tcPr>
            <w:tcW w:w="4440" w:type="dxa"/>
            <w:vAlign w:val="bottom"/>
            <w:gridSpan w:val="2"/>
          </w:tcPr>
          <w:p>
            <w:pPr>
              <w:spacing w:after="0"/>
              <w:rPr>
                <w:sz w:val="24"/>
                <w:szCs w:val="24"/>
                <w:color w:val="auto"/>
              </w:rPr>
            </w:pPr>
          </w:p>
        </w:tc>
        <w:tc>
          <w:tcPr>
            <w:tcW w:w="3620" w:type="dxa"/>
            <w:vAlign w:val="bottom"/>
          </w:tcPr>
          <w:p>
            <w:pPr>
              <w:spacing w:after="0"/>
              <w:rPr>
                <w:sz w:val="24"/>
                <w:szCs w:val="24"/>
                <w:color w:val="auto"/>
              </w:rPr>
            </w:pPr>
          </w:p>
        </w:tc>
      </w:tr>
      <w:tr>
        <w:trPr>
          <w:trHeight w:val="291"/>
        </w:trPr>
        <w:tc>
          <w:tcPr>
            <w:tcW w:w="7620" w:type="dxa"/>
            <w:vAlign w:val="bottom"/>
            <w:gridSpan w:val="3"/>
          </w:tcPr>
          <w:p>
            <w:pPr>
              <w:spacing w:after="0"/>
              <w:rPr>
                <w:sz w:val="24"/>
                <w:szCs w:val="24"/>
                <w:color w:val="auto"/>
              </w:rPr>
            </w:pPr>
          </w:p>
        </w:tc>
        <w:tc>
          <w:tcPr>
            <w:tcW w:w="3620" w:type="dxa"/>
            <w:vAlign w:val="bottom"/>
          </w:tcPr>
          <w:p>
            <w:pPr>
              <w:spacing w:after="0"/>
              <w:rPr>
                <w:sz w:val="24"/>
                <w:szCs w:val="24"/>
                <w:color w:val="auto"/>
              </w:rPr>
            </w:pPr>
          </w:p>
        </w:tc>
      </w:tr>
      <w:tr>
        <w:trPr>
          <w:trHeight w:val="229"/>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4,412,930</w:t>
            </w:r>
          </w:p>
        </w:tc>
      </w:tr>
      <w:tr>
        <w:trPr>
          <w:trHeight w:val="230"/>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3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66,046</w:t>
            </w:r>
          </w:p>
        </w:tc>
      </w:tr>
      <w:tr>
        <w:trPr>
          <w:trHeight w:val="229"/>
        </w:trPr>
        <w:tc>
          <w:tcPr>
            <w:tcW w:w="7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40,612</w:t>
            </w:r>
          </w:p>
        </w:tc>
      </w:tr>
    </w:tbl>
    <w:p>
      <w:pPr>
        <w:spacing w:after="0" w:line="200" w:lineRule="exact"/>
        <w:rPr>
          <w:sz w:val="20"/>
          <w:szCs w:val="20"/>
          <w:color w:val="auto"/>
        </w:rPr>
      </w:pPr>
    </w:p>
    <w:p>
      <w:pPr>
        <w:spacing w:after="0" w:line="237"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3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its regular meeting on December 11, 2024, the Board declared quarterly cash dividends of $0.155 per share of Common Stock, and $0.1165 per share of Class B Stock. The dividends will be payable on March 7, 2025 to stockholders of record at the close of business on February 21,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99.2, and the information contained therein is incorporated herein by reference.</w:t>
      </w:r>
    </w:p>
    <w:p>
      <w:pPr>
        <w:spacing w:after="0" w:line="370"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3"/>
          </w:tcPr>
          <w:p>
            <w:pPr>
              <w:ind w:left="390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Earnings Press Release of the Company dated December 9, 2024</w:t>
            </w:r>
          </w:p>
        </w:tc>
        <w:tc>
          <w:tcPr>
            <w:tcW w:w="4860" w:type="dxa"/>
            <w:vAlign w:val="bottom"/>
            <w:gridSpan w:val="3"/>
          </w:tcPr>
          <w:p>
            <w:pPr>
              <w:spacing w:after="0"/>
              <w:rPr>
                <w:sz w:val="24"/>
                <w:szCs w:val="24"/>
                <w:color w:val="auto"/>
              </w:rPr>
            </w:pPr>
          </w:p>
        </w:tc>
      </w:tr>
      <w:tr>
        <w:trPr>
          <w:trHeight w:val="263"/>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Dividends Press Release of the Company dated December 11, 2024</w:t>
            </w:r>
          </w:p>
        </w:tc>
      </w:tr>
      <w:tr>
        <w:trPr>
          <w:trHeight w:val="20"/>
        </w:trPr>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gridSpan w:val="2"/>
            <w:shd w:val="clear" w:color="auto" w:fill="0000FF"/>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r>
      <w:tr>
        <w:trPr>
          <w:trHeight w:val="304"/>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document)</w:t>
            </w:r>
          </w:p>
        </w:tc>
      </w:tr>
      <w:tr>
        <w:trPr>
          <w:trHeight w:val="1546"/>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W. Parker</w:t>
            </w:r>
          </w:p>
        </w:tc>
      </w:tr>
      <w:tr>
        <w:trPr>
          <w:trHeight w:val="218"/>
        </w:trPr>
        <w:tc>
          <w:tcPr>
            <w:tcW w:w="6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W. Parker</w:t>
            </w:r>
          </w:p>
        </w:tc>
      </w:tr>
      <w:tr>
        <w:trPr>
          <w:trHeight w:val="234"/>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General Counsel &amp; Secretary</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2024</w:t>
      </w:r>
    </w:p>
    <w:p>
      <w:pPr>
        <w:sectPr>
          <w:pgSz w:w="11900" w:h="16838" w:orient="portrait"/>
          <w:cols w:equalWidth="0" w:num="1">
            <w:col w:w="11220"/>
          </w:cols>
          <w:pgMar w:left="320" w:top="887"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99"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98425</wp:posOffset>
            </wp:positionV>
            <wp:extent cx="65919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1935"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 Announces Record Results for the First Quarter of Fiscal Year 2025</w:t>
      </w:r>
    </w:p>
    <w:p>
      <w:pPr>
        <w:spacing w:after="0" w:line="25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CHICAGO-(December 9, 2024) - Oil-Dri Corporation of America (NYSE: ODC), producer and marketer of sorbent mineral products, today announced results for its first quarter of fiscal year 2025.</w:t>
      </w:r>
    </w:p>
    <w:p>
      <w:pPr>
        <w:spacing w:after="0" w:line="68" w:lineRule="exact"/>
        <w:rPr>
          <w:sz w:val="20"/>
          <w:szCs w:val="20"/>
          <w:color w:val="auto"/>
        </w:rPr>
      </w:pPr>
    </w:p>
    <w:tbl>
      <w:tblPr>
        <w:tblLayout w:type="fixed"/>
        <w:tblInd w:w="950" w:type="dxa"/>
        <w:tblCellMar>
          <w:top w:w="0" w:type="dxa"/>
          <w:left w:w="0" w:type="dxa"/>
          <w:bottom w:w="0" w:type="dxa"/>
          <w:right w:w="0" w:type="dxa"/>
        </w:tblCellMar>
      </w:tblPr>
      <w:tr>
        <w:trPr>
          <w:trHeight w:val="232"/>
        </w:trPr>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First Quarter</w:t>
            </w:r>
          </w:p>
        </w:tc>
        <w:tc>
          <w:tcPr>
            <w:tcW w:w="840" w:type="dxa"/>
            <w:vAlign w:val="bottom"/>
          </w:tcPr>
          <w:p>
            <w:pPr>
              <w:spacing w:after="0"/>
              <w:rPr>
                <w:sz w:val="20"/>
                <w:szCs w:val="20"/>
                <w:color w:val="auto"/>
              </w:rPr>
            </w:pPr>
          </w:p>
        </w:tc>
      </w:tr>
      <w:tr>
        <w:trPr>
          <w:trHeight w:val="236"/>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Ended October 31,</w:t>
            </w:r>
          </w:p>
        </w:tc>
        <w:tc>
          <w:tcPr>
            <w:tcW w:w="84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left w:val="single" w:sz="8" w:color="auto"/>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9"/>
        </w:trPr>
        <w:tc>
          <w:tcPr>
            <w:tcW w:w="628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Consolidated Results</w:t>
            </w:r>
          </w:p>
        </w:tc>
        <w:tc>
          <w:tcPr>
            <w:tcW w:w="220" w:type="dxa"/>
            <w:vAlign w:val="bottom"/>
            <w:shd w:val="clear" w:color="auto" w:fill="000000"/>
          </w:tcPr>
          <w:p>
            <w:pPr>
              <w:spacing w:after="0"/>
              <w:rPr>
                <w:sz w:val="19"/>
                <w:szCs w:val="19"/>
                <w:color w:val="auto"/>
              </w:rPr>
            </w:pPr>
          </w:p>
        </w:tc>
        <w:tc>
          <w:tcPr>
            <w:tcW w:w="780" w:type="dxa"/>
            <w:vAlign w:val="bottom"/>
            <w:shd w:val="clear" w:color="auto" w:fill="000000"/>
          </w:tcPr>
          <w:p>
            <w:pPr>
              <w:spacing w:after="0"/>
              <w:rPr>
                <w:sz w:val="19"/>
                <w:szCs w:val="19"/>
                <w:color w:val="auto"/>
              </w:rPr>
            </w:pPr>
          </w:p>
        </w:tc>
        <w:tc>
          <w:tcPr>
            <w:tcW w:w="280" w:type="dxa"/>
            <w:vAlign w:val="bottom"/>
            <w:shd w:val="clear" w:color="auto" w:fill="000000"/>
          </w:tcPr>
          <w:p>
            <w:pPr>
              <w:spacing w:after="0"/>
              <w:rPr>
                <w:sz w:val="19"/>
                <w:szCs w:val="19"/>
                <w:color w:val="auto"/>
              </w:rPr>
            </w:pPr>
          </w:p>
        </w:tc>
        <w:tc>
          <w:tcPr>
            <w:tcW w:w="980" w:type="dxa"/>
            <w:vAlign w:val="bottom"/>
            <w:shd w:val="clear" w:color="auto" w:fill="000000"/>
          </w:tcPr>
          <w:p>
            <w:pPr>
              <w:spacing w:after="0"/>
              <w:rPr>
                <w:sz w:val="19"/>
                <w:szCs w:val="19"/>
                <w:color w:val="auto"/>
              </w:rPr>
            </w:pPr>
          </w:p>
        </w:tc>
        <w:tc>
          <w:tcPr>
            <w:tcW w:w="840" w:type="dxa"/>
            <w:vAlign w:val="bottom"/>
            <w:tcBorders>
              <w:right w:val="single" w:sz="8" w:color="auto"/>
            </w:tcBorders>
            <w:shd w:val="clear" w:color="auto" w:fill="000000"/>
          </w:tcPr>
          <w:p>
            <w:pPr>
              <w:spacing w:after="0"/>
              <w:rPr>
                <w:sz w:val="19"/>
                <w:szCs w:val="19"/>
                <w:color w:val="auto"/>
              </w:rPr>
            </w:pPr>
          </w:p>
        </w:tc>
      </w:tr>
      <w:tr>
        <w:trPr>
          <w:trHeight w:val="225"/>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127,945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111,438</w:t>
            </w:r>
          </w:p>
        </w:tc>
        <w:tc>
          <w:tcPr>
            <w:tcW w:w="8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15%</w:t>
            </w:r>
          </w:p>
        </w:tc>
      </w:tr>
      <w:tr>
        <w:trPr>
          <w:trHeight w:val="230"/>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Income (Including Unallocated Corporate Expenses)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13,156</w:t>
            </w:r>
          </w:p>
        </w:tc>
        <w:tc>
          <w:tcPr>
            <w:tcW w:w="8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61%</w:t>
            </w:r>
          </w:p>
        </w:tc>
      </w:tr>
      <w:tr>
        <w:trPr>
          <w:trHeight w:val="229"/>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16,376</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10,742</w:t>
            </w:r>
          </w:p>
        </w:tc>
        <w:tc>
          <w:tcPr>
            <w:tcW w:w="8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52%</w:t>
            </w:r>
          </w:p>
        </w:tc>
      </w:tr>
      <w:tr>
        <w:trPr>
          <w:trHeight w:val="230"/>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EBITDA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17,384</w:t>
            </w:r>
          </w:p>
        </w:tc>
        <w:tc>
          <w:tcPr>
            <w:tcW w:w="8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51%</w:t>
            </w:r>
          </w:p>
        </w:tc>
      </w:tr>
      <w:tr>
        <w:trPr>
          <w:trHeight w:val="234"/>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Diluted EPS - Common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8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50%</w:t>
            </w:r>
          </w:p>
        </w:tc>
      </w:tr>
      <w:tr>
        <w:trPr>
          <w:trHeight w:val="229"/>
        </w:trPr>
        <w:tc>
          <w:tcPr>
            <w:tcW w:w="628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Business to Business</w:t>
            </w:r>
          </w:p>
        </w:tc>
        <w:tc>
          <w:tcPr>
            <w:tcW w:w="220" w:type="dxa"/>
            <w:vAlign w:val="bottom"/>
            <w:shd w:val="clear" w:color="auto" w:fill="000000"/>
          </w:tcPr>
          <w:p>
            <w:pPr>
              <w:spacing w:after="0"/>
              <w:rPr>
                <w:sz w:val="19"/>
                <w:szCs w:val="19"/>
                <w:color w:val="auto"/>
              </w:rPr>
            </w:pPr>
          </w:p>
        </w:tc>
        <w:tc>
          <w:tcPr>
            <w:tcW w:w="780" w:type="dxa"/>
            <w:vAlign w:val="bottom"/>
            <w:shd w:val="clear" w:color="auto" w:fill="000000"/>
          </w:tcPr>
          <w:p>
            <w:pPr>
              <w:spacing w:after="0"/>
              <w:rPr>
                <w:sz w:val="19"/>
                <w:szCs w:val="19"/>
                <w:color w:val="auto"/>
              </w:rPr>
            </w:pPr>
          </w:p>
        </w:tc>
        <w:tc>
          <w:tcPr>
            <w:tcW w:w="280" w:type="dxa"/>
            <w:vAlign w:val="bottom"/>
            <w:shd w:val="clear" w:color="auto" w:fill="000000"/>
          </w:tcPr>
          <w:p>
            <w:pPr>
              <w:spacing w:after="0"/>
              <w:rPr>
                <w:sz w:val="19"/>
                <w:szCs w:val="19"/>
                <w:color w:val="auto"/>
              </w:rPr>
            </w:pPr>
          </w:p>
        </w:tc>
        <w:tc>
          <w:tcPr>
            <w:tcW w:w="980" w:type="dxa"/>
            <w:vAlign w:val="bottom"/>
            <w:shd w:val="clear" w:color="auto" w:fill="000000"/>
          </w:tcPr>
          <w:p>
            <w:pPr>
              <w:spacing w:after="0"/>
              <w:rPr>
                <w:sz w:val="19"/>
                <w:szCs w:val="19"/>
                <w:color w:val="auto"/>
              </w:rPr>
            </w:pPr>
          </w:p>
        </w:tc>
        <w:tc>
          <w:tcPr>
            <w:tcW w:w="840" w:type="dxa"/>
            <w:vAlign w:val="bottom"/>
            <w:tcBorders>
              <w:right w:val="single" w:sz="8" w:color="auto"/>
            </w:tcBorders>
            <w:shd w:val="clear" w:color="auto" w:fill="000000"/>
          </w:tcPr>
          <w:p>
            <w:pPr>
              <w:spacing w:after="0"/>
              <w:rPr>
                <w:sz w:val="19"/>
                <w:szCs w:val="19"/>
                <w:color w:val="auto"/>
              </w:rPr>
            </w:pPr>
          </w:p>
        </w:tc>
      </w:tr>
      <w:tr>
        <w:trPr>
          <w:trHeight w:val="225"/>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48,415</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39,161</w:t>
            </w:r>
          </w:p>
        </w:tc>
        <w:tc>
          <w:tcPr>
            <w:tcW w:w="8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24%</w:t>
            </w:r>
          </w:p>
        </w:tc>
      </w:tr>
      <w:tr>
        <w:trPr>
          <w:trHeight w:val="234"/>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11,123</w:t>
            </w:r>
          </w:p>
        </w:tc>
        <w:tc>
          <w:tcPr>
            <w:tcW w:w="8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54%</w:t>
            </w:r>
          </w:p>
        </w:tc>
      </w:tr>
      <w:tr>
        <w:trPr>
          <w:trHeight w:val="243"/>
        </w:trPr>
        <w:tc>
          <w:tcPr>
            <w:tcW w:w="628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Retail and Wholesale</w:t>
            </w:r>
          </w:p>
        </w:tc>
        <w:tc>
          <w:tcPr>
            <w:tcW w:w="220" w:type="dxa"/>
            <w:vAlign w:val="bottom"/>
            <w:shd w:val="clear" w:color="auto" w:fill="000000"/>
          </w:tcPr>
          <w:p>
            <w:pPr>
              <w:spacing w:after="0"/>
              <w:rPr>
                <w:sz w:val="21"/>
                <w:szCs w:val="21"/>
                <w:color w:val="auto"/>
              </w:rPr>
            </w:pPr>
          </w:p>
        </w:tc>
        <w:tc>
          <w:tcPr>
            <w:tcW w:w="780" w:type="dxa"/>
            <w:vAlign w:val="bottom"/>
            <w:shd w:val="clear" w:color="auto" w:fill="000000"/>
          </w:tcPr>
          <w:p>
            <w:pPr>
              <w:spacing w:after="0"/>
              <w:rPr>
                <w:sz w:val="21"/>
                <w:szCs w:val="21"/>
                <w:color w:val="auto"/>
              </w:rPr>
            </w:pPr>
          </w:p>
        </w:tc>
        <w:tc>
          <w:tcPr>
            <w:tcW w:w="280" w:type="dxa"/>
            <w:vAlign w:val="bottom"/>
            <w:shd w:val="clear" w:color="auto" w:fill="000000"/>
          </w:tcPr>
          <w:p>
            <w:pPr>
              <w:spacing w:after="0"/>
              <w:rPr>
                <w:sz w:val="21"/>
                <w:szCs w:val="21"/>
                <w:color w:val="auto"/>
              </w:rPr>
            </w:pPr>
          </w:p>
        </w:tc>
        <w:tc>
          <w:tcPr>
            <w:tcW w:w="980" w:type="dxa"/>
            <w:vAlign w:val="bottom"/>
            <w:shd w:val="clear" w:color="auto" w:fill="000000"/>
          </w:tcPr>
          <w:p>
            <w:pPr>
              <w:spacing w:after="0"/>
              <w:rPr>
                <w:sz w:val="21"/>
                <w:szCs w:val="21"/>
                <w:color w:val="auto"/>
              </w:rPr>
            </w:pPr>
          </w:p>
        </w:tc>
        <w:tc>
          <w:tcPr>
            <w:tcW w:w="840" w:type="dxa"/>
            <w:vAlign w:val="bottom"/>
            <w:tcBorders>
              <w:right w:val="single" w:sz="8" w:color="auto"/>
            </w:tcBorders>
            <w:shd w:val="clear" w:color="auto" w:fill="000000"/>
          </w:tcPr>
          <w:p>
            <w:pPr>
              <w:spacing w:after="0"/>
              <w:rPr>
                <w:sz w:val="21"/>
                <w:szCs w:val="21"/>
                <w:color w:val="auto"/>
              </w:rPr>
            </w:pPr>
          </w:p>
        </w:tc>
      </w:tr>
      <w:tr>
        <w:trPr>
          <w:trHeight w:val="225"/>
        </w:trPr>
        <w:tc>
          <w:tcPr>
            <w:tcW w:w="6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79,530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72,277</w:t>
            </w:r>
          </w:p>
        </w:tc>
        <w:tc>
          <w:tcPr>
            <w:tcW w:w="84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10%</w:t>
            </w:r>
          </w:p>
        </w:tc>
      </w:tr>
      <w:tr>
        <w:trPr>
          <w:trHeight w:val="234"/>
        </w:trPr>
        <w:tc>
          <w:tcPr>
            <w:tcW w:w="62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11,331</w:t>
            </w:r>
          </w:p>
        </w:tc>
        <w:tc>
          <w:tcPr>
            <w:tcW w:w="84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18%</w:t>
            </w: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 Please refer to Reconciliation of Non-GAAP Financial Measures below for a reconciliation of Non-GAAP items to the comparable GAAP measures.</w:t>
      </w:r>
    </w:p>
    <w:p>
      <w:pPr>
        <w:spacing w:after="0" w:line="6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2"/>
          <w:szCs w:val="22"/>
          <w:color w:val="auto"/>
        </w:rPr>
        <w:t>Daniel S. Jaffee, President and Chief Executive Officer, stated, “I am happy to report that our fiscal year 2025 is off to a very positive start as we have once again achieved record results for consolidated net sales, gross profit, and net income in the first quarter. We also delivered a 400-basis point year-over-year expansion in our gross margins, propelling our margins to 32%. Our strong performance was driven by increased volumes, a favorable product mix, and improved operational efficiencies. Solid execution of our growth strategies to establish a foothold in the growing renewable diesel and crystal cat litter markets helped us achieve this success. Looking ahead, we believe we are well positioned to continue this upward trajectory.”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Results</w:t>
      </w:r>
    </w:p>
    <w:p>
      <w:pPr>
        <w:spacing w:after="0" w:line="32"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2"/>
          <w:szCs w:val="22"/>
          <w:color w:val="auto"/>
        </w:rPr>
        <w:t>Consolidated net sales for the first quarter of fiscal 2025 reached a historic high of $127.9 million, or a 15% increase over the same period in the prior year. This marks the 14</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consecutive quarter of year-over-year sales growth. Revenue increases were primarily driven by higher volumes across both operating segments, with significant sales gains generated from fluids purification, crystal cat litter, and co-packaged coarse litter products. Our recently acquired subsidiary, Ultra Pet Company, Inc. (“Ultra Pet”), delivered net sales of $6.0 million, or 5% of the total consolidated net sales increase over the prior year. Organic growth from Oil-Dri’s other products drove the remaining increase in the Company’s topline.</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Consolidated gross profit of $40.8 million, a record quarterly high, was achieved during the first three months of fiscal year 2025, representing a 32% gain over the prior year. Gross margins expanded to 32% in the current year from 28% in the first quarter of fiscal year 2024. Oil-Dri's efforts to grow volume, improve product mix, and enhance operating efficiencies proved successful during the quarter. This marks the ninth consecutive quarter of year-over-year gross margin expansion. During the three months ended October 31, 2024, domestic cost of goods per ton remained flat compared to the prior year.</w:t>
      </w:r>
    </w:p>
    <w:p>
      <w:pPr>
        <w:spacing w:after="0" w:line="206"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22"/>
          <w:szCs w:val="22"/>
          <w:color w:val="auto"/>
        </w:rPr>
        <w:t>Selling, general and administrative expenses (“SG&amp;A”) were $19.6 million during the first quarter of fiscal 2025 compared to $17.8 million for the same period last year. This $1.8 million, or 10%, increase reflects higher compensation costs and a preliminary foreign value-added tax assessment, in addition to other operating segment costs.</w:t>
      </w:r>
    </w:p>
    <w:p>
      <w:pPr>
        <w:spacing w:after="0" w:line="19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In the first quarter of fiscal year 2025, consolidated operating income increased to $21.2 million, or by 61%, compared to the first quarter of fiscal year 2024. Higher sales volumes combined with improved product mix offset elevated SG&amp;A costs.</w:t>
      </w:r>
    </w:p>
    <w:p>
      <w:pPr>
        <w:spacing w:after="0" w:line="17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Total other expense, net was $1.0 million for the three months ended October 31, 2024, compared to $300,000 in the same period last year. This increase was mainly due to interest expense on the debt assumed for the Ultra Pet acquisition, along with an additional reserve for the capacity modification project at the Company’s sole landfill located in Georgia. The modification work is expected to be completed during fiscal year 2025.</w:t>
      </w:r>
    </w:p>
    <w:p>
      <w:pPr>
        <w:sectPr>
          <w:pgSz w:w="11900" w:h="16838" w:orient="portrait"/>
          <w:cols w:equalWidth="0" w:num="1">
            <w:col w:w="11240"/>
          </w:cols>
          <w:pgMar w:left="320" w:top="1270" w:right="339" w:bottom="0" w:gutter="0" w:footer="0" w:header="0"/>
        </w:sectPr>
      </w:pPr>
    </w:p>
    <w:bookmarkStart w:id="5" w:name="page6"/>
    <w:bookmarkEnd w:id="5"/>
    <w:p>
      <w:pPr>
        <w:ind w:right="180"/>
        <w:spacing w:after="0" w:line="259" w:lineRule="auto"/>
        <w:rPr>
          <w:sz w:val="20"/>
          <w:szCs w:val="20"/>
          <w:color w:val="auto"/>
        </w:rPr>
      </w:pPr>
      <w:r>
        <w:rPr>
          <w:rFonts w:ascii="Times New Roman" w:cs="Times New Roman" w:eastAsia="Times New Roman" w:hAnsi="Times New Roman"/>
          <w:sz w:val="22"/>
          <w:szCs w:val="22"/>
          <w:color w:val="auto"/>
        </w:rPr>
        <w:t>Consolidated net income reached a record $16.4 million in the first quarter of fiscal 2025 from $10.7 million in the same period in fiscal 2024, reflecting a 52% improvement over the prior year.</w:t>
      </w:r>
    </w:p>
    <w:p>
      <w:pPr>
        <w:spacing w:after="0" w:line="197"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22"/>
          <w:szCs w:val="22"/>
          <w:color w:val="auto"/>
        </w:rPr>
        <w:t>Cash and cash equivalents for the three month period ending October 31, 2024, totaled $12.5 million compared to $23.5 million at the end of fiscal year 2024. During the first quarter of fiscal 2025, Oil-Dri continued its significant investment in manufacturing infrastructure improvements. In addition, the Company paid down $5.0 million of the $10.0 million revolving credit facility that was used to partially fund the acquisition of Ultra Pet. Other significant uses of cash include the payment of dividends and the purchase of treasury shares that were surrendered by teammates to pay taxes related to the vesting of restricted stock awards.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Group Review</w:t>
      </w:r>
    </w:p>
    <w:p>
      <w:pPr>
        <w:spacing w:after="0" w:line="3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The Business to Business Products (“B2B”) Group’s first quarter of fiscal year 2025 revenues were a record $48.4 million, or 24% greater than the prior year, primarily driven by an increase in volume and, to a lesser extent, by higher prices. Elevated sales from fluids purification and agricultural products offset slight sales declines in the animal health business. During the first quarter of fiscal 2025, revenues from fluids purification products reached an all-time high of $30.1 million, or an 37% increase over the prior year. The Company experienced increased demand of its Metal X and Metal Z products as a result of recently established renewable diesel plants within North America. Sales of fluids purification products in EMEA</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Latin America, and Asia also increased during the three month period ended October 31, 2024, compared to the same period last year. The agricultural products business achieved record quarterly net sales of</w:t>
      </w:r>
    </w:p>
    <w:p>
      <w:pPr>
        <w:spacing w:after="0" w:line="5"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2"/>
          <w:szCs w:val="22"/>
          <w:color w:val="auto"/>
        </w:rPr>
        <w:t>$11.6 million, or a 12% increase over the prior year. This growth was mainly fueled by higher demand from key customers who resumed typical purchasing patterns after working through inventory surpluses, as well as by elevated prices. Amlan, the Company’s animal health business, generated $6.2 million in sales, or a 3% decline from the prior year. The decrease was primarily concentrated in Asia due to the sell-off of existing inventory in China that occurred in the first quarter of fiscal year 2024 as part of the transition to a master distributor. However, double-digit topline growth was achieved within Latin America and North America where increased demand, in conjunction with elevated prices, helped drive sales improvement.</w:t>
      </w:r>
    </w:p>
    <w:p>
      <w:pPr>
        <w:spacing w:after="0" w:line="216"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22"/>
          <w:szCs w:val="22"/>
          <w:color w:val="auto"/>
        </w:rPr>
        <w:t>During the first quarter of fiscal year 2025, SG&amp;A costs within the B2B Products Group increased by $700,000 or 20%, compared to the same period last year. This was mainly driven by a preliminary foreign value-added tax assessment and higher research and development costs.</w:t>
      </w:r>
    </w:p>
    <w:p>
      <w:pPr>
        <w:spacing w:after="0" w:line="213" w:lineRule="exact"/>
        <w:rPr>
          <w:sz w:val="20"/>
          <w:szCs w:val="20"/>
          <w:color w:val="auto"/>
        </w:rPr>
      </w:pPr>
    </w:p>
    <w:p>
      <w:pPr>
        <w:ind w:right="520"/>
        <w:spacing w:after="0" w:line="257" w:lineRule="auto"/>
        <w:rPr>
          <w:sz w:val="20"/>
          <w:szCs w:val="20"/>
          <w:color w:val="auto"/>
        </w:rPr>
      </w:pPr>
      <w:r>
        <w:rPr>
          <w:rFonts w:ascii="Times New Roman" w:cs="Times New Roman" w:eastAsia="Times New Roman" w:hAnsi="Times New Roman"/>
          <w:sz w:val="22"/>
          <w:szCs w:val="22"/>
          <w:color w:val="auto"/>
        </w:rPr>
        <w:t>Operating income for the B2B Products Group was $17.1 million in the first quarter of fiscal year 2025 compared to $11.1 million in the same period of fiscal year 2024, reflecting a 54% increase. This growth can be attributed to higher sales and a favorable product mix, partially offset by increased SG&amp;A expenses.</w:t>
      </w:r>
    </w:p>
    <w:p>
      <w:pPr>
        <w:spacing w:after="0" w:line="186"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2"/>
          <w:szCs w:val="22"/>
          <w:color w:val="auto"/>
        </w:rPr>
        <w:t>The Retail and Wholesale (“R&amp;W”) Products Group’s first quarter revenues reached an all-time high of $79.5 million, a 10% increase over the prior year. The acquisition of Ultra Pet contributed 8% of the total R&amp;W sales growth, and the remaining 2% can be attributed to organic topline growth from increased demand for other products within the operating segment. During the first quarter of fiscal 2025, the Company increased distribution of its Cat’s Pride and Ultra crystal litter products and is beginning to realize synergies related to the acquisition. Total domestic clay-based cat litter sales, excluding the Company’s co-packaged coarse cat litter business, were $53.8 million, or 2% lower than the prior year. Conversely, revenues of co-packaged coarse cat litter increased by $2.1 million, or 78%, compared to last year due to higher demand. In the first quarter of fiscal year 2024, a cyberattack disrupted a key customer’s ability to place and receive orders, which negatively impacted sales of Oil-Dri’s co-packaged coarse litter. However, the cyber event boosted sales of the Company’s branded and private label coarse items and is currently influencing year-over-year comparisons for both domestic clay and co-packaged litter products. Although total domestic clay litter revenues declined, Oil-Dri continued to experience topline growth of its EPA-approved Cat’s Pride Antibacterial Clumping Litter, which is currently sold at large brick and mortar and e-commerce retailers. In addition, new distribution of other clay litter products and accessories was achieved at both new and existing customers. Domestic industrial and sports product revenues were $11.0 million in the first quarter of fiscal 2025, or 4% higher than the same period in the prior year, driven by increased demand. The Company’s Canadian subsidiary experienced sales declines as a result of softer revenues from cat litter, partially offset by sales growth from industrial floor absorbent products.</w:t>
      </w:r>
    </w:p>
    <w:p>
      <w:pPr>
        <w:spacing w:after="0" w:line="21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2"/>
          <w:szCs w:val="22"/>
          <w:color w:val="auto"/>
        </w:rPr>
        <w:t>During the first quarter of fiscal 2025, SG&amp;A expenses within the R&amp;W Products Group increased by $1.0 million, or 21% over the prior year. This increase was primarily driven by higher compensation costs, a significant credit reserve for several customer bankruptcies, acquisition-related amortization of intangible assets, and increased research and development costs. These higher expenses were partially offset by lower advertising costs. Oil-Dri expects advertising expenditures for the full fiscal year 2025 to be lower than fiscal year 2024.</w:t>
      </w:r>
    </w:p>
    <w:p>
      <w:pPr>
        <w:spacing w:after="0" w:line="22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2"/>
          <w:szCs w:val="22"/>
          <w:color w:val="auto"/>
        </w:rPr>
        <w:t>Operating income for the R&amp;W Products Group reached $13.4 million in the first quarter of fiscal year 2025 compared to $11.3 million in the prior year, reflecting an 18% increase. This growth can be attributed to higher sales volumes, including the incremental business from the Ultra Pet acquisition, partially offset by elevated SG&amp;A expenses.</w:t>
      </w:r>
    </w:p>
    <w:p>
      <w:pPr>
        <w:spacing w:after="0" w:line="186"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 xml:space="preserve">The Company will host its first quarter of fiscal year 2025 earnings discussion and its 2024 Annual Meeting of Stockholders virtually via a live webcast on Wednesday, December 11, 2024 at 9:30 a.m. Central Time. Participation details are available on the Company’s website’s </w:t>
      </w:r>
      <w:r>
        <w:rPr>
          <w:rFonts w:ascii="Times New Roman" w:cs="Times New Roman" w:eastAsia="Times New Roman" w:hAnsi="Times New Roman"/>
          <w:sz w:val="22"/>
          <w:szCs w:val="22"/>
          <w:color w:val="0000FF"/>
        </w:rPr>
        <w:t>Events</w:t>
      </w:r>
      <w:r>
        <w:rPr>
          <w:rFonts w:ascii="Times New Roman" w:cs="Times New Roman" w:eastAsia="Times New Roman" w:hAnsi="Times New Roman"/>
          <w:sz w:val="22"/>
          <w:szCs w:val="22"/>
          <w:color w:val="auto"/>
        </w:rPr>
        <w:t xml:space="preserve"> page.</w:t>
      </w:r>
    </w:p>
    <w:p>
      <w:pPr>
        <w:sectPr>
          <w:pgSz w:w="11900" w:h="16838" w:orient="portrait"/>
          <w:cols w:equalWidth="0" w:num="1">
            <w:col w:w="11220"/>
          </w:cols>
          <w:pgMar w:left="320" w:top="111" w:right="359" w:bottom="0" w:gutter="0" w:footer="0" w:header="0"/>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ectPr>
          <w:pgSz w:w="11900" w:h="16838" w:orient="portrait"/>
          <w:cols w:equalWidth="0" w:num="1">
            <w:col w:w="11220"/>
          </w:cols>
          <w:pgMar w:left="320" w:top="111" w:right="35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EMEA is the region including Europe, the Middle East, and Africa.</w:t>
      </w:r>
    </w:p>
    <w:p>
      <w:pPr>
        <w:spacing w:after="0" w:line="243" w:lineRule="auto"/>
        <w:rPr>
          <w:sz w:val="20"/>
          <w:szCs w:val="20"/>
          <w:color w:val="auto"/>
        </w:rPr>
      </w:pPr>
      <w:r>
        <w:rPr>
          <w:rFonts w:ascii="Times New Roman" w:cs="Times New Roman" w:eastAsia="Times New Roman" w:hAnsi="Times New Roman"/>
          <w:sz w:val="18"/>
          <w:szCs w:val="18"/>
          <w:i w:val="1"/>
          <w:iCs w:val="1"/>
          <w:color w:val="auto"/>
        </w:rPr>
        <w:t>“Oil-Dri”, “Cat’s Pride”, “Metal X”, “Metal Z”, “Amlan”, and “Ultra” are registered trademarks of Oil-Dri Corporation of America and its subsidiaries.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18"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22"/>
          <w:szCs w:val="22"/>
          <w:color w:val="auto"/>
        </w:rPr>
        <w:t xml:space="preserve">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w:t>
      </w:r>
      <w:r>
        <w:rPr>
          <w:rFonts w:ascii="Times New Roman" w:cs="Times New Roman" w:eastAsia="Times New Roman" w:hAnsi="Times New Roman"/>
          <w:sz w:val="22"/>
          <w:szCs w:val="22"/>
          <w:i w:val="1"/>
          <w:iCs w:val="1"/>
          <w:color w:val="auto"/>
        </w:rPr>
        <w:t>Create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Value from Sorbent Minerals</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2"/>
          <w:szCs w:val="22"/>
          <w:color w:val="auto"/>
        </w:rPr>
        <w:t>Certain statements in this press release may contain forward-looking statements, within the meaning of the safe harbor provisions of the U.S. Private Securities Litigation Reform Act of 1995,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3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1"/>
          <w:szCs w:val="21"/>
          <w:color w:val="auto"/>
        </w:rPr>
        <w:t>Such statements are subject to certain risks, uncertainties and assumptions that could cause actual results to differ materially, including, but not limited to, those described in Item 1A, “Risk Factors” of our Quarterly Report on Form 10-Q for the quarter ended October 31, 2024 and our most recent Annual Report on Form 10-K and from time to time in our other filings with the Securities and Exchange Commission.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ectPr>
          <w:pgSz w:w="11900" w:h="16838" w:orient="portrait"/>
          <w:cols w:equalWidth="0" w:num="1">
            <w:col w:w="11220"/>
          </w:cols>
          <w:pgMar w:left="320" w:top="93"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2"/>
          <w:szCs w:val="22"/>
          <w:color w:val="auto"/>
        </w:rPr>
        <w:t>To supplement our consolidated financial statements prepared in accordance with generally accepted accounting principles (“GAAP”), we provide certain non-GAAP financial measures in this press release as supplemental financial metrics. In particular, EBITDA is a non-GAAP financial measure provided herein. We provide a reconciliation of this non-GAAP financial measure to the most directly comparable GAAP financial measure below.</w:t>
      </w:r>
    </w:p>
    <w:p>
      <w:pPr>
        <w:spacing w:after="0" w:line="21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The non-GAAP financial measures we use may not be the same or calculated in the same manner as those used and calculated by other companies. Non-GAAP financial measures have limitations as analytical tools and should not be considered in isolation or as a substitute for our financial results prepared and reported in accordance with GAAP. We believe that certain non-GAAP measures may be helpful to investors and others in understanding and evaluating our operating results, and we urge investors to review the reconciliation of non-GAAP financial measures to the comparable GAAP financial measures included in this release, and not to rely on any single financial measure to evaluate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ectPr>
          <w:pgSz w:w="11900" w:h="16838" w:orient="portrait"/>
          <w:cols w:equalWidth="0" w:num="1">
            <w:col w:w="11180"/>
          </w:cols>
          <w:pgMar w:left="320" w:top="1440" w:right="3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17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127,945</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111,438</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(87,165)</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(80,447)</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(19,590)</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1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20,202</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 Expense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52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16,376</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10,742</w:t>
            </w:r>
          </w:p>
        </w:tc>
        <w:tc>
          <w:tcPr>
            <w:tcW w:w="12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1"/>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5280" w:type="dxa"/>
            <w:vAlign w:val="bottom"/>
            <w:vMerge w:val="continue"/>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24"/>
                <w:szCs w:val="24"/>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9"/>
                <w:szCs w:val="19"/>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Avg Shares Outstanding: Basic Common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40" w:top="1440" w:right="67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220" w:type="dxa"/>
            <w:vAlign w:val="bottom"/>
          </w:tcPr>
          <w:p>
            <w:pPr>
              <w:spacing w:after="0"/>
              <w:rPr>
                <w:sz w:val="20"/>
                <w:szCs w:val="20"/>
                <w:color w:val="auto"/>
              </w:rPr>
            </w:pPr>
          </w:p>
        </w:tc>
        <w:tc>
          <w:tcPr>
            <w:tcW w:w="2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As of October 31,</w:t>
            </w:r>
          </w:p>
        </w:tc>
        <w:tc>
          <w:tcPr>
            <w:tcW w:w="220" w:type="dxa"/>
            <w:vAlign w:val="bottom"/>
          </w:tcPr>
          <w:p>
            <w:pPr>
              <w:spacing w:after="0"/>
              <w:rPr>
                <w:sz w:val="20"/>
                <w:szCs w:val="20"/>
                <w:color w:val="auto"/>
              </w:rPr>
            </w:pPr>
          </w:p>
        </w:tc>
        <w:tc>
          <w:tcPr>
            <w:tcW w:w="14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July 31,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1"/>
        </w:trPr>
        <w:tc>
          <w:tcPr>
            <w:tcW w:w="66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w:t>
            </w:r>
          </w:p>
        </w:tc>
        <w:tc>
          <w:tcPr>
            <w:tcW w:w="3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62,171</w:t>
            </w:r>
          </w:p>
        </w:tc>
        <w:tc>
          <w:tcPr>
            <w:tcW w:w="0" w:type="dxa"/>
            <w:vAlign w:val="bottom"/>
          </w:tcPr>
          <w:p>
            <w:pPr>
              <w:spacing w:after="0"/>
              <w:rPr>
                <w:sz w:val="1"/>
                <w:szCs w:val="1"/>
                <w:color w:val="auto"/>
              </w:rPr>
            </w:pPr>
          </w:p>
        </w:tc>
      </w:tr>
      <w:tr>
        <w:trPr>
          <w:trHeight w:val="230"/>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0" w:type="dxa"/>
            <w:vAlign w:val="bottom"/>
          </w:tcPr>
          <w:p>
            <w:pPr>
              <w:spacing w:after="0"/>
              <w:rPr>
                <w:sz w:val="1"/>
                <w:szCs w:val="1"/>
                <w:color w:val="auto"/>
              </w:rPr>
            </w:pPr>
          </w:p>
        </w:tc>
      </w:tr>
      <w:tr>
        <w:trPr>
          <w:trHeight w:val="238"/>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144,115</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147,158</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137,947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137,796</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68,109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69,651</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350,171</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6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Maturities of Notes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37,919</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48,572</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54,841</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66,677</w:t>
            </w:r>
          </w:p>
        </w:tc>
        <w:tc>
          <w:tcPr>
            <w:tcW w:w="0" w:type="dxa"/>
            <w:vAlign w:val="bottom"/>
          </w:tcPr>
          <w:p>
            <w:pPr>
              <w:spacing w:after="0"/>
              <w:rPr>
                <w:sz w:val="1"/>
                <w:szCs w:val="1"/>
                <w:color w:val="auto"/>
              </w:rPr>
            </w:pPr>
          </w:p>
        </w:tc>
      </w:tr>
      <w:tr>
        <w:trPr>
          <w:trHeight w:val="201"/>
        </w:trPr>
        <w:tc>
          <w:tcPr>
            <w:tcW w:w="660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44,777</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0" w:type="dxa"/>
            <w:vAlign w:val="bottom"/>
          </w:tcPr>
          <w:p>
            <w:pPr>
              <w:spacing w:after="0"/>
              <w:rPr>
                <w:sz w:val="1"/>
                <w:szCs w:val="1"/>
                <w:color w:val="auto"/>
              </w:rPr>
            </w:pPr>
          </w:p>
        </w:tc>
      </w:tr>
      <w:tr>
        <w:trPr>
          <w:trHeight w:val="238"/>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26,561</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71,338</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223,992</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210,588</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350,171</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Book Value Per Share Outstanding</w:t>
            </w: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600" w:type="dxa"/>
            <w:vAlign w:val="bottom"/>
            <w:vMerge w:val="continue"/>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34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bl>
    <w:p>
      <w:pPr>
        <w:sectPr>
          <w:pgSz w:w="11900" w:h="16838" w:orient="portrait"/>
          <w:cols w:equalWidth="0" w:num="1">
            <w:col w:w="10660"/>
          </w:cols>
          <w:pgMar w:left="340" w:top="1440" w:right="8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120" w:type="dxa"/>
            <w:vAlign w:val="bottom"/>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880" w:type="dxa"/>
            <w:vAlign w:val="bottom"/>
          </w:tcPr>
          <w:p>
            <w:pPr>
              <w:spacing w:after="0"/>
              <w:rPr>
                <w:sz w:val="19"/>
                <w:szCs w:val="19"/>
                <w:color w:val="auto"/>
              </w:rPr>
            </w:pPr>
          </w:p>
        </w:tc>
        <w:tc>
          <w:tcPr>
            <w:tcW w:w="3120" w:type="dxa"/>
            <w:vAlign w:val="bottom"/>
            <w:gridSpan w:val="4"/>
            <w:vMerge w:val="continue"/>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688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16,376</w:t>
            </w:r>
          </w:p>
        </w:tc>
        <w:tc>
          <w:tcPr>
            <w:tcW w:w="34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Accounts Receivable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Inventories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 Prepaid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(Decrease) in Accounts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 Accrued Expenses</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3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23"/>
        </w:trPr>
        <w:tc>
          <w:tcPr>
            <w:tcW w:w="68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3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10,919</w:t>
            </w:r>
          </w:p>
        </w:tc>
        <w:tc>
          <w:tcPr>
            <w:tcW w:w="3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(12,817)</w:t>
            </w:r>
          </w:p>
        </w:tc>
        <w:tc>
          <w:tcPr>
            <w:tcW w:w="3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(12,817)</w:t>
            </w:r>
          </w:p>
        </w:tc>
        <w:tc>
          <w:tcPr>
            <w:tcW w:w="3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Principal Payments on Notes Payable</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0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0" w:type="dxa"/>
            <w:vAlign w:val="bottom"/>
          </w:tcPr>
          <w:p>
            <w:pPr>
              <w:spacing w:after="0"/>
              <w:rPr>
                <w:sz w:val="1"/>
                <w:szCs w:val="1"/>
                <w:color w:val="auto"/>
              </w:rPr>
            </w:pPr>
          </w:p>
        </w:tc>
      </w:tr>
      <w:tr>
        <w:trPr>
          <w:trHeight w:val="238"/>
        </w:trPr>
        <w:tc>
          <w:tcPr>
            <w:tcW w:w="68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Purchases of Treasury Stock</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3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w:t>
            </w:r>
          </w:p>
        </w:tc>
        <w:tc>
          <w:tcPr>
            <w:tcW w:w="3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(2,799)</w:t>
            </w:r>
          </w:p>
        </w:tc>
        <w:tc>
          <w:tcPr>
            <w:tcW w:w="0" w:type="dxa"/>
            <w:vAlign w:val="bottom"/>
          </w:tcPr>
          <w:p>
            <w:pPr>
              <w:spacing w:after="0"/>
              <w:rPr>
                <w:sz w:val="1"/>
                <w:szCs w:val="1"/>
                <w:color w:val="auto"/>
              </w:rPr>
            </w:pPr>
          </w:p>
        </w:tc>
      </w:tr>
      <w:tr>
        <w:trPr>
          <w:trHeight w:val="466"/>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457"/>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(10,975)</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38"/>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10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24,481</w:t>
            </w:r>
          </w:p>
        </w:tc>
        <w:tc>
          <w:tcPr>
            <w:tcW w:w="3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31,754</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13,506</w:t>
            </w:r>
          </w:p>
        </w:tc>
        <w:tc>
          <w:tcPr>
            <w:tcW w:w="34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29,579</w:t>
            </w: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340" w:top="1440" w:right="9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2240" w:type="dxa"/>
            <w:vAlign w:val="bottom"/>
            <w:gridSpan w:val="4"/>
            <w:vMerge w:val="restart"/>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0" w:type="dxa"/>
            <w:vAlign w:val="bottom"/>
          </w:tcPr>
          <w:p>
            <w:pPr>
              <w:spacing w:after="0"/>
              <w:rPr>
                <w:sz w:val="1"/>
                <w:szCs w:val="1"/>
                <w:color w:val="auto"/>
              </w:rPr>
            </w:pPr>
          </w:p>
        </w:tc>
      </w:tr>
      <w:tr>
        <w:trPr>
          <w:trHeight w:val="221"/>
        </w:trPr>
        <w:tc>
          <w:tcPr>
            <w:tcW w:w="5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Ended October 31,</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16,376</w:t>
            </w: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8"/>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26,167</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Oil-Dri’s Board of Directors Declares Quarterly Dividends</w:t>
      </w:r>
    </w:p>
    <w:p>
      <w:pPr>
        <w:spacing w:after="0" w:line="237"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CHICAGO—(December 11, 2024)— The Board of Directors of Oil-Dri Corporation of America (NYSE: ODC) today declared quarterly cash dividends of $0.155 per share of the Company’s Common Stock and $0.1165 per share of the Company’s Class B Stock.</w:t>
      </w:r>
    </w:p>
    <w:p>
      <w:pPr>
        <w:spacing w:after="0" w:line="200" w:lineRule="exact"/>
        <w:rPr>
          <w:sz w:val="20"/>
          <w:szCs w:val="20"/>
          <w:color w:val="auto"/>
        </w:rPr>
      </w:pPr>
    </w:p>
    <w:p>
      <w:pPr>
        <w:ind w:right="340"/>
        <w:spacing w:after="0" w:line="235" w:lineRule="auto"/>
        <w:rPr>
          <w:sz w:val="20"/>
          <w:szCs w:val="20"/>
          <w:color w:val="auto"/>
        </w:rPr>
      </w:pPr>
      <w:r>
        <w:rPr>
          <w:rFonts w:ascii="Times New Roman" w:cs="Times New Roman" w:eastAsia="Times New Roman" w:hAnsi="Times New Roman"/>
          <w:sz w:val="22"/>
          <w:szCs w:val="22"/>
          <w:color w:val="auto"/>
        </w:rPr>
        <w:t>The dividend amount has been proportionately reduced to reflect the anticipated two-for-one stock split, in the form of a stock dividend, where stockholders of record at the close of business on December 20, 2024, the record date of the stock split, will receive one additional share of Common Stock for every share of Common Stock held on the record date, and one additional share of Class B Stock for every share of Class B Stock held on the record date. Oil-Dri expects the additional shares will be distributed after market close on January 3, 2025.</w:t>
      </w:r>
    </w:p>
    <w:p>
      <w:pPr>
        <w:spacing w:after="0" w:line="206"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22"/>
          <w:szCs w:val="22"/>
          <w:color w:val="auto"/>
        </w:rPr>
        <w:t>The cash dividends will be payable on March 7, 2025 to stockholders of record at the close of business on February 21, 2025. Oil-Dri has paid cash dividends continuously each year since 1974 and has increased dividends annually for twenty-one consecutive years.</w:t>
      </w:r>
    </w:p>
    <w:p>
      <w:pPr>
        <w:spacing w:after="0" w:line="200"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2"/>
          <w:szCs w:val="22"/>
          <w:color w:val="auto"/>
        </w:rPr>
        <w:t>The Company’s press release outlining its performance for the second quarter of fiscal year 2025 will be issued after the close of the U.S. stock market on Tuesday, March 11, 2025. Oil-Dri will host an earnings discussion via a live webcast on Wednesday, March 12, 2025 at 10:00 a.m. Central Time. Participation details will be posted on the Company’s website’s Events page approximately one week prior to the call.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1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 xml:space="preserve">Oil-Dri Corporation of America (“Oil-Dri”)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w:t>
      </w:r>
      <w:r>
        <w:rPr>
          <w:rFonts w:ascii="Times New Roman" w:cs="Times New Roman" w:eastAsia="Times New Roman" w:hAnsi="Times New Roman"/>
          <w:sz w:val="22"/>
          <w:szCs w:val="22"/>
          <w:i w:val="1"/>
          <w:iCs w:val="1"/>
          <w:color w:val="auto"/>
        </w:rPr>
        <w:t>Create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Value from Sorbent Minerals</w:t>
      </w:r>
      <w:r>
        <w:rPr>
          <w:rFonts w:ascii="Times New Roman" w:cs="Times New Roman" w:eastAsia="Times New Roman" w:hAnsi="Times New Roman"/>
          <w:sz w:val="22"/>
          <w:szCs w:val="22"/>
          <w:color w:val="auto"/>
        </w:rPr>
        <w:t>. To learn more about the Company, please visit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0000FF"/>
        </w:rPr>
        <w:t>oildri.com</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Certain statements in this press release may contain forward-looking statements, within the meaning of the safe harbor provisions of the U.S. Private Securities Litigation Reform Act of 1995, that are based on our current expectations, estimates, forecasts and projections about our future performance, our business, our beliefs and our management’s</w:t>
      </w:r>
    </w:p>
    <w:p>
      <w:pPr>
        <w:sectPr>
          <w:pgSz w:w="11900" w:h="16838" w:orient="portrait"/>
          <w:cols w:equalWidth="0" w:num="1">
            <w:col w:w="11240"/>
          </w:cols>
          <w:pgMar w:left="320" w:top="919"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2"/>
          <w:szCs w:val="22"/>
          <w:color w:val="auto"/>
        </w:rPr>
        <w:t>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1"/>
          <w:szCs w:val="21"/>
          <w:color w:val="auto"/>
        </w:rPr>
        <w:t>Such statements are subject to certain risks, uncertainties and assumptions that could cause actual results to differ materially, including, but not limited to, those described in our most recent Annual Report on Form 10-K and from time to time in our other filings with the Securities and Exchange Commission. Should one or more of these or other risks or uncertainties materialize, or should underlying assumptions prove incorrect, actual results may vary materially from those anticipated, intended, expected, believed, estimated, projected, planned or otherwise expressed in any forward-looking statements.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2</w:t>
      </w:r>
    </w:p>
    <w:sectPr>
      <w:pgSz w:w="11900" w:h="16838" w:orient="portrait"/>
      <w:cols w:equalWidth="0" w:num="1">
        <w:col w:w="11120"/>
      </w:cols>
      <w:pgMar w:left="32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2024-12-12T15:20:14Z</dcterms:created>
  <dcterms:modified xsi:type="dcterms:W3CDTF">2024-12-12T15:20:14Z</dcterms:modified>
</cp:coreProperties>
</file>