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2017</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2017.</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 5,108,389 Shares and Class B Stock – 2,188,771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6">
              <w:r>
                <w:rPr>
                  <w:rFonts w:ascii="Arial" w:cs="Arial" w:eastAsia="Arial" w:hAnsi="Arial"/>
                  <w:sz w:val="18"/>
                  <w:szCs w:val="18"/>
                  <w:color w:val="0000FF"/>
                  <w:w w:val="89"/>
                </w:rPr>
                <w:t>26</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0">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9">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2016.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Fresh &amp; Light Ultimate Care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17,560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7,358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10,184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32,047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$881 and $753 at January 31, 2017 and July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23,217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92,778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91,173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218,025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(135,861)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(137,314)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80,711</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$279 and $261 at January 31, 2017 and July 31,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3,754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$4,031 and $3,460 at January 31, 2017 and July 31, 2016,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6,192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32,298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32,931</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206,574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7,316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6,675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2,487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6,753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29,498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9,147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of $103 and $118 at January 31, 2017 and July 31, 2016, respectively</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10,991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32,915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56,571</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86,069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89,264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8,015,166 shares at January 31, 2017</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802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7,982,243 shares at July 31, 2016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2,513,512 shares at January 31, 2017</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2,515,735 shares at July 31, 2016</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35,288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34,294</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153,240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(13,289)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(13,395)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(14,022)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842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Less Treasury Stock, at cost (2,906,777 Common and 324,741 Class B shares at</w:t>
            </w:r>
          </w:p>
        </w:tc>
        <w:tc>
          <w:tcPr>
            <w:tcW w:w="1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(55,681)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January 31, 2017 and 2,912,953 Common and 324,741 Class B shares at July 31, 2016)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120,505</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115,551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206,574</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46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131,786</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133,162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(91,936)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(93,447)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39,850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39,715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(31,217)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(26,539)</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8,633</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13,176</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(489)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7,923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12,609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(1,664)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(3,365)</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6,259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9,244</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149,945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142,095</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153,240</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148,493</w:t>
            </w:r>
          </w:p>
        </w:tc>
      </w:tr>
      <w:tr>
        <w:trPr>
          <w:trHeight w:val="284"/>
        </w:trPr>
        <w:tc>
          <w:tcPr>
            <w:tcW w:w="8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0.93</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0.70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0.86</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5,011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2,077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2,046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7,145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7,074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0.4400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0.3300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0.3150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6,259</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9,244</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578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627</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6,886</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9,402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65,174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65,367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(46,049)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(46,305)</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19,125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19,062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(13,538)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(13,662)</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5,587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5,400</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5,244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(994)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4,250</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3,821</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0.63</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0.57</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0.47</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0.58</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5,019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4,982</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2,088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7,155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7,096</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0.2200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0.2100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0.1650</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0.1575</w:t>
            </w:r>
          </w:p>
        </w:tc>
      </w:tr>
      <w:tr>
        <w:trPr>
          <w:trHeight w:val="27"/>
        </w:trPr>
        <w:tc>
          <w:tcPr>
            <w:tcW w:w="8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96"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4,250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3,821</w:t>
            </w:r>
          </w:p>
        </w:tc>
      </w:tr>
      <w:tr>
        <w:trPr>
          <w:trHeight w:val="297"/>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309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372</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4,622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3,812</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2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6,259</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6,389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5,914</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131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852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487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2,834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7,807</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9,093</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17,051</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(11,555)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14,386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1,225</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(4,446)</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(17,446)</w:t>
            </w: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color w:val="auto"/>
              </w:rPr>
              <w:t>Principal payments on notes payable</w:t>
            </w:r>
          </w:p>
        </w:tc>
        <w:tc>
          <w:tcPr>
            <w:tcW w:w="4440" w:type="dxa"/>
            <w:vAlign w:val="bottom"/>
            <w:tcBorders>
              <w:top w:val="single" w:sz="8" w:color="CCEEFF"/>
            </w:tcBorders>
            <w:gridSpan w:val="2"/>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(3,484)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Dividends paid</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170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207</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(5,784)</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(1,069)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18,629</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20,138</w:t>
            </w: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17,560</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13,827</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2016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six months ended January 31, 2017 are not necessarily an indication of the results that may be expected for the fiscal year ending July 31, 2017.</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expenses and related disclosures. Estimates and assumptions are revised periodically. Actual results could differ from these estimates.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when risk of loss and title are transferred under the terms of our sales agreements with customers at a fixed and 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salaries, wages and benefits associated with staff outside the manufacturing and distribution functions, all advertising and marketing-related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an allowance for doubtful accounts based on our historical experience and a periodic review of our accounts receivable, including a review of the overall aging of accounts and analysis of specific customer accounts. A customer account is determined to be uncollectible when we have completed our internal collection procedures, including termination of shipments, direct customer contact and formal demand of payment.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mine sorbent materials on property that we either own or lease as part of our overall 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thereby minimizing the costs associated with the reclamation process.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766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Issued Pronouncements</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Financial Accounting Standards Board (“FASB”) issued guidance under Accounting Standard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 with Customers</w:t>
      </w:r>
      <w:r>
        <w:rPr>
          <w:rFonts w:ascii="Arial" w:cs="Arial" w:eastAsia="Arial" w:hAnsi="Arial"/>
          <w:sz w:val="16"/>
          <w:szCs w:val="16"/>
          <w:color w:val="auto"/>
        </w:rPr>
        <w:t>, which establishes a single comprehensive revenue recognition model for all contracts with customers and will supersede most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revenue guidance. This guidance requires entities to recognize revenue to depict the transfer of promised goods or services to customers in an amount that reflects the consideration to which the entity expects to be entitled to receive in exchange. In March, April, May and December of 2016, the FASB issued amended guidance that further clarifies the principles for recognizing revenue. We are currently in the process of performing a comprehensive evaluation of these requirements, including the impact on how we record certain incentives and advertising arrangements. The implementation date for this guidance was deferred and will now be effective at the beginning of our first quarter of fiscal year 2019. Transition options to implement this guidance include either a full or modified retrospective approach and early adoption is permitted. We have not yet selected an implementation method.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2014, the FASB issued guidance under ASC 205, </w:t>
      </w:r>
      <w:r>
        <w:rPr>
          <w:rFonts w:ascii="Arial" w:cs="Arial" w:eastAsia="Arial" w:hAnsi="Arial"/>
          <w:sz w:val="18"/>
          <w:szCs w:val="18"/>
          <w:i w:val="1"/>
          <w:iCs w:val="1"/>
          <w:color w:val="auto"/>
        </w:rPr>
        <w:t>Presentation of Financial Statements - Going Concern</w:t>
      </w:r>
      <w:r>
        <w:rPr>
          <w:rFonts w:ascii="Arial" w:cs="Arial" w:eastAsia="Arial" w:hAnsi="Arial"/>
          <w:sz w:val="18"/>
          <w:szCs w:val="18"/>
          <w:color w:val="auto"/>
        </w:rPr>
        <w:t>, which defines management's responsibility to evaluate whether there is substantial doubt about an organization's ability to continue as a going concern and to provide related footnote disclosures. This guidance will be effective for the fourth quarter of fiscal year 2017. This pronouncement requires additional disclosures only in certain circumstances, and we do not expect a significant impact on our Consolidated Financial Statements.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July 2015, the FASB issued guidance under ASC 330,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new guidance requires inventory to be measured at the lower of cost and net realizable value, which is defined as the estimated selling price in the ordinary course of business less reasonably predictable costs of completion, disposal and transportation. This new guidance is effective for our first quarter of fiscal year 2018 and early adoption is permitted. The guidance must be applied prospectively. We are currently evaluating the impact of the adoption of this requirement on our Consolidated Financial Statements.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guidance under ASC 740,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xml:space="preserve"> which requires deferred tax liabilities and assets to be classified as noncurrent in a classified statement of financial position. This guidance is effective for our first quarter of fiscal year 2018 and early adoption is permitted. The guidance may be applied either prospectively or retrospectively to all periods presented. We are currently evaluating the impact of the adoption of this requirement on our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guidance under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which simplifies several aspects of the accounting for share-based payment transactions, including accounting for forfeitures, employer tax withholding on share-based compensation and the financial statement presentation of excess tax benefits or deficiencies. The new guidance also clarifies the statement of cash flows presentation for certain components of share-based awards. This guidance is effective for our first quarter of fiscal year 2018, with early adoption permitted. We are currently evaluating the impact of the adoption of this requirement on our Consolidated Financial Statements.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the first quarter of fiscal 2017, we adopted FASB guidance under ASC 835, </w:t>
      </w:r>
      <w:r>
        <w:rPr>
          <w:rFonts w:ascii="Arial" w:cs="Arial" w:eastAsia="Arial" w:hAnsi="Arial"/>
          <w:sz w:val="18"/>
          <w:szCs w:val="18"/>
          <w:i w:val="1"/>
          <w:iCs w:val="1"/>
          <w:color w:val="auto"/>
        </w:rPr>
        <w:t>Simplifying the Presentation of Debt Issuance Cost,</w:t>
      </w:r>
      <w:r>
        <w:rPr>
          <w:rFonts w:ascii="Arial" w:cs="Arial" w:eastAsia="Arial" w:hAnsi="Arial"/>
          <w:sz w:val="18"/>
          <w:szCs w:val="18"/>
          <w:color w:val="auto"/>
        </w:rPr>
        <w:t xml:space="preserve"> which requires debt issuance costs related to notes payable to be presented as a direct deduction from the associated debt liability rather than as an asset. Amortization of these costs will continue to be reported as interest expense. We adopted this guidance retrospectively, which resulted in a decrease in Other Assets of $118,000 with a corresponding decrease in Noncurrent Liabilities in our Condensed Consolidated Balance Sheets as of July 31, 2016. The new requirements had no impact on our results of operations or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14,032</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4,811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4,672</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23,217</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23,251</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January 31, 2017 and July 31, 2016 were $720,000 and $806,000,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of $4,194,000 and $7,626,000 as of January 31, 2017 and July 31, 2016, respectively, were classified as Level 1. These cash instruments are primarily money market mutual funds and are included in cash and cash equivalents on the Condensed Consolidated Balance Sheets.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January 31, 2017 and July 31, 2016.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January 31, 2017 and July 31, 2016 due to the short maturity and nature of those balances.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87" w:right="239" w:bottom="1440" w:gutter="0" w:footer="0" w:header="0"/>
        </w:sectPr>
      </w:pPr>
    </w:p>
    <w:bookmarkStart w:id="13" w:name="page14"/>
    <w:bookmarkEnd w:id="13"/>
    <w:p>
      <w:pPr>
        <w:jc w:val="both"/>
        <w:ind w:right="20"/>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$13,194,000 and $16,651,000 as of January 31, 2017 and July 31, 2016,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amortization expense was $307,000 and $364,000 in the second quarter of fiscal 2017 and 2016, respectively. Intangible amortization expense was $612,000 and $727,000 for the first six months of fiscal 2017 and 2016, respectively. Estimated intangible amortization for the remainder of fiscal 2017 is $612,000. Estimated intangible amortization for the next five fiscal years is as follows (in thousands):</w:t>
      </w:r>
    </w:p>
    <w:p>
      <w:pPr>
        <w:spacing w:after="0" w:line="99"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2018</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2019</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2021</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1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2022</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7"/>
        </w:trPr>
        <w:tc>
          <w:tcPr>
            <w:tcW w:w="10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2016 and no impairment was identified. There have been no triggering events that would indicate a new impairment analysis is needed.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6"/>
              </w:rPr>
              <w:t>Pension Benefits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446</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913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474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967</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485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914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496</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994</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1,261</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119</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$335,000 and $636,000 to our pension plan during the second quarter and first six months of fiscal 2017, respectively. We estimate contributions will be $840,000 for the remainder of fiscal 2017.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6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60" w:type="dxa"/>
            <w:vAlign w:val="bottom"/>
            <w:gridSpan w:val="7"/>
          </w:tcPr>
          <w:p>
            <w:pPr>
              <w:ind w:left="98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9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7.35%. The graded trend rate is expected to decrease to an ultimate rate of 4.5% in fiscal 2036.</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580" w:right="2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2016.</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2016</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59,727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92,191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91,626</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54,656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52,182</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206,574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204,815</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80" w:type="dxa"/>
            <w:vAlign w:val="bottom"/>
            <w:gridSpan w:val="9"/>
          </w:tcPr>
          <w:p>
            <w:pPr>
              <w:jc w:val="center"/>
              <w:ind w:right="17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50,734</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48,446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81,052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84,716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4,480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9,697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131,786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133,162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(13,070)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(13,266)</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13,176</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12,609</w:t>
            </w: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2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8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23,261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41,913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4,987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4,295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65,174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(6,471)</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3,821</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 Stock options have been granted to our outside directors with a vesting period of one year and stock options granted to employees generally vest 25% two years after the grant date and in each of the three following anniversaries of the grant date. In addition, restricted shares have been issued under the 2006 Plan as described in the restricted stock section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i w:val="1"/>
                <w:iCs w:val="1"/>
                <w:color w:val="auto"/>
              </w:rPr>
              <w:t>Stock Options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A summary of stock options is shown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Remaining</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Aggregate Intrinsic</w:t>
            </w:r>
          </w:p>
        </w:tc>
      </w:tr>
      <w:tr>
        <w:trPr>
          <w:trHeight w:val="234"/>
        </w:trPr>
        <w:tc>
          <w:tcPr>
            <w:tcW w:w="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0"/>
              </w:rPr>
              <w:t>Number of Shares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0"/>
        </w:trPr>
        <w:tc>
          <w:tcPr>
            <w:tcW w:w="80" w:type="dxa"/>
            <w:vAlign w:val="bottom"/>
          </w:tcPr>
          <w:p>
            <w:pPr>
              <w:spacing w:after="0"/>
              <w:rPr>
                <w:sz w:val="23"/>
                <w:szCs w:val="23"/>
                <w:color w:val="auto"/>
              </w:rPr>
            </w:pPr>
          </w:p>
        </w:tc>
        <w:tc>
          <w:tcPr>
            <w:tcW w:w="554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3"/>
                <w:szCs w:val="23"/>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(in thousands)</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July 31, 2016</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80" w:type="dxa"/>
            <w:vAlign w:val="bottom"/>
          </w:tcPr>
          <w:p>
            <w:pPr>
              <w:spacing w:after="0"/>
              <w:rPr>
                <w:sz w:val="21"/>
                <w:szCs w:val="21"/>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80" w:type="dxa"/>
            <w:vAlign w:val="bottom"/>
          </w:tcPr>
          <w:p>
            <w:pPr>
              <w:spacing w:after="0"/>
              <w:rPr>
                <w:sz w:val="2"/>
                <w:szCs w:val="2"/>
                <w:color w:val="auto"/>
              </w:rPr>
            </w:pPr>
          </w:p>
        </w:tc>
        <w:tc>
          <w:tcPr>
            <w:tcW w:w="5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and exercisable, January 31, 2017</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amount of cash received from the exercise of stock options during the second quarter of fiscal years 2017 and 2016 was $170,000 and $96,000, respectively, and the related tax benefit was $80,000 and $40,000, respectively. The amount of cash received from the exercise of stock options during the first six months of fiscal years 2017 and 2016 was $170,000 and $281,000, respectively, and the related tax benefit was $80,000 and $68,000,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first six months of either fiscal year 2017 or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06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our non-vested restricted stock as of January 31, 2017 was issued under the 2006 Plan with vesting periods between two years and five years. Under the 2006 Plan, 18,000 and 400 restricted shares of Common Stock were granted during the second quarter of fiscal years 2017 and 2016, respectively.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related to non-vested restricted stock for the second quarter of fiscal years 2017 and 2016 was $346,000 and $306,000, respectively. Stock-based compensation expense related to non-vested restricted stock for the first six months of fiscal years 2017 and 2016 was $777,000 and $638,000,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2016</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36.84</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31.48</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January 31, 2017</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30.95</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income by component as of January 31, 2017 (in thousands):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Cumulative</w:t>
            </w:r>
          </w:p>
        </w:tc>
        <w:tc>
          <w:tcPr>
            <w:tcW w:w="3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Translation</w:t>
            </w:r>
          </w:p>
        </w:tc>
        <w:tc>
          <w:tcPr>
            <w:tcW w:w="32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Adjustment</w:t>
            </w:r>
          </w:p>
        </w:tc>
        <w:tc>
          <w:tcPr>
            <w:tcW w:w="32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(13,867)</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6"/>
              </w:rPr>
              <w:t>Other comprehensive income before reclassifications,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net of</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w:t>
            </w:r>
          </w:p>
        </w:tc>
        <w:tc>
          <w:tcPr>
            <w:tcW w:w="60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627</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(13,289)</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(13,395)</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is net of tax expense of $354,000. Amount is included in the components of net periodic benefit cost for the pension and postretirement health plans. See Note 6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2016.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the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2017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Consolidated net sales for the six months ended January 31, 2017 were $131,786,000, a decrease of 1% from net sales of $133,162,000 for the six months ended January 31, 2016. Net sales were down for our Retail and Wholesale Products Group, but were up for our Business to Business Products Group. Consolidated net income for the first six months of fiscal 2017 was $6,259,000, a 32% decrease from net income of $9,244,000 for the first six months of fiscal 2016. Our Retail and Wholesale Products Group reported lower operating income due primarily to lower net sales and approximately $5,000,000 higher advertising costs, described further below. Operating income for our Business to Business Products Groups increased compared to the first six months of the prior fiscal year. Diluted net income per share was $0.86 for the first six months of fiscal 2017, compared to $1.28 for the first six months of fiscal 2016.</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Consolidated gross profit as a percentage of net sales for the first six months of fiscal 2017 was 30%, the same as for the first six months of fiscal 2016. Gross profit was positively impacted by approximately 5% lower packaging costs per manufactured ton. A significant amount of our packaging purchases are subject to contractual price adjustments throughout the year based on underlying commodity prices. Prices for commodities may fluctuate considerably, particularly commodities related to our resin and paper-based packaging. The lower packaging costs reflected favorable commodity prices at the time of the most recent price adjustment. Gross profit was negatively impacted by the cost of natural gas used to operate kilns that dry our clay. The cost of natural gas per manufactured ton was approximately 16% higher than the prior year. Other manufacturing costs per ton produced were up approximately 6% compared to the same period the prior fiscal year, including higher salaries, wages, benefits and depreciation expenses.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Total selling, general and administrative expenses were 18% higher for the first six months of fiscal 2017 compared to the first six months of fiscal 2016. The discussions of the segments' operating incomes below describe the changes in the selling, general and administrative expenses that were allocated to the operating segments, particularly higher advertising expense in the Retail and Wholesale Products Group. The remaining unallocated corporate expenses in the first six months of fiscal 2017 included a lower estimated annual incentive bonus accrual as compared to the prior year. The incentive bonus accruals were based on performance targets established for each fiscal year. The lower bonus accrual was mostly offset by increased pension expense and additional costs related to the implementation of our new </w:t>
      </w:r>
      <w:r>
        <w:rPr>
          <w:rFonts w:ascii="Arial" w:cs="Arial" w:eastAsia="Arial" w:hAnsi="Arial"/>
          <w:sz w:val="17"/>
          <w:szCs w:val="17"/>
          <w:color w:val="222222"/>
        </w:rPr>
        <w:t>enterprise resource planning software</w:t>
      </w:r>
      <w:r>
        <w:rPr>
          <w:rFonts w:ascii="Arial" w:cs="Arial" w:eastAsia="Arial" w:hAnsi="Arial"/>
          <w:sz w:val="17"/>
          <w:szCs w:val="17"/>
          <w:color w:val="auto"/>
        </w:rPr>
        <w:t>.</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effective tax rate was 21% of pre-tax income for the first six months of fiscal 2017, which was lower than 27% for the first six months of fiscal 2016. Our effective tax rate was based on the estimated level of our taxable income for the year and the assessment of various deductions, including depletion.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sales of the Business to Business Products Group for the first six months of fiscal 2017 were $50,734,000, an increase of $2,288,000, or 5%, from net sales of $48,446,000 for the first six months of fiscal 2016. Net sales of our animal health and nutrition products increased approximately 23%. Sales were up in domestic, Asian and most other foreign markets; however, sales in Latin America were lower due to the transition to a new distributor. See “Foreign Operations” below for further discussion of increased animal health and nutrition sales by our subsidiary in China. Net sales of fluids purification products were up approximately 7%, primarily for sales to edible oil producers. A new customer in Europe, added in the fourth quarter of fiscal 2016, accounted for much of the sales improvement for the first six months of fiscal 2017. Lower sales from normal ordering fluctuations of customers in the petroleum oil processing industry partially offset this increase. Net sales of our agricultural chemical carrier products were essentially flat compared to the prior year. Sales of our co-packaged coarse cat litter were approximately 10% lower due to fewer tons sold and a price adjustment under our co-packaging agreement.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Business to Business Products Group were essentially flat compared to the first six months of fiscal 2016.</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Business to Business Products Group’s operating income for the first six months of fiscal 2017 was $17,223,000, an increase of $478,000, or 3%, from operating income of $16,745,000 for the first six months of fiscal 2016. The benefits of higher sales and lower packaging costs more than offset increased natural gas and other manufacturing costs. See “Consolidated Results” above for further discussion of packaging, natural gas and manufacturing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first six months of fiscal 2017 were $81,052,000, a decrease of $3,664,000, or 4%, from net sales of $84,716,000 for the first six months of fiscal 2016. Total cat litter net sales declined approximately 6% compared to the first six months of the prior year. Lower sales of both our branded and private label cat litters was attributed to the decision to exit low margin business with two major customers. Instead, we maintained our focus on the lightweight segment of the market through our integrated marketing campaign to generate awareness and trial of lightweight cat litter products. This strategy successfully delivered higher sales of both our Cat's Pride Fresh &amp; Light Ultimate Care and our private label lightweight scoopable litters. We plan to continue our advertising and promotion focus on the lightweight litter market throughout the remainder of fiscal 2017.</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industrial and automotive absorbent products were essentially flat compared to the first six months of fiscal 2016. Total sales for our subsidiary in the United Kingdom declined, while sales for our subsidiary in Canada increased. See “Foreign Operations” below for further discussion about the sales and types of products sold by these foreign subsidiaries.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for the Retail and Wholesale Products Group were 60% higher compared to the first six months of fiscal 2016. Advertising expense increased approximately $5,000,000 due to the integrated marketing campaign to promote our Fresh &amp; Light Ultimate Care lightweight cat litter, which began in the second quarter of fiscal 2016. We expect to continue this campaign throughout the remainder of fiscal 2017; however, we plan to reallocate some of our anticipated spending between advertising, which is included in selling, general and administrative expenses, and trade promotions, which are included as a reduction of net sales. We expect advertising expense will be significant for the full year of fiscal 2017, but the amount is anticipated to be less than the corresponding expense in fiscal 2016.</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Retail and Wholesale Products Group's operating income for the first six months of fiscal 2017 was $4,480,000, a decrease of $5,217,000, or 54%, from operating income of $9,697,000 for the first six months of fiscal 2016. The decrease in operating income was driven by an additional approximate $5,000,000 of advertising costs as discussed above. Higher natural gas and other manufacturing costs also negatively impacted the Group's operating results, while some benefit was realized from lower packaging costs. See “Consolidated Results” above for further discussion of these cost changes.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six months of fiscal 2017 were $6,475,000, compared to net sales of $5,532,000 during the first six months of fiscal 2016. Our subsidiary in China reported higher sales for animal health and nutrition products with approximately 42% more tons sold, including sales to new customers. Sales also increased for both branded cat litter and industrial absorbent products sold by our subsidiary in Canada. These increases were partially offset by lower sales of fluids purification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products sold by our subsidiary in the United Kingdom. Reduced orders from one customer and a weak exchange rate for the British Pound to the U.S. Dollar negatively impacted reported sales. Net sales by our foreign subsidiaries represented 5% and 4% of our consolidated net sales during the first six months of fiscal years 2017 and 2016,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foreign subsidiaries reported net income of $298,000 for the first six months of fiscal 2017 compared to a net loss of $536,000 for the first six months of fiscal 2016. The improved profitability was driven primarily by the higher sales.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Identifiable assets of our foreign subsidiaries as of January 31, 2017 were $7,822,000, compared to $7,814,000 as of January 31, 2016. The increase was due primarily to higher cash, cash equivalents and inventories, which were partially offset by lower accounts receivable and net fixed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2017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Consolidated net sales for the three months ended January 31, 2017 were $65,174,000, compared to net sales of $65,367,000 for the three months ended January 31, 2016. Net sales were down for our Retail and Wholesale Products Group, but were up for our Business to Business Products Group. Consolidated net income was $4,250,000 for the second quarter of fiscal 2017, an 11% increase compared to $3,821,000 for the second quarter of fiscal 2016. Operating income increased for both our Business to Business Products and Retail and Wholesale Products Groups compared to the second quarter of the prior year. Diluted net income per share was $0.58 for the second quarter of fiscal 2017, compared to $0.53 for the second quarter of fiscal 2016.</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gross profit as a percentage of net sales for the second quarter of fiscal 2017 was 29%, the same as for the second quarter of fiscal 2016. Slightly lower freight costs were primarily offset by increases in natural gas and other manufacturing costs. The cost per manufactured ton for natural gas used to operate kilns that dry our clay was approximately 28% higher than the second quarter of the prior fiscal year. In addition, other manufacturing costs per ton produced were up approximately 2%. Higher expenses for employee salaries, wages, benefits and depreciation were partially offset by lower repair costs. Packaging costs were essentially flat compared to the second quarter of the prior fiscal year. A significant amount of our packaging purchases are subject to contractual price adjustments throughout the year based on underlying commodity prices. Prices for commodities may fluctuate considerably, particularly commodities related to our resin and paper-based packaging.</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Total selling, general and administrative expenses were 1% lower for the second quarter of fiscal 2017 compared to the second quarter of fiscal 2016. The discussion of the segments' operating incomes below describes the selling, general and administrative expenses allocated to the operating segments, particularly lower advertising expense in the Retail and Wholesale Products Group. The remaining unallocated corporate expenses in the second quarter of fiscal 2017 included higher pension expense and additional costs related to the implementation of our new </w:t>
      </w:r>
      <w:r>
        <w:rPr>
          <w:rFonts w:ascii="Arial" w:cs="Arial" w:eastAsia="Arial" w:hAnsi="Arial"/>
          <w:sz w:val="16"/>
          <w:szCs w:val="16"/>
          <w:color w:val="222222"/>
        </w:rPr>
        <w:t>enterprise resource planning software</w:t>
      </w:r>
      <w:r>
        <w:rPr>
          <w:rFonts w:ascii="Arial" w:cs="Arial" w:eastAsia="Arial" w:hAnsi="Arial"/>
          <w:sz w:val="16"/>
          <w:szCs w:val="16"/>
          <w:color w:val="auto"/>
        </w:rPr>
        <w:t>.</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tax expense was 19% of pre-tax income for the second quarter of fiscal 2017, compared to 25% in the second quarter of fiscal 2016. Our effective tax rate was based on the estimated level of our taxable income for the year and the assessment of various tax deductions, including depletion.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of the Business to Business Products Group for the second quarter of fiscal 2017 were $23,261,000, an increase of $636,000, or 3%, from net sales of $22,625,000 for the second quarter of fiscal 2016. Net sales of fluids purification products were up approximately 8%. Sales to edible oil producers accounted for much of the sales improvement, including a new customer in Europe added in the fourth quarter of fiscal 2016. Net sales of our agricultural chemical carriers to manufacturers of crop protection products were up slightly compared to the prior year. Sales of our animal health and nutrition products decreased approximately 4%. Lower sales in Latin America due to the transition to a new distributor were partially offset by higher sales in domestic and Asian markets. See “Foreign Operations” below for further discussion of increased animal health and nutrition sales by our subsidiary in China. Sales of co-packaged coarse cat litter were approximately 3% lower than in the second quarter of fiscal 2016 due to a price adjustment under our co-packaging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7% lower due primarily to lower costs to promote our animal health and nutrition products compared to the second quarter of fiscal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to Business Products Group’s operating income for the second quarter of fiscal 2017 was $7,815,000, an increase of $239,000, or 3%, from operating income of $7,576,000 in the second quarter of fiscal 2016. The benefits of higher sales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lower selling, general and administrative expenses more than offset increased natural gas and other manufacturing costs. See “Consolidated Results” above for further discussion of manufacturing and packaging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of the Retail and Wholesale Products Group for the second quarter of fiscal 2017 were $41,913,000, a decrease of $829,000, or 2%, from net sales of $42,742,000 for the second quarter of fiscal 2016. Total cat litter net sales declined approximately 4% compared to the second quarter of the prior year. Lower sales of both our branded and private label cat litters was attributed to the decision to exit low margin business with two major customers. Our focus on the lightweight segment of the market delivered higher sales of both our Cat's Pride Fresh &amp; Light Ultimate Care and our private label lightweight scoopable litters, although we reduced some of our marketing efforts during the quarter. We plan to continue our integrated marketing campaign to generate awareness and trial of lightweight cat litter products throughout the remainder of fiscal 2017.</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industrial and automotive absorbent products were up approximately 7% from the second quarter of fiscal 2016 due primarily to higher sales to existing customers. Total sales for our subsidiary in the United Kingdom declined, while sales for our subsidiary in Canada increased. See “Foreign Operations” below for further discussion about the sales and types of products sold by these foreign subsidiaries.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Selling, general and administrative expenses for the Retail and Wholesale Products Group were 12% lower compared to the second quarter of fiscal 2016. The decrease was driven by approximately $400,000 lower advertising expense for our integrated marketing campaign to promote our Fresh &amp; Light Ultimate Care lightweight cat litter. This campaign began in the second quarter of fiscal 2016. We expect to continue this campaign throughout the remainder of fiscal 2017; however, we plan to reallocate some of our anticipated spending between advertising, which is included in selling, general and administrative expenses, and trade promotions, which are included as a reduction of net sales. We expect advertising expense will be significant for the full year of fiscal 2017, but the amount is anticipated to be less than the corresponding expense in fiscal 2016.</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second quarter of fiscal 2017 was $4,987,000, an increase of $692,000, or 16%, compared to operating income of $4,295,000 for the second quarter of fiscal 2016. The increase in operating income was driven by the $400,000 lower advertising costs discussed above. In contrast, higher natural gas and other manufacturing costs negatively impacted the Group's operating results. See “Consolidated Results” above for further discussion of these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Total net sales by our foreign subsidiaries during the second quarter of fiscal 2017 were $3,324,000, a 10% increase compared to net sales of $3,019,000 in the second quarter of fiscal 2016. Our subsidiary in China reported higher sales for animal health and nutrition products with approximately 26% more tons sold, including sales to new customers. Sales also increased for both branded cat litter and industrial absorbent products sold by our subsidiary in Canada. These increases were partially offset by lower sales of fluids purification products by our subsidiary in the United Kingdom. Normal fluctuations in customers' ordering patterns and a weak exchange rate for the British Pound to the U.S. Dollar negatively impacted reported sales. Net sales by our foreign subsidiaries represented approximately 5% and 4% of our consolidated net sales during the second quarters of fiscal 2017 and 2016, respectively.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net income of $267,000 for the second quarter of fiscal 2017 compared to a net loss of $69,000 for the second quarter of fiscal 2016. The improved profitability for the quarter was driven primarily by the higher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information systems and real estate; supporting new product development; investing in infrastructure; repurchasing Common Stock; paying dividends; and business acquisitions. During the first six months of fiscal 2017, we principally used cash generated from operations to fund these requirements. We also have the ability to borrow under our revolving credit agreement with BMO Harris Bank N.A. (“BMO Harris”), as described further below, however we have not borrowed under the credit agreement in recent years. Cash and cash equivalents decreased $1,069,000 during the first six months of fiscal 2017 to $17,560,000, and short term investments decreased $2,826,000 during the same period to $7,358,000 as of January 31, 2017.</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certain elements of our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(17,446)</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(5,949)</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2017 and 2016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increased $1,698,000 in the first six months of fiscal 2017 compared to a decrease of $652,000 in the first six months of fiscal 2016. The change in accounts receivable balances reflected differences in the level and timing of sales and collections, as well as the level of sales and the payment terms provided to various customers.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Prepaid expenses increased $3,784,000 in the first six months of fiscal 2017 compared to an increase of $2,671,000 in the first six months of fiscal 2016. Prepaid expenses increased in the first six months of both fiscal 2017 and 2016 due to prepayments of annual insurance premiums, as well as prepaid advertising costs. The increase in prepaid expenses in the first six months of fiscal 2017 also included prepayments for computer software licenses.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increased $852,000 in the first six months of fiscal 2017 compared to a decrease of $201,000 in the first six months of fiscal 2016. Trade and freight payable varied in both periods due to timing of payments, fluctuations in the cost of goods and services we purchased, production volume levels and vendor payment terms. Current accrued estimated income taxes are also included in accounts payable balances.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Accrued expenses decreased $1,698,000 in the first six months of fiscal 2017 compared to an increase of $3,295,000 in the first six months of fiscal 2016. The payout of the prior fiscal year's discretionary incentive bonus drove the decrease in accrued salaries in the first six months of fiscal 2017, while the increase in the first six months of fiscal 2016 was driven by a higher incentive bonus accrual. Accrued plant expenses fluctuated in the first six months of both fiscal 2017 and 2016 due to timing of payments, changes in the cost of goods and services we purchased, production volume levels and vendor payment terms. In addition, accrued trade promotions and advertising varied due to the timing of marketing programs.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Accrued pension and postretirement benefits increased $1,001,000 in the first six months of fiscal 2017 compared to an increase of $554,000 in the first six months of fiscal 2016. The discount rate required to estimate the value of these accrued benefits as of the second quarter of fiscal 2017 was lower than the rate used in fiscal 2016, which resulted in a higher liability. See Note 6 of the notes to the unaudited Condensed Consolidated Financial Statements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was $4,446,000 in the first six months of fiscal 2017 compared to cash used in investing activities of $17,446,000 in the first six months of fiscal 2016. Cash used for capital expenditures was $7,279,000 and $4,795,000 in the first six months of fiscal 2017 and 2016, respectively. Capital expenditures in the first six months of fiscal 2017 included spending for the enterprise resource planning system implementation project and related infrastructure improvements, as well as equipment replacement at our manufacturing facilities. Net dispositions of short-term investments provided cash of $2,831,000 in the first six months of fiscal 2017, while net purchases used cash of $12,900,000 in the first six months of fiscal 2016. Purchases and dispositions of investment securities in both periods are impacted by variations in the timing of investment maturities, the operating cash needs of the Company and the availability of investment options.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$5,784,000 in the first six months of fiscal 2017 compared to cash used in financing activities of $5,949,000 in the first six months of fiscal 2016. Scheduled payments on long-term debt were $3,083,000 and $3,484,000 in the first six months of fiscal 2017 and 2016, respectively. Dividend payments in the first six months of fiscal 2017 were $2,956,000 compared to $2,783,000 paid during the same period of fiscal 2016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$1,653,000 as of January 31, 2017 were higher than the January 31, 2016 balances of $1,499,000. See further discussion in “Foreign Operations” above.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$25,000,000 unsecured revolving credit agreement with BMO Harris which expires on December 4, 2019. The agreement also provides for a maximum of $5,000,000 for foreign letters of credit. Under the agreement we may select a variable interest rate based on either the BMO Harris prime rate or a LIBOR-based rate, plus a margin which varies depending on our debt to earnings ratio, or a fixed rate as agreed between us and BMO Harris. At January 31, 2017, the variable rates would have been 3.75% for the BMO Harris prime-based rate or 2.02%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six months ended January 31, 2017 and 2016, and we were in compliance with its covenants.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2017, we had remaining authority to repurchase 301,837 shares of Common Stock under a repurchase plan approved by our Board of Directors. These repurchases may be made on the open market (pursuant to Rule 10b5-1 plans or otherwise) or in negotiated transactions. The timing and amount of shares repurchased will be determined by our management.</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dividend payments and debt service obligations for at least the next 12 months. We plan to continue promoting our Cat's Pride Fresh &amp; Light Ultimate Care </w:t>
      </w:r>
      <w:r>
        <w:rPr>
          <w:rFonts w:ascii="Arial" w:cs="Arial" w:eastAsia="Arial" w:hAnsi="Arial"/>
          <w:sz w:val="16"/>
          <w:szCs w:val="16"/>
          <w:color w:val="222222"/>
        </w:rPr>
        <w:t>lightweight</w:t>
      </w:r>
      <w:r>
        <w:rPr>
          <w:rFonts w:ascii="Arial" w:cs="Arial" w:eastAsia="Arial" w:hAnsi="Arial"/>
          <w:sz w:val="16"/>
          <w:szCs w:val="16"/>
          <w:color w:val="auto"/>
        </w:rPr>
        <w:t xml:space="preserve"> </w:t>
      </w:r>
      <w:r>
        <w:rPr>
          <w:rFonts w:ascii="Arial" w:cs="Arial" w:eastAsia="Arial" w:hAnsi="Arial"/>
          <w:sz w:val="16"/>
          <w:szCs w:val="16"/>
          <w:color w:val="222222"/>
        </w:rPr>
        <w:t xml:space="preserve">scoopable litter during fiscal 2017 and we expect total spending for advertising and trade spending to be significant, </w:t>
      </w:r>
      <w:r>
        <w:rPr>
          <w:rFonts w:ascii="Arial" w:cs="Arial" w:eastAsia="Arial" w:hAnsi="Arial"/>
          <w:sz w:val="16"/>
          <w:szCs w:val="16"/>
          <w:color w:val="000000"/>
        </w:rPr>
        <w:t>but slightly less than the total spent in</w:t>
      </w:r>
      <w:r>
        <w:rPr>
          <w:rFonts w:ascii="Arial" w:cs="Arial" w:eastAsia="Arial" w:hAnsi="Arial"/>
          <w:sz w:val="16"/>
          <w:szCs w:val="16"/>
          <w:color w:val="222222"/>
        </w:rPr>
        <w:t xml:space="preserve"> </w:t>
      </w:r>
      <w:r>
        <w:rPr>
          <w:rFonts w:ascii="Arial" w:cs="Arial" w:eastAsia="Arial" w:hAnsi="Arial"/>
          <w:sz w:val="16"/>
          <w:szCs w:val="16"/>
          <w:color w:val="000000"/>
        </w:rPr>
        <w:t>fiscal 2016</w:t>
      </w:r>
      <w:r>
        <w:rPr>
          <w:rFonts w:ascii="Arial" w:cs="Arial" w:eastAsia="Arial" w:hAnsi="Arial"/>
          <w:sz w:val="16"/>
          <w:szCs w:val="16"/>
          <w:color w:val="222222"/>
        </w:rPr>
        <w:t>. We anticipate that our capital expenditures will increase in fiscal 2017, including spending for implementation of an enterprise resource planning</w:t>
      </w:r>
      <w:r>
        <w:rPr>
          <w:rFonts w:ascii="Arial" w:cs="Arial" w:eastAsia="Arial" w:hAnsi="Arial"/>
          <w:sz w:val="16"/>
          <w:szCs w:val="16"/>
          <w:color w:val="000000"/>
        </w:rPr>
        <w:t xml:space="preserve"> </w:t>
      </w:r>
      <w:r>
        <w:rPr>
          <w:rFonts w:ascii="Arial" w:cs="Arial" w:eastAsia="Arial" w:hAnsi="Arial"/>
          <w:sz w:val="16"/>
          <w:szCs w:val="16"/>
          <w:color w:val="222222"/>
        </w:rPr>
        <w:t xml:space="preserve">software. We do not anticipate that these increased expenditures will dramatically impact our cash position; however our cash requirements are subject to change as business conditions warrant and opportunities arise. </w:t>
      </w:r>
      <w:r>
        <w:rPr>
          <w:rFonts w:ascii="Arial" w:cs="Arial" w:eastAsia="Arial" w:hAnsi="Arial"/>
          <w:sz w:val="16"/>
          <w:szCs w:val="16"/>
          <w:color w:val="000000"/>
        </w:rPr>
        <w:t>We continually evaluate our liquidity position and anticipated cash needs, as well as the</w:t>
      </w:r>
      <w:r>
        <w:rPr>
          <w:rFonts w:ascii="Arial" w:cs="Arial" w:eastAsia="Arial" w:hAnsi="Arial"/>
          <w:sz w:val="16"/>
          <w:szCs w:val="16"/>
          <w:color w:val="222222"/>
        </w:rPr>
        <w:t xml:space="preserve"> </w:t>
      </w:r>
      <w:r>
        <w:rPr>
          <w:rFonts w:ascii="Arial" w:cs="Arial" w:eastAsia="Arial" w:hAnsi="Arial"/>
          <w:sz w:val="16"/>
          <w:szCs w:val="16"/>
          <w:color w:val="000000"/>
        </w:rPr>
        <w:t>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(in thousands) as of January 31, 2017 for the time-frames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1,231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14,708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8,805</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28,272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9,289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8,805</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$636,000 during the first six months of fiscal 2017. We estimate contributions of approximately $840,000 will be made during the remainder of fiscal 2017.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2016.</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currency fluctuation risk, primarily the U.S. Dollar relative to the British Pound, Euro, Canadian Dollar, Chinese Yuan and the Brazilian Real, as related to our foreign subsidiaries, to certain accounts receivable, and to our ability to sell in foreign markets. We are subject to translation exposure of our foreign subsidiaries’ financial statements from local currencies to U.S. Dollars. In recent years, our foreign subsidiaries have not generated a substantial portion of our consolidated sales or net income. In addition, the portion of our consolidated accounts receivable denominated in foreign currencies is not significant. Finally, foreign sales of our products may be influenced by the relative strength or weakness of the U.S. Dollar compared to various other currencies, which makes our products relatively more or less expensive than our foreign competitors' products in local marketplaces. Foreign currency fluctuations had some bearing on our operating results in the first six months of fiscal 2017; however, historically the overall foreign currency fluctuation risk has not been material to our Consolidated Financial Statements and in the first six months of fiscal 2017 we did not enter into any hedge contracts in an attempt to offset any adverse effect of changes in currency exchange rates.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purchase fuel at spot rates on a month to month basis and we may contract for a portion of our anticipated fuel needs using forward purchase contracts to mitigate the volatility of our kiln fuel prices. As of January 31, 2017, we have not purchased any natural gas contracts for our planned kiln fuel needs for the remainder of fiscal 2017.</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2017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5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507"/>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Disclosures</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tcPr>
          <w:p>
            <w:pPr>
              <w:ind w:left="446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45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10, 2017</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320"/>
          </w:cols>
          <w:pgMar w:left="580" w:top="584" w:right="99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516"/>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Certifications pursuant to Section 1350 of the Sarbanes-Oxley Act of 2002.</w:t>
      </w:r>
    </w:p>
    <w:p>
      <w:pPr>
        <w:spacing w:after="0" w:line="333"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4600" w:type="dxa"/>
            <w:vAlign w:val="bottom"/>
          </w:tcPr>
          <w:p>
            <w:pPr>
              <w:ind w:left="160"/>
              <w:spacing w:after="0"/>
              <w:rPr>
                <w:sz w:val="20"/>
                <w:szCs w:val="20"/>
                <w:color w:val="auto"/>
              </w:rPr>
            </w:pPr>
            <w:r>
              <w:rPr>
                <w:rFonts w:ascii="Arial" w:cs="Arial" w:eastAsia="Arial" w:hAnsi="Arial"/>
                <w:sz w:val="18"/>
                <w:szCs w:val="18"/>
                <w:color w:val="auto"/>
              </w:rPr>
              <w:t>Mine Safety Disclosures</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2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24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4,250</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6,259</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(145)</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4,150</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6,114</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5,019</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5,011</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2,088</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2,055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2,077</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w:t>
            </w: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7,155</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7,096</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7,145</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0.63</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0.93</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0.47</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0.70</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0.58</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0.86</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8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March 10, 2017</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10, 2017</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10,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2017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March 10, 2017</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2017.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2017.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decimal"/>
      <w:start w:val="31"/>
    </w:lvl>
  </w:abstractNum>
  <w:abstractNum w:abstractNumId="4">
    <w:nsid w:val="3D1B58B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5">
    <w:nsid w:val="507ED7A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2020-01-16T14:27:42Z</dcterms:created>
  <dcterms:modified xsi:type="dcterms:W3CDTF">2020-01-16T14:27:42Z</dcterms:modified>
</cp:coreProperties>
</file>