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83050_8k.htm"/>
      <w:bookmarkStart w:id="1" w:name="ksv183050_8k"/>
      <w:bookmarkStart w:id="2" w:name="v183050_8k.htm"/>
      <w:bookmarkStart w:id="3" w:name="ksv183050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68"/>
        <w:gridCol w:w="6737"/>
      </w:tblGrid>
      <w:tr>
        <w:trPr/>
        <w:tc>
          <w:tcPr>
            <w:tcW w:w="34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673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April 26, 2010</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093"/>
        <w:gridCol w:w="462"/>
        <w:gridCol w:w="3094"/>
        <w:gridCol w:w="462"/>
        <w:gridCol w:w="3094"/>
      </w:tblGrid>
      <w:tr>
        <w:trPr/>
        <w:tc>
          <w:tcPr>
            <w:tcW w:w="309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462" w:type="dxa"/>
            <w:tcBorders>
              <w:bottom w:val="single" w:sz="12" w:space="0" w:color="000000"/>
            </w:tcBorders>
            <w:shd w:fill="auto" w:val="clear"/>
          </w:tcPr>
          <w:p>
            <w:pPr>
              <w:pStyle w:val="TableContents"/>
              <w:spacing w:before="0" w:after="283"/>
              <w:rPr/>
            </w:pPr>
            <w:r>
              <w:rPr/>
              <w:t xml:space="preserve">  </w:t>
            </w:r>
          </w:p>
        </w:tc>
        <w:tc>
          <w:tcPr>
            <w:tcW w:w="309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462" w:type="dxa"/>
            <w:tcBorders>
              <w:bottom w:val="single" w:sz="12" w:space="0" w:color="000000"/>
            </w:tcBorders>
            <w:shd w:fill="auto" w:val="clear"/>
          </w:tcPr>
          <w:p>
            <w:pPr>
              <w:pStyle w:val="TableContents"/>
              <w:spacing w:before="0" w:after="283"/>
              <w:rPr/>
            </w:pPr>
            <w:r>
              <w:rPr/>
              <w:t xml:space="preserve">  </w:t>
            </w:r>
          </w:p>
        </w:tc>
        <w:tc>
          <w:tcPr>
            <w:tcW w:w="309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09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462" w:type="dxa"/>
            <w:tcBorders/>
            <w:shd w:fill="auto" w:val="clear"/>
            <w:tcMar>
              <w:bottom w:w="0" w:type="dxa"/>
            </w:tcMar>
          </w:tcPr>
          <w:p>
            <w:pPr>
              <w:pStyle w:val="TableContents"/>
              <w:spacing w:before="0" w:after="283"/>
              <w:rPr/>
            </w:pPr>
            <w:r>
              <w:rPr/>
              <w:t xml:space="preserve">  </w:t>
            </w:r>
          </w:p>
        </w:tc>
        <w:tc>
          <w:tcPr>
            <w:tcW w:w="309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462" w:type="dxa"/>
            <w:tcBorders/>
            <w:shd w:fill="auto" w:val="clear"/>
            <w:tcMar>
              <w:bottom w:w="0" w:type="dxa"/>
            </w:tcMar>
          </w:tcPr>
          <w:p>
            <w:pPr>
              <w:pStyle w:val="TableContents"/>
              <w:spacing w:before="0" w:after="283"/>
              <w:rPr/>
            </w:pPr>
            <w:r>
              <w:rPr/>
              <w:t xml:space="preserve">  </w:t>
            </w:r>
          </w:p>
        </w:tc>
        <w:tc>
          <w:tcPr>
            <w:tcW w:w="309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570"/>
        <w:gridCol w:w="6635"/>
      </w:tblGrid>
      <w:tr>
        <w:trPr/>
        <w:tc>
          <w:tcPr>
            <w:tcW w:w="357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66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ableContents"/>
              <w:spacing w:before="0" w:after="0"/>
              <w:ind w:left="0" w:right="0" w:hanging="0"/>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(17 CFR 240.13e-4(c))</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8.01</w:t>
      </w:r>
      <w:bookmarkStart w:id="4" w:name="TAB2"/>
      <w:bookmarkEnd w:id="4"/>
      <w:r>
        <w:rPr>
          <w:rFonts w:ascii="Times New Roman" w:hAnsi="Times New Roman"/>
          <w:b/>
          <w:spacing w:val="180"/>
          <w:sz w:val="20"/>
        </w:rPr>
        <w:t>   </w:t>
      </w:r>
      <w:r>
        <w:rPr>
          <w:rFonts w:ascii="Times New Roman" w:hAnsi="Times New Roman"/>
          <w:b/>
          <w:sz w:val="20"/>
        </w:rPr>
        <w:t>Other Events.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 w:name="TAB1"/>
      <w:bookmarkEnd w:id="5"/>
      <w:r>
        <w:rPr>
          <w:rFonts w:ascii="Times New Roman" w:hAnsi="Times New Roman"/>
          <w:sz w:val="20"/>
        </w:rPr>
        <w:t>On April 26, 2010, Oil-Dri Corporation of America (the “Registrant”) entered into a stock purchase plan with Morgan Stanley Smith Barney, LLC (the “Plan”) pursuant to which the Registrant may repurchase shares of its Common Stock, par value $.10 per share, under previously disclosed repurchase authorization from its Board of Directors.  The Plan has been structured in accordance with Rule 10b5-1 under the Securities Exchange Act of 1934, as amended (the “Exchange Act”).  The Registrant may modify or terminate the Plan, subject to compliance with applicable securities laws, or enter into similar stock purchase plans from time to time in the future.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 w:name="TAB11"/>
      <w:bookmarkEnd w:id="6"/>
      <w:r>
        <w:rPr>
          <w:rFonts w:ascii="Times New Roman" w:hAnsi="Times New Roman"/>
          <w:sz w:val="20"/>
        </w:rPr>
        <w:t>The Plan is effective from May 10, 2010 through June 10, 2010 (inclusive of both dates), and provides for the Registrant’s repurchase of shares of Common Stock in open market and block transactions that satisfy certain price and volume limitations specified in the Plan.  The Plan also requires that all repurchases satisfy the “safe harbor” conditions of Rule 10b-18 under the Exchange Act.  There can be no assurance that any shares will in fact be repurchased by the Registrant under the Plan or otherwise.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 w:name="PGBRK"/>
      <w:bookmarkStart w:id="8" w:name="PGBRK"/>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FTR"/>
      <w:bookmarkStart w:id="10" w:name="FT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 w:name="GLFTR"/>
      <w:bookmarkEnd w:id="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 w:name="PN"/>
      <w:bookmarkEnd w:id="12"/>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HDR"/>
      <w:bookmarkStart w:id="14" w:name="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 w:name="GLHDR"/>
      <w:bookmarkEnd w:id="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April 30, 2010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1"/>
      <w:bookmarkStart w:id="17" w:name="PGBRK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1"/>
      <w:bookmarkStart w:id="19" w:name="FT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 w:name="GLFTR1"/>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 w:name="PN1"/>
      <w:bookmarkEnd w:id="2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HDR1"/>
      <w:bookmarkStart w:id="23" w:name="HD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 w:name="GLHDR1"/>
      <w:bookmarkEnd w:id="24"/>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430</Words>
  <CharactersWithSpaces>2836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