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Quarterly Period Ended October 31, 2021</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160"/>
          </w:cols>
          <w:pgMar w:left="320" w:top="1286" w:right="419" w:bottom="1440" w:gutter="0" w:footer="0" w:header="0"/>
        </w:sectPr>
      </w:pPr>
    </w:p>
    <w:p>
      <w:pPr>
        <w:spacing w:after="0" w:line="84"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286" w:right="419" w:bottom="1440" w:gutter="0" w:footer="0" w:header="0"/>
          <w:type w:val="continuous"/>
        </w:sectPr>
      </w:pP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5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286" w:right="419" w:bottom="1440" w:gutter="0" w:footer="0" w:header="0"/>
          <w:type w:val="continuous"/>
        </w:sectPr>
      </w:pPr>
    </w:p>
    <w:p>
      <w:pPr>
        <w:spacing w:after="0" w:line="103"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Large Accelerated</w:t>
      </w:r>
    </w:p>
    <w:p>
      <w:pPr>
        <w:spacing w:after="0" w:line="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73" w:lineRule="exact"/>
        <w:rPr>
          <w:sz w:val="24"/>
          <w:szCs w:val="24"/>
          <w:color w:val="auto"/>
        </w:rPr>
      </w:pPr>
    </w:p>
    <w:p>
      <w:pPr>
        <w:sectPr>
          <w:pgSz w:w="11900" w:h="16838" w:orient="portrait"/>
          <w:cols w:equalWidth="0" w:num="5">
            <w:col w:w="2620" w:space="440"/>
            <w:col w:w="1380" w:space="200"/>
            <w:col w:w="1720" w:space="60"/>
            <w:col w:w="1320" w:space="460"/>
            <w:col w:w="2960"/>
          </w:cols>
          <w:pgMar w:left="320" w:top="1286" w:right="41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286"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3980" w:space="720"/>
            <w:col w:w="1440" w:space="660"/>
            <w:col w:w="4360"/>
          </w:cols>
          <w:pgMar w:left="320" w:top="1286" w:right="41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780" w:space="720"/>
            <w:col w:w="1160" w:space="720"/>
            <w:col w:w="4780"/>
          </w:cols>
          <w:pgMar w:left="320" w:top="1286" w:right="4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2021.</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5,369,099 Shares and Class B Stock – 2,045,415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6"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Arial" w:cs="Arial" w:eastAsia="Arial" w:hAnsi="Arial"/>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00" w:type="dxa"/>
            <w:vAlign w:val="bottom"/>
            <w:gridSpan w:val="5"/>
            <w:shd w:val="clear" w:color="auto" w:fill="CCEEFF"/>
          </w:tcPr>
          <w:p>
            <w:pPr>
              <w:jc w:val="center"/>
              <w:ind w:left="143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Risk Factors</w:t>
            </w:r>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2021.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“Oil-Dri”, “Ultra-Clear” and “Agsorb”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October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Accounts receivable, less allowance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43,082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40,923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$1,262 and $1,174 at October 31, 2021 and July 31, 2021, respectively</w:t>
            </w: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Prepaid repairs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intangibles, net of accumulated amortization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$421 and $385 at October 31, 2021 and July 31, 2021, respectively</w:t>
            </w: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of $7,392 and $7,321 at October 31, 2021 and July 31, 2021, respectively</w:t>
            </w: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0"/>
              </w:rPr>
              <w:t>October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23,746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38,506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7,884</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$116 and $122 at October 31, 2021 and July 31, 2021, respectively</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29,081</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Common Stock, par value $.10 per share, issued 8,635,968 shares at October 31, 2021</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and 8,561,311 shares at July 31, 2021</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color w:val="auto"/>
              </w:rPr>
              <w:t>Class B Stock, par value $.10 per share, issued 2,397,056 shares at October 31, 2021</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ind w:left="100"/>
              <w:spacing w:after="0"/>
              <w:rPr>
                <w:sz w:val="20"/>
                <w:szCs w:val="20"/>
                <w:color w:val="auto"/>
              </w:rPr>
            </w:pPr>
            <w:r>
              <w:rPr>
                <w:rFonts w:ascii="Arial" w:cs="Arial" w:eastAsia="Arial" w:hAnsi="Arial"/>
                <w:sz w:val="18"/>
                <w:szCs w:val="18"/>
                <w:color w:val="auto"/>
              </w:rPr>
              <w:t>and 2,397,056 shares at July 31, 2021</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49,377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179,164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180,443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Arial" w:cs="Arial" w:eastAsia="Arial" w:hAnsi="Arial"/>
                <w:sz w:val="18"/>
                <w:szCs w:val="18"/>
                <w:color w:val="auto"/>
              </w:rPr>
              <w:t>Less Treasury Stock, at cost (3,266,869 Common and 351,641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(68,922)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(66,154)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October 31, 2021 and 3,192,702 Common and 346,491 Class B shares at July 31, 2021)</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156,301</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223,888</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82,460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(68,642)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(57,317)</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1,926</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1,978</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0.2700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0.1950</w:t>
            </w:r>
          </w:p>
        </w:tc>
      </w:tr>
    </w:tbl>
    <w:p>
      <w:pPr>
        <w:spacing w:after="0" w:line="296" w:lineRule="exact"/>
        <w:rPr>
          <w:sz w:val="20"/>
          <w:szCs w:val="20"/>
          <w:color w:val="auto"/>
        </w:rPr>
      </w:pPr>
    </w:p>
    <w:p>
      <w:pPr>
        <w:ind w:right="40" w:firstLine="8"/>
        <w:spacing w:after="0" w:line="54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1 of the Notes to the unaudited Condensed Consolidated Financial Statements for further information about amounts included in this line item The accompanying notes are an integral part of the Condensed Consolidated Financial Statements.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37"/>
        </w:trPr>
        <w:tc>
          <w:tcPr>
            <w:tcW w:w="8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57"/>
        </w:trPr>
        <w:tc>
          <w:tcPr>
            <w:tcW w:w="8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20"/>
          </w:cols>
          <w:pgMar w:left="320" w:top="891" w:right="35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027"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8"/>
          </w:tcPr>
          <w:p>
            <w:pPr>
              <w:jc w:val="center"/>
              <w:ind w:left="259"/>
              <w:spacing w:after="0"/>
              <w:rPr>
                <w:sz w:val="20"/>
                <w:szCs w:val="20"/>
                <w:color w:val="auto"/>
              </w:rPr>
            </w:pPr>
            <w:r>
              <w:rPr>
                <w:rFonts w:ascii="Arial" w:cs="Arial" w:eastAsia="Arial" w:hAnsi="Arial"/>
                <w:sz w:val="12"/>
                <w:szCs w:val="12"/>
                <w:b w:val="1"/>
                <w:bCs w:val="1"/>
                <w:color w:val="auto"/>
                <w:w w:val="93"/>
              </w:rPr>
              <w:t>For the Three Months Ended October 31</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2"/>
                <w:szCs w:val="12"/>
                <w:b w:val="1"/>
                <w:bCs w:val="1"/>
                <w:color w:val="auto"/>
                <w:w w:val="94"/>
              </w:rPr>
              <w:t>(unaudited)</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960" w:type="dxa"/>
            <w:vAlign w:val="bottom"/>
            <w:gridSpan w:val="4"/>
          </w:tcPr>
          <w:p>
            <w:pPr>
              <w:ind w:left="480"/>
              <w:spacing w:after="0"/>
              <w:rPr>
                <w:sz w:val="20"/>
                <w:szCs w:val="20"/>
                <w:color w:val="auto"/>
              </w:rPr>
            </w:pPr>
            <w:r>
              <w:rPr>
                <w:rFonts w:ascii="Arial" w:cs="Arial" w:eastAsia="Arial" w:hAnsi="Arial"/>
                <w:sz w:val="12"/>
                <w:szCs w:val="12"/>
                <w:color w:val="auto"/>
              </w:rPr>
              <w:t>Number of Shares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2"/>
                <w:szCs w:val="12"/>
                <w:color w:val="auto"/>
                <w:w w:val="92"/>
              </w:rPr>
              <w:t>Common &amp; Class</w:t>
            </w: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color w:val="auto"/>
                <w:w w:val="96"/>
              </w:rPr>
              <w:t>Common &amp;</w:t>
            </w: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2"/>
                <w:szCs w:val="12"/>
                <w:color w:val="auto"/>
                <w:w w:val="95"/>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auto"/>
              </w:rPr>
              <w:t>Retained</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220"/>
              <w:spacing w:after="0" w:line="111" w:lineRule="exact"/>
              <w:rPr>
                <w:sz w:val="20"/>
                <w:szCs w:val="20"/>
                <w:color w:val="auto"/>
              </w:rPr>
            </w:pPr>
            <w:r>
              <w:rPr>
                <w:rFonts w:ascii="Arial" w:cs="Arial" w:eastAsia="Arial" w:hAnsi="Arial"/>
                <w:sz w:val="12"/>
                <w:szCs w:val="12"/>
                <w:color w:val="auto"/>
                <w:w w:val="93"/>
              </w:rPr>
              <w:t>Accumulated Other</w:t>
            </w:r>
          </w:p>
        </w:tc>
        <w:tc>
          <w:tcPr>
            <w:tcW w:w="1040" w:type="dxa"/>
            <w:vAlign w:val="bottom"/>
            <w:gridSpan w:val="3"/>
            <w:vMerge w:val="restart"/>
          </w:tcPr>
          <w:p>
            <w:pPr>
              <w:ind w:left="60"/>
              <w:spacing w:after="0"/>
              <w:rPr>
                <w:sz w:val="20"/>
                <w:szCs w:val="20"/>
                <w:color w:val="auto"/>
              </w:rPr>
            </w:pPr>
            <w:r>
              <w:rPr>
                <w:rFonts w:ascii="Arial" w:cs="Arial" w:eastAsia="Arial" w:hAnsi="Arial"/>
                <w:sz w:val="12"/>
                <w:szCs w:val="12"/>
                <w:color w:val="auto"/>
              </w:rPr>
              <w:t>Non-controlling</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color w:val="auto"/>
                <w:w w:val="94"/>
              </w:rPr>
              <w:t>Total Stockholders'</w:t>
            </w: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2"/>
                <w:szCs w:val="12"/>
                <w:color w:val="auto"/>
              </w:rPr>
              <w:t>Treasury Stock</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2"/>
                <w:szCs w:val="12"/>
                <w:color w:val="auto"/>
              </w:rPr>
              <w:t>Treasury Stock</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2"/>
                <w:szCs w:val="12"/>
                <w:color w:val="auto"/>
                <w:w w:val="90"/>
              </w:rPr>
              <w:t>Comprehensive</w:t>
            </w:r>
          </w:p>
        </w:tc>
        <w:tc>
          <w:tcPr>
            <w:tcW w:w="104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B Stock</w:t>
            </w:r>
          </w:p>
        </w:tc>
        <w:tc>
          <w:tcPr>
            <w:tcW w:w="920" w:type="dxa"/>
            <w:vAlign w:val="bottom"/>
            <w:gridSpan w:val="2"/>
            <w:vMerge w:val="continue"/>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2"/>
                <w:szCs w:val="12"/>
                <w:color w:val="auto"/>
                <w:w w:val="90"/>
              </w:rPr>
              <w:t>Class B Stock</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color w:val="auto"/>
                <w:w w:val="94"/>
              </w:rPr>
              <w:t>In Capital</w:t>
            </w: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Earnings</w:t>
            </w: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Income</w:t>
            </w: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color w:val="auto"/>
              </w:rPr>
              <w:t>Interest</w:t>
            </w:r>
          </w:p>
        </w:tc>
        <w:tc>
          <w:tcPr>
            <w:tcW w:w="220" w:type="dxa"/>
            <w:vAlign w:val="bottom"/>
          </w:tcPr>
          <w:p>
            <w:pPr>
              <w:spacing w:after="0"/>
              <w:rPr>
                <w:sz w:val="14"/>
                <w:szCs w:val="14"/>
                <w:color w:val="auto"/>
              </w:rPr>
            </w:pP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7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10,886,405</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(3,426,046)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44,993</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176,579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(62,269)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(12,254)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147,964</w:t>
            </w:r>
          </w:p>
        </w:tc>
        <w:tc>
          <w:tcPr>
            <w:tcW w:w="0" w:type="dxa"/>
            <w:vAlign w:val="bottom"/>
          </w:tcPr>
          <w:p>
            <w:pPr>
              <w:spacing w:after="0"/>
              <w:rPr>
                <w:sz w:val="1"/>
                <w:szCs w:val="1"/>
                <w:color w:val="auto"/>
              </w:rPr>
            </w:pPr>
          </w:p>
        </w:tc>
      </w:tr>
      <w:tr>
        <w:trPr>
          <w:trHeight w:val="166"/>
        </w:trPr>
        <w:tc>
          <w:tcPr>
            <w:tcW w:w="204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3,949</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ind w:left="6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660" w:type="dxa"/>
            <w:vAlign w:val="bottom"/>
          </w:tcPr>
          <w:p>
            <w:pPr>
              <w:jc w:val="center"/>
              <w:ind w:left="199"/>
              <w:spacing w:after="0"/>
              <w:rPr>
                <w:sz w:val="20"/>
                <w:szCs w:val="20"/>
                <w:color w:val="auto"/>
              </w:rPr>
            </w:pPr>
            <w:r>
              <w:rPr>
                <w:rFonts w:ascii="Arial" w:cs="Arial" w:eastAsia="Arial" w:hAnsi="Arial"/>
                <w:sz w:val="12"/>
                <w:szCs w:val="12"/>
                <w:color w:val="auto"/>
                <w:w w:val="94"/>
              </w:rPr>
              <w:t>(1,802)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(1,802)</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w:t>
            </w:r>
          </w:p>
        </w:tc>
        <w:tc>
          <w:tcPr>
            <w:tcW w:w="0" w:type="dxa"/>
            <w:vAlign w:val="bottom"/>
          </w:tcPr>
          <w:p>
            <w:pPr>
              <w:spacing w:after="0"/>
              <w:rPr>
                <w:sz w:val="1"/>
                <w:szCs w:val="1"/>
                <w:color w:val="auto"/>
              </w:rPr>
            </w:pPr>
          </w:p>
        </w:tc>
      </w:tr>
      <w:tr>
        <w:trPr>
          <w:trHeight w:val="125"/>
        </w:trPr>
        <w:tc>
          <w:tcPr>
            <w:tcW w:w="2040" w:type="dxa"/>
            <w:vAlign w:val="bottom"/>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33,212</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2"/>
                <w:szCs w:val="12"/>
                <w:b w:val="1"/>
                <w:bCs w:val="1"/>
                <w:color w:val="auto"/>
              </w:rPr>
              <w:t>Balance, October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10,919,617</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(3,453,239)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45,779</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178,761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(63,253)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(11,854)</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150,316</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Arial" w:cs="Arial" w:eastAsia="Arial" w:hAnsi="Arial"/>
                <w:sz w:val="12"/>
                <w:szCs w:val="12"/>
                <w:b w:val="1"/>
                <w:bCs w:val="1"/>
                <w:color w:val="auto"/>
              </w:rPr>
              <w:t>Balance, July 31, 2021</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10,958,367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(3,539,193)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1,096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48,271</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180,443</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(66,154)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(4,117)</w:t>
            </w:r>
          </w:p>
        </w:tc>
        <w:tc>
          <w:tcPr>
            <w:tcW w:w="120" w:type="dxa"/>
            <w:vAlign w:val="bottom"/>
          </w:tcPr>
          <w:p>
            <w:pPr>
              <w:spacing w:after="0"/>
              <w:rPr>
                <w:sz w:val="14"/>
                <w:szCs w:val="14"/>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(307)</w:t>
            </w:r>
          </w:p>
        </w:tc>
        <w:tc>
          <w:tcPr>
            <w:tcW w:w="12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159,232</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199"/>
              <w:spacing w:after="0"/>
              <w:rPr>
                <w:sz w:val="20"/>
                <w:szCs w:val="20"/>
                <w:color w:val="auto"/>
              </w:rPr>
            </w:pPr>
            <w:r>
              <w:rPr>
                <w:rFonts w:ascii="Arial" w:cs="Arial" w:eastAsia="Arial" w:hAnsi="Arial"/>
                <w:sz w:val="12"/>
                <w:szCs w:val="12"/>
                <w:color w:val="auto"/>
                <w:w w:val="94"/>
              </w:rPr>
              <w:t>(1,864)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Arial" w:cs="Arial" w:eastAsia="Arial" w:hAnsi="Arial"/>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(65,767)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(2,291)</w:t>
            </w: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74,657</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(13,550)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Arial" w:cs="Arial" w:eastAsia="Arial" w:hAnsi="Arial"/>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636</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October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11,033,024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(3,618,510)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49,377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179,164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(68,922)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156,301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For the 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October 31,</w:t>
            </w: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5"/>
                <w:szCs w:val="15"/>
                <w:color w:val="auto"/>
              </w:rPr>
            </w:pPr>
          </w:p>
        </w:tc>
        <w:tc>
          <w:tcPr>
            <w:tcW w:w="110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Non-cash 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Provision for bad debts and cash discounts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 (Gain) on the disposals of property, plant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(Increase) Decrease in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(5,084)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Arial" w:cs="Arial" w:eastAsia="Arial" w:hAnsi="Arial"/>
                <w:sz w:val="18"/>
                <w:szCs w:val="18"/>
                <w:b w:val="1"/>
                <w:bCs w:val="1"/>
                <w:color w:val="auto"/>
              </w:rPr>
              <w:t>Total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(6,736)</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Dividends paid</w:t>
            </w:r>
          </w:p>
        </w:tc>
        <w:tc>
          <w:tcPr>
            <w:tcW w:w="428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(1,865)</w:t>
            </w: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(11,536)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24,591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13,055</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jc w:val="right"/>
              <w:ind w:right="264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3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October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accrued, but not paid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4"/>
        </w:trPr>
        <w:tc>
          <w:tcPr>
            <w:tcW w:w="8280" w:type="dxa"/>
            <w:vAlign w:val="bottom"/>
          </w:tcPr>
          <w:p>
            <w:pPr>
              <w:ind w:left="220"/>
              <w:spacing w:after="0"/>
              <w:rPr>
                <w:sz w:val="20"/>
                <w:szCs w:val="20"/>
                <w:color w:val="auto"/>
              </w:rPr>
            </w:pPr>
            <w:r>
              <w:rPr>
                <w:rFonts w:ascii="Arial" w:cs="Arial" w:eastAsia="Arial" w:hAnsi="Arial"/>
                <w:sz w:val="18"/>
                <w:szCs w:val="18"/>
                <w:color w:val="auto"/>
              </w:rPr>
              <w:t>Cash dividends declared and accrued, but not paid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1,864</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920" w:firstLine="8"/>
        <w:spacing w:after="0" w:line="53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2021 included in our Annual Report on Form 10-K filed with the SEC.</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2021 are not necessarily an indication of the results that may be expected for the fiscal year ending July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 financial statements have been reclassified to conform to the presentation of the current period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immaterial reclassifications had no effect on the previously reported net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Immaterial Correction of an Error in Previously Issued Financial Statements</w:t>
      </w:r>
    </w:p>
    <w:p>
      <w:pPr>
        <w:spacing w:after="0" w:line="31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Subsequent to the issuance of our Annual Report on Form 10-K for the fiscal year ended July 31, 2020, we identified an error in our historical financial statements related to the classification of certain costs as selling, general and administrative expenses relating to the production of our inventory that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accordance with FASB Accounting Standards Codification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we evaluated the materiality of the error from both a quantitative and qualitative perspective, and concluded that the error was immaterial to our prior period interim and annual financial statements. Since the error was not material to any prior period interim or annual financial statements, no amendments to previously filed interim or annual periodic reports are required. Consequently, we have adjusted for these errors by revising our historical condensed consolidated financial statements presented herein. The revision to our historical condensed consolidated financial statements did not result in any impact to our consolidated net income.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effects of the corrections to each of the individual affected line items in our unaudited Condensed Consolidated Statements of Income were as follows (in thousands):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6"/>
          </w:tcPr>
          <w:p>
            <w:pPr>
              <w:jc w:val="center"/>
              <w:ind w:left="1390"/>
              <w:spacing w:after="0"/>
              <w:rPr>
                <w:sz w:val="20"/>
                <w:szCs w:val="20"/>
                <w:color w:val="auto"/>
              </w:rPr>
            </w:pPr>
            <w:r>
              <w:rPr>
                <w:rFonts w:ascii="Arial" w:cs="Arial" w:eastAsia="Arial" w:hAnsi="Arial"/>
                <w:sz w:val="18"/>
                <w:szCs w:val="18"/>
                <w:b w:val="1"/>
                <w:bCs w:val="1"/>
                <w:color w:val="auto"/>
                <w:w w:val="91"/>
              </w:rPr>
              <w:t>For the Three Months Ended October 31, 2020</w:t>
            </w:r>
          </w:p>
        </w:tc>
        <w:tc>
          <w:tcPr>
            <w:tcW w:w="164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Previously Reported</w:t>
            </w: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Corrections</w:t>
            </w:r>
          </w:p>
        </w:tc>
        <w:tc>
          <w:tcPr>
            <w:tcW w:w="580" w:type="dxa"/>
            <w:vAlign w:val="bottom"/>
          </w:tcPr>
          <w:p>
            <w:pPr>
              <w:spacing w:after="0"/>
              <w:rPr>
                <w:sz w:val="19"/>
                <w:szCs w:val="19"/>
                <w:color w:val="auto"/>
              </w:rPr>
            </w:pPr>
          </w:p>
        </w:tc>
        <w:tc>
          <w:tcPr>
            <w:tcW w:w="1640" w:type="dxa"/>
            <w:vAlign w:val="bottom"/>
          </w:tcPr>
          <w:p>
            <w:pPr>
              <w:jc w:val="right"/>
              <w:ind w:right="510"/>
              <w:spacing w:after="0"/>
              <w:rPr>
                <w:sz w:val="20"/>
                <w:szCs w:val="20"/>
                <w:color w:val="auto"/>
              </w:rPr>
            </w:pPr>
            <w:r>
              <w:rPr>
                <w:rFonts w:ascii="Arial" w:cs="Arial" w:eastAsia="Arial" w:hAnsi="Arial"/>
                <w:sz w:val="18"/>
                <w:szCs w:val="18"/>
                <w:b w:val="1"/>
                <w:bCs w:val="1"/>
                <w:color w:val="auto"/>
                <w:w w:val="90"/>
              </w:rPr>
              <w:t>As Corrected</w:t>
            </w:r>
          </w:p>
        </w:tc>
      </w:tr>
      <w:tr>
        <w:trPr>
          <w:trHeight w:val="224"/>
        </w:trPr>
        <w:tc>
          <w:tcPr>
            <w:tcW w:w="43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(57,317)</w:t>
            </w:r>
          </w:p>
        </w:tc>
      </w:tr>
      <w:tr>
        <w:trPr>
          <w:trHeight w:val="337"/>
        </w:trPr>
        <w:tc>
          <w:tcPr>
            <w:tcW w:w="43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(13,603)</w:t>
            </w:r>
          </w:p>
        </w:tc>
      </w:tr>
    </w:tbl>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related impacts to Inventory in our unaudited Condensed Consolidated Balance Sheet were not considered material and hence, were not adjusted. The effects of the corrections to our Notes to the unaudited Condensed Consolidated Financial Statements for Operating Segments were as follows (in thousands):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7"/>
          </w:tcPr>
          <w:p>
            <w:pPr>
              <w:jc w:val="center"/>
              <w:ind w:right="450"/>
              <w:spacing w:after="0"/>
              <w:rPr>
                <w:sz w:val="20"/>
                <w:szCs w:val="20"/>
                <w:color w:val="auto"/>
              </w:rPr>
            </w:pPr>
            <w:r>
              <w:rPr>
                <w:rFonts w:ascii="Arial" w:cs="Arial" w:eastAsia="Arial" w:hAnsi="Arial"/>
                <w:sz w:val="18"/>
                <w:szCs w:val="18"/>
                <w:b w:val="1"/>
                <w:bCs w:val="1"/>
                <w:color w:val="auto"/>
                <w:w w:val="91"/>
              </w:rPr>
              <w:t>For the Three Months Ended October 31, 2020</w:t>
            </w:r>
          </w:p>
        </w:tc>
      </w:tr>
      <w:tr>
        <w:trPr>
          <w:trHeight w:val="264"/>
        </w:trPr>
        <w:tc>
          <w:tcPr>
            <w:tcW w:w="3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r>
        <w:trPr>
          <w:trHeight w:val="263"/>
        </w:trPr>
        <w:tc>
          <w:tcPr>
            <w:tcW w:w="3100" w:type="dxa"/>
            <w:vAlign w:val="bottom"/>
          </w:tcPr>
          <w:p>
            <w:pPr>
              <w:spacing w:after="0"/>
              <w:rPr>
                <w:sz w:val="22"/>
                <w:szCs w:val="22"/>
                <w:color w:val="auto"/>
              </w:rPr>
            </w:pP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As Previously Reported</w:t>
            </w:r>
          </w:p>
        </w:tc>
        <w:tc>
          <w:tcPr>
            <w:tcW w:w="24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Corrections</w:t>
            </w:r>
          </w:p>
        </w:tc>
        <w:tc>
          <w:tcPr>
            <w:tcW w:w="200" w:type="dxa"/>
            <w:vAlign w:val="bottom"/>
          </w:tcPr>
          <w:p>
            <w:pPr>
              <w:spacing w:after="0"/>
              <w:rPr>
                <w:sz w:val="22"/>
                <w:szCs w:val="22"/>
                <w:color w:val="auto"/>
              </w:rPr>
            </w:pPr>
          </w:p>
        </w:tc>
        <w:tc>
          <w:tcPr>
            <w:tcW w:w="1460" w:type="dxa"/>
            <w:vAlign w:val="bottom"/>
          </w:tcPr>
          <w:p>
            <w:pPr>
              <w:ind w:left="120"/>
              <w:spacing w:after="0"/>
              <w:rPr>
                <w:sz w:val="20"/>
                <w:szCs w:val="20"/>
                <w:color w:val="auto"/>
              </w:rPr>
            </w:pPr>
            <w:r>
              <w:rPr>
                <w:rFonts w:ascii="Arial" w:cs="Arial" w:eastAsia="Arial" w:hAnsi="Arial"/>
                <w:sz w:val="18"/>
                <w:szCs w:val="18"/>
                <w:b w:val="1"/>
                <w:bCs w:val="1"/>
                <w:color w:val="auto"/>
              </w:rPr>
              <w:t>As Corrected</w:t>
            </w:r>
          </w:p>
        </w:tc>
      </w:tr>
      <w:tr>
        <w:trPr>
          <w:trHeight w:val="263"/>
        </w:trPr>
        <w:tc>
          <w:tcPr>
            <w:tcW w:w="3100" w:type="dxa"/>
            <w:vAlign w:val="bottom"/>
          </w:tcPr>
          <w:p>
            <w:pPr>
              <w:spacing w:after="0"/>
              <w:rPr>
                <w:sz w:val="20"/>
                <w:szCs w:val="20"/>
                <w:color w:val="auto"/>
              </w:rPr>
            </w:pPr>
            <w:r>
              <w:rPr>
                <w:rFonts w:ascii="Arial" w:cs="Arial" w:eastAsia="Arial" w:hAnsi="Arial"/>
                <w:sz w:val="18"/>
                <w:szCs w:val="18"/>
                <w:b w:val="1"/>
                <w:bCs w:val="1"/>
                <w:color w:val="auto"/>
              </w:rPr>
              <w:t>Business to Business Products</w:t>
            </w: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88"/>
              </w:rPr>
              <w:t>8,196</w:t>
            </w:r>
          </w:p>
        </w:tc>
        <w:tc>
          <w:tcPr>
            <w:tcW w:w="16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88"/>
              </w:rPr>
              <w:t>7,600</w:t>
            </w:r>
          </w:p>
        </w:tc>
      </w:tr>
      <w:tr>
        <w:trPr>
          <w:trHeight w:val="324"/>
        </w:trPr>
        <w:tc>
          <w:tcPr>
            <w:tcW w:w="3100" w:type="dxa"/>
            <w:vAlign w:val="bottom"/>
          </w:tcPr>
          <w:p>
            <w:pPr>
              <w:spacing w:after="0"/>
              <w:rPr>
                <w:sz w:val="20"/>
                <w:szCs w:val="20"/>
                <w:color w:val="auto"/>
              </w:rPr>
            </w:pPr>
            <w:r>
              <w:rPr>
                <w:rFonts w:ascii="Arial" w:cs="Arial" w:eastAsia="Arial" w:hAnsi="Arial"/>
                <w:sz w:val="18"/>
                <w:szCs w:val="18"/>
                <w:b w:val="1"/>
                <w:bCs w:val="1"/>
                <w:color w:val="auto"/>
              </w:rPr>
              <w:t>Retail and Wholesale Products</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710"/>
              <w:spacing w:after="0"/>
              <w:rPr>
                <w:sz w:val="20"/>
                <w:szCs w:val="20"/>
                <w:color w:val="auto"/>
              </w:rPr>
            </w:pPr>
            <w:r>
              <w:rPr>
                <w:rFonts w:ascii="Arial" w:cs="Arial" w:eastAsia="Arial" w:hAnsi="Arial"/>
                <w:sz w:val="18"/>
                <w:szCs w:val="18"/>
                <w:color w:val="auto"/>
                <w:w w:val="88"/>
              </w:rPr>
              <w:t>4,478</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810"/>
              <w:spacing w:after="0"/>
              <w:rPr>
                <w:sz w:val="20"/>
                <w:szCs w:val="20"/>
                <w:color w:val="auto"/>
              </w:rPr>
            </w:pPr>
            <w:r>
              <w:rPr>
                <w:rFonts w:ascii="Arial" w:cs="Arial" w:eastAsia="Arial" w:hAnsi="Arial"/>
                <w:sz w:val="18"/>
                <w:szCs w:val="18"/>
                <w:color w:val="auto"/>
                <w:w w:val="88"/>
              </w:rPr>
              <w:t>3,550</w:t>
            </w:r>
          </w:p>
        </w:tc>
      </w:tr>
      <w:tr>
        <w:trPr>
          <w:trHeight w:val="324"/>
        </w:trPr>
        <w:tc>
          <w:tcPr>
            <w:tcW w:w="3100" w:type="dxa"/>
            <w:vAlign w:val="bottom"/>
          </w:tcPr>
          <w:p>
            <w:pPr>
              <w:spacing w:after="0"/>
              <w:rPr>
                <w:sz w:val="20"/>
                <w:szCs w:val="20"/>
                <w:color w:val="auto"/>
              </w:rPr>
            </w:pPr>
            <w:r>
              <w:rPr>
                <w:rFonts w:ascii="Arial" w:cs="Arial" w:eastAsia="Arial" w:hAnsi="Arial"/>
                <w:sz w:val="18"/>
                <w:szCs w:val="18"/>
                <w:b w:val="1"/>
                <w:bCs w:val="1"/>
                <w:color w:val="auto"/>
              </w:rPr>
              <w:t>Corporate Expenses</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670"/>
              <w:spacing w:after="0"/>
              <w:rPr>
                <w:sz w:val="20"/>
                <w:szCs w:val="20"/>
                <w:color w:val="auto"/>
              </w:rPr>
            </w:pPr>
            <w:r>
              <w:rPr>
                <w:rFonts w:ascii="Arial" w:cs="Arial" w:eastAsia="Arial" w:hAnsi="Arial"/>
                <w:sz w:val="18"/>
                <w:szCs w:val="18"/>
                <w:color w:val="auto"/>
                <w:w w:val="91"/>
              </w:rPr>
              <w:t>(7,497)</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770"/>
              <w:spacing w:after="0"/>
              <w:rPr>
                <w:sz w:val="20"/>
                <w:szCs w:val="20"/>
                <w:color w:val="auto"/>
              </w:rPr>
            </w:pPr>
            <w:r>
              <w:rPr>
                <w:rFonts w:ascii="Arial" w:cs="Arial" w:eastAsia="Arial" w:hAnsi="Arial"/>
                <w:sz w:val="18"/>
                <w:szCs w:val="18"/>
                <w:color w:val="auto"/>
                <w:w w:val="91"/>
              </w:rPr>
              <w:t>(5,973)</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Estimates and assumptions about future events cannot be made with certainty, including the potential impacts and duration of the novel coronavirus pandemic (“the coronavirus” or “COVID-19”) and its aftermath. All of our estimates and assumptions are revised periodically. Actual results could differ from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which are detailed in our Annual Report on Form 10-K for the fiscal year ended July 31, 2021, have not materially changed. The following is a description of certain of our significant accounting policies.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control of finished products are transferred to our customers. We record an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doubtful accounts based on our historical experience and a periodic review of our accounts receivable, 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provides that a contract is, or contains, a lease if it conveys the right to control the use of an identified asset and, accordingly, a</w:t>
      </w:r>
      <w:r>
        <w:rPr>
          <w:rFonts w:ascii="Arial" w:cs="Arial" w:eastAsia="Arial" w:hAnsi="Arial"/>
          <w:sz w:val="16"/>
          <w:szCs w:val="16"/>
          <w:b w:val="1"/>
          <w:bCs w:val="1"/>
          <w:color w:val="auto"/>
        </w:rPr>
        <w:t xml:space="preserve"> </w:t>
      </w:r>
      <w:r>
        <w:rPr>
          <w:rFonts w:ascii="Arial" w:cs="Arial" w:eastAsia="Arial" w:hAnsi="Arial"/>
          <w:sz w:val="16"/>
          <w:szCs w:val="16"/>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performance obligations under the terms of the contracts with customers are satisfied. Our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$539,000 and $256,000 as of October 31, 2021 and July 31, 2021, respectively. This liability is reported in Other within Accrued Expenses on the unaudited Condensed Consolidated Balance Sheet. Revenue recognized during the three months ended October 31, 2021 that was included in the liability for advance payments at the beginning of the period was $157,000.</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Other Current and Noncurrent Liabilities. </w:t>
      </w:r>
      <w:r>
        <w:rPr>
          <w:rFonts w:ascii="Arial" w:cs="Arial" w:eastAsia="Arial" w:hAnsi="Arial"/>
          <w:sz w:val="17"/>
          <w:szCs w:val="17"/>
          <w:color w:val="auto"/>
        </w:rPr>
        <w:t>On March 27, 2020, in response to the COVID-19 pandemic, the Coronavirus Aid, Relief, and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Act (the “CARES Act”) was signed into U.S. law. The CARES Act provides for, among other things, deferral of the employer portion of social security taxes incurred through the end of calendar 2020. As permitted by the CARES Act, we deferred approximately $2,300,000 in payroll taxes in calendar year 2020. The $2,300,000 will be paid equally in the fourth quarters of calendar years 2021 and 2022; $1,150,000 in 2021 and $1,150,000 in 2022. The current portion of the accrual for these payroll taxes is included in Other within Accrued Expenses and the noncurrent portion of the accrual is included in Other within Noncurrent Liabilities on the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NEW ACCOUNTING PRONOUNCEMENTS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guidance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The adoption of this guidance on August 1, 2021 was not material to our unaudited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29"/>
        </w:trPr>
        <w:tc>
          <w:tcPr>
            <w:tcW w:w="188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5,084</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28,692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r>
      <w:tr>
        <w:trPr>
          <w:trHeight w:val="20"/>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Inventories are valued at the lower of cost (first-in, first-out) or net realizable value. Inventory costs include the cost of raw materials, packaging supplies, labor and other overhead costs. The inventory obsolescence reserve values at October 31, 2021 and July 31, 2021 were $621,000 and $641,000, respectively. Inventories, in all categories, have increased due to a combination of rising costs and building inventory levels for anticipated demand.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are primarily money market mutual funds classified as Level 1. We had no cash equivalents as of October 31, 2021 and July 31, 2021.</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October 31, 2021 and July 31, 2021 due to the short maturity and nature of those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$10,266,000 and $10,231,000 as of October 31, 2021 and July 31, 2021, respectively, and are classified as Level 2. The fair value was estimated using the exit price notion of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$115,000 and $155,000 in the first three months of fiscal years 2022 and 2021, respectively. Estimated intangible amortization for the remainder of fiscal year 2022 is $370,000. Estimated intangible amortization for the next five fiscal years is as follows (in thousands):</w:t>
      </w:r>
    </w:p>
    <w:p>
      <w:pPr>
        <w:spacing w:after="0" w:line="103" w:lineRule="exact"/>
        <w:rPr>
          <w:sz w:val="20"/>
          <w:szCs w:val="20"/>
          <w:color w:val="auto"/>
        </w:rPr>
      </w:pPr>
    </w:p>
    <w:tbl>
      <w:tblPr>
        <w:tblLayout w:type="fixed"/>
        <w:tblInd w:w="4400" w:type="dxa"/>
        <w:tblCellMar>
          <w:top w:w="0" w:type="dxa"/>
          <w:left w:w="0" w:type="dxa"/>
          <w:bottom w:w="0" w:type="dxa"/>
          <w:right w:w="0" w:type="dxa"/>
        </w:tblCellMar>
      </w:tblP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2024</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2025</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2026</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2027</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performed our annual goodwill impairment analysis in the fourth quarter of fiscal year 2021 and no impairment was identified. There have been no triggering events that would indicate a new impairment analysis is needed. </w:t>
      </w:r>
      <w:r>
        <w:rPr>
          <w:rFonts w:ascii="Arial" w:cs="Arial" w:eastAsia="Arial" w:hAnsi="Arial"/>
          <w:sz w:val="18"/>
          <w:szCs w:val="18"/>
          <w:color w:val="212529"/>
        </w:rPr>
        <w:t>A</w:t>
      </w:r>
      <w:r>
        <w:rPr>
          <w:rFonts w:ascii="Arial" w:cs="Arial" w:eastAsia="Arial" w:hAnsi="Arial"/>
          <w:sz w:val="18"/>
          <w:szCs w:val="18"/>
          <w:color w:val="auto"/>
        </w:rPr>
        <w:t>lthough we have not identified any triggering events relating to goodwill or our intangibles, the ultimate effects of COVID-19 could change this assessment in the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0"/>
        </w:trPr>
        <w:tc>
          <w:tcPr>
            <w:tcW w:w="17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10,806</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1,653</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2,845</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Real Estate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1,386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8,577</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24,883</w:t>
            </w:r>
          </w:p>
        </w:tc>
      </w:tr>
      <w:tr>
        <w:trPr>
          <w:trHeight w:val="21"/>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salaries, wages, commissions and employee benefits relates primarily to the payment of annual discretionary bonuses during the first quarter of fiscal year 2022. The accrual for other is higher at October 31, 2021 than July 31, 2021 due to an increase in professional fees, accrual for rising natural gas costs and timing of certain plant accruals.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CONTINGENCIES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have determined a reasonable estimate of this liability within a range, with no amount within that range being a better estimate than any other amount, and have therefore recorded that estimate in Other within Accrued expenses. There have been no changes during fiscal 2021 or the three months ended October 31, 2021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first quarter of fiscal year 2022. Operating lease costs are included in Cost of Sales or SG&amp;A expenses based on the nature of the lease. The following table summarizes total lease costs for our operating leases (in thousands):</w:t>
      </w:r>
    </w:p>
    <w:p>
      <w:pPr>
        <w:spacing w:after="0" w:line="101" w:lineRule="exact"/>
        <w:rPr>
          <w:sz w:val="20"/>
          <w:szCs w:val="20"/>
          <w:color w:val="auto"/>
        </w:rPr>
      </w:pPr>
    </w:p>
    <w:p>
      <w:pPr>
        <w:jc w:val="center"/>
        <w:ind w:left="2460"/>
        <w:spacing w:after="0"/>
        <w:rPr>
          <w:sz w:val="20"/>
          <w:szCs w:val="20"/>
          <w:color w:val="auto"/>
        </w:rPr>
      </w:pPr>
      <w:r>
        <w:rPr>
          <w:rFonts w:ascii="Arial" w:cs="Arial" w:eastAsia="Arial" w:hAnsi="Arial"/>
          <w:sz w:val="18"/>
          <w:szCs w:val="18"/>
          <w:b w:val="1"/>
          <w:bCs w:val="1"/>
          <w:color w:val="auto"/>
        </w:rPr>
        <w:t>For the Three Months Ended</w:t>
      </w:r>
    </w:p>
    <w:p>
      <w:pPr>
        <w:jc w:val="center"/>
        <w:ind w:left="246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4445</wp:posOffset>
            </wp:positionV>
            <wp:extent cx="16719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10"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2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634</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6" w:lineRule="exact"/>
              <w:rPr>
                <w:sz w:val="20"/>
                <w:szCs w:val="20"/>
                <w:color w:val="auto"/>
              </w:rPr>
            </w:pPr>
            <w:r>
              <w:rPr>
                <w:rFonts w:ascii="Arial" w:cs="Arial" w:eastAsia="Arial" w:hAnsi="Arial"/>
                <w:sz w:val="18"/>
                <w:szCs w:val="18"/>
                <w:color w:val="auto"/>
              </w:rPr>
              <w:t>Short-term operating lease</w:t>
            </w:r>
          </w:p>
        </w:tc>
        <w:tc>
          <w:tcPr>
            <w:tcW w:w="102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149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cost</w:t>
            </w:r>
          </w:p>
        </w:tc>
        <w:tc>
          <w:tcPr>
            <w:tcW w:w="10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42" w:lineRule="exact"/>
        <w:rPr>
          <w:sz w:val="20"/>
          <w:szCs w:val="20"/>
          <w:color w:val="auto"/>
        </w:rPr>
      </w:pPr>
    </w:p>
    <w:p>
      <w:pPr>
        <w:jc w:val="center"/>
        <w:ind w:left="4380"/>
        <w:spacing w:after="0"/>
        <w:rPr>
          <w:sz w:val="20"/>
          <w:szCs w:val="20"/>
          <w:color w:val="auto"/>
        </w:rPr>
      </w:pPr>
      <w:r>
        <w:rPr>
          <w:rFonts w:ascii="Arial" w:cs="Arial" w:eastAsia="Arial" w:hAnsi="Arial"/>
          <w:sz w:val="18"/>
          <w:szCs w:val="18"/>
          <w:b w:val="1"/>
          <w:bCs w:val="1"/>
          <w:color w:val="auto"/>
        </w:rPr>
        <w:t>For the Three Months Ended</w:t>
      </w:r>
    </w:p>
    <w:p>
      <w:pPr>
        <w:jc w:val="center"/>
        <w:ind w:left="43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4445</wp:posOffset>
            </wp:positionV>
            <wp:extent cx="1585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0" w:lineRule="exact"/>
        <w:rPr>
          <w:sz w:val="20"/>
          <w:szCs w:val="20"/>
          <w:color w:val="auto"/>
        </w:rPr>
      </w:pPr>
    </w:p>
    <w:p>
      <w:pPr>
        <w:ind w:left="6980"/>
        <w:spacing w:after="0"/>
        <w:tabs>
          <w:tab w:leader="none" w:pos="82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1663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wp:posOffset>
            </wp:positionV>
            <wp:extent cx="43802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80230" cy="274320"/>
                    </a:xfrm>
                    <a:prstGeom prst="rect">
                      <a:avLst/>
                    </a:prstGeom>
                    <a:noFill/>
                  </pic:spPr>
                </pic:pic>
              </a:graphicData>
            </a:graphic>
          </wp:anchor>
        </w:drawing>
      </w:r>
    </w:p>
    <w:p>
      <w:pPr>
        <w:spacing w:after="0" w:line="1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Cash paid for amounts included in the measurement of</w:t>
      </w:r>
    </w:p>
    <w:p>
      <w:pPr>
        <w:ind w:left="2200"/>
        <w:spacing w:after="0"/>
        <w:rPr>
          <w:sz w:val="20"/>
          <w:szCs w:val="20"/>
          <w:color w:val="auto"/>
        </w:rPr>
      </w:pPr>
      <w:r>
        <w:rPr>
          <w:rFonts w:ascii="Arial" w:cs="Arial" w:eastAsia="Arial" w:hAnsi="Arial"/>
          <w:sz w:val="18"/>
          <w:szCs w:val="18"/>
          <w:color w:val="auto"/>
        </w:rPr>
        <w:t>lease liabilities:</w:t>
      </w:r>
    </w:p>
    <w:p>
      <w:pPr>
        <w:spacing w:after="0" w:line="43" w:lineRule="exact"/>
        <w:rPr>
          <w:sz w:val="20"/>
          <w:szCs w:val="20"/>
          <w:color w:val="auto"/>
        </w:rPr>
      </w:pPr>
    </w:p>
    <w:p>
      <w:pPr>
        <w:ind w:left="2280"/>
        <w:spacing w:after="0"/>
        <w:tabs>
          <w:tab w:leader="none" w:pos="6580" w:val="left"/>
          <w:tab w:leader="none" w:pos="7380" w:val="left"/>
          <w:tab w:leader="none" w:pos="7880" w:val="left"/>
          <w:tab w:leader="none" w:pos="8700" w:val="left"/>
        </w:tabs>
        <w:rPr>
          <w:sz w:val="20"/>
          <w:szCs w:val="20"/>
          <w:color w:val="auto"/>
        </w:rPr>
      </w:pPr>
      <w:r>
        <w:rPr>
          <w:rFonts w:ascii="Arial" w:cs="Arial" w:eastAsia="Arial" w:hAnsi="Arial"/>
          <w:sz w:val="18"/>
          <w:szCs w:val="18"/>
          <w:b w:val="1"/>
          <w:bCs w:val="1"/>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561</w:t>
        <w:tab/>
        <w:t>$</w:t>
      </w:r>
      <w:r>
        <w:rPr>
          <w:sz w:val="20"/>
          <w:szCs w:val="20"/>
          <w:color w:val="auto"/>
        </w:rPr>
        <w:tab/>
      </w:r>
      <w:r>
        <w:rPr>
          <w:rFonts w:ascii="Arial" w:cs="Arial" w:eastAsia="Arial" w:hAnsi="Arial"/>
          <w:sz w:val="15"/>
          <w:szCs w:val="15"/>
          <w:color w:val="auto"/>
        </w:rPr>
        <w:t>602</w:t>
      </w:r>
    </w:p>
    <w:p>
      <w:pPr>
        <w:spacing w:after="0" w:line="3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October 31,</w:t>
            </w: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July 31, 2021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3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9.2 years</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9.1 years</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3.88%</w:t>
            </w: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October 31, (in thousands):</w:t>
      </w:r>
    </w:p>
    <w:p>
      <w:pPr>
        <w:spacing w:after="0" w:line="90" w:lineRule="exact"/>
        <w:rPr>
          <w:sz w:val="20"/>
          <w:szCs w:val="20"/>
          <w:color w:val="auto"/>
        </w:rPr>
      </w:pPr>
    </w:p>
    <w:tbl>
      <w:tblPr>
        <w:tblLayout w:type="fixed"/>
        <w:tblInd w:w="3380" w:type="dxa"/>
        <w:tblCellMar>
          <w:top w:w="0" w:type="dxa"/>
          <w:left w:w="0" w:type="dxa"/>
          <w:bottom w:w="0" w:type="dxa"/>
          <w:right w:w="0" w:type="dxa"/>
        </w:tblCellMar>
      </w:tblP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1,335</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1,097</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5,354</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11,509</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9,530</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Health Benefits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on or after March 1, 2020. On May 4, 2021 we purchased a pension annuity which settled $8.5 million of projected benefit obligations and recognized a settlement loss of approximately $.6 million due to the annuity purchase.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center"/>
        <w:ind w:left="1300"/>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2091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1"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color w:val="auto"/>
        </w:rPr>
        <w:t>For the Three Months Ended October</w:t>
      </w:r>
    </w:p>
    <w:p>
      <w:pPr>
        <w:spacing w:after="0" w:line="12"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31,</w:t>
      </w:r>
    </w:p>
    <w:p>
      <w:pPr>
        <w:sectPr>
          <w:pgSz w:w="11900" w:h="16838" w:orient="portrait"/>
          <w:cols w:equalWidth="0" w:num="1">
            <w:col w:w="11240"/>
          </w:cols>
          <w:pgMar w:left="320" w:top="931" w:right="339" w:bottom="1440" w:gutter="0" w:footer="0" w:header="0"/>
        </w:sect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Expected return on plan assets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actuarial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8"/>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-779145</wp:posOffset>
            </wp:positionV>
            <wp:extent cx="50234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23485" cy="15430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-479425</wp:posOffset>
            </wp:positionV>
            <wp:extent cx="50234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3485"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-187960</wp:posOffset>
            </wp:positionV>
            <wp:extent cx="50234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23485" cy="171450"/>
                    </a:xfrm>
                    <a:prstGeom prst="rect">
                      <a:avLst/>
                    </a:prstGeom>
                    <a:noFill/>
                  </pic:spPr>
                </pic:pic>
              </a:graphicData>
            </a:graphic>
          </wp:anchor>
        </w:drawing>
      </w:r>
    </w:p>
    <w:p>
      <w:pPr>
        <w:spacing w:after="0" w:line="56"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Postretirement Health Benefits</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wp:posOffset>
            </wp:positionV>
            <wp:extent cx="2091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1" w:lineRule="exact"/>
        <w:rPr>
          <w:sz w:val="20"/>
          <w:szCs w:val="20"/>
          <w:color w:val="auto"/>
        </w:rPr>
      </w:pPr>
    </w:p>
    <w:p>
      <w:pPr>
        <w:jc w:val="center"/>
        <w:ind w:right="3320"/>
        <w:spacing w:after="0"/>
        <w:rPr>
          <w:sz w:val="20"/>
          <w:szCs w:val="20"/>
          <w:color w:val="auto"/>
        </w:rPr>
      </w:pPr>
      <w:r>
        <w:rPr>
          <w:rFonts w:ascii="Arial" w:cs="Arial" w:eastAsia="Arial" w:hAnsi="Arial"/>
          <w:sz w:val="17"/>
          <w:szCs w:val="17"/>
          <w:b w:val="1"/>
          <w:bCs w:val="1"/>
          <w:color w:val="auto"/>
        </w:rPr>
        <w:t>For the Three Months Ended October</w:t>
      </w:r>
    </w:p>
    <w:p>
      <w:pPr>
        <w:jc w:val="center"/>
        <w:ind w:right="332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p>
      <w:pPr>
        <w:sectPr>
          <w:pgSz w:w="11900" w:h="16838" w:orient="portrait"/>
          <w:cols w:equalWidth="0" w:num="2">
            <w:col w:w="4140" w:space="720"/>
            <w:col w:w="638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86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13</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service costs</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(1)</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47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three months of fiscal year 2022. We have no minimum funding requirements for the remainder of fiscal year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9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23"/>
        </w:trPr>
        <w:tc>
          <w:tcPr>
            <w:tcW w:w="4320" w:type="dxa"/>
            <w:vAlign w:val="bottom"/>
          </w:tcPr>
          <w:p>
            <w:pPr>
              <w:spacing w:after="0"/>
              <w:rPr>
                <w:sz w:val="19"/>
                <w:szCs w:val="19"/>
                <w:color w:val="auto"/>
              </w:rPr>
            </w:pPr>
          </w:p>
        </w:tc>
        <w:tc>
          <w:tcPr>
            <w:tcW w:w="4740" w:type="dxa"/>
            <w:vAlign w:val="bottom"/>
            <w:tcBorders>
              <w:bottom w:val="single" w:sz="8" w:color="auto"/>
            </w:tcBorders>
            <w:gridSpan w:val="7"/>
          </w:tcPr>
          <w:p>
            <w:pPr>
              <w:ind w:left="1300"/>
              <w:spacing w:after="0"/>
              <w:rPr>
                <w:sz w:val="20"/>
                <w:szCs w:val="20"/>
                <w:color w:val="auto"/>
              </w:rPr>
            </w:pPr>
            <w:r>
              <w:rPr>
                <w:rFonts w:ascii="Arial" w:cs="Arial" w:eastAsia="Arial" w:hAnsi="Arial"/>
                <w:sz w:val="18"/>
                <w:szCs w:val="18"/>
                <w:b w:val="1"/>
                <w:bCs w:val="1"/>
                <w:color w:val="auto"/>
                <w:w w:val="98"/>
              </w:rPr>
              <w:t>For the Three Months Ended October 31,</w:t>
            </w:r>
          </w:p>
        </w:tc>
        <w:tc>
          <w:tcPr>
            <w:tcW w:w="106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7.05%. The graded trend rate is expected to decrease to an ultimate rate of 4.50% in fiscal year 2038.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Oil-Dri Corporation of America Supplemental Executive Retirement Plan (“SERP”) provided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w:t>
      </w:r>
    </w:p>
    <w:p>
      <w:pPr>
        <w:spacing w:after="0" w:line="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 the Code. The SERP liability was actuarially determined at the end of each fiscal year using assumptions similar to those used for the Pension Plan.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On January 9, 2020, we amended the SERP to freeze participation and any excess benefit, supplemental benefit or additional benefit effective March 1, 2020. Consequently, the SERP was closed to new participants and current participants no longer earned additional benefits on or after March 1, 2020. The SERP was terminated effective June 30, 2020 and all participants were paid in the form of one lump sum in July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0"/>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8"/>
                <w:szCs w:val="18"/>
                <w:b w:val="1"/>
                <w:bCs w:val="1"/>
                <w:color w:val="auto"/>
                <w:w w:val="90"/>
              </w:rPr>
              <w:t>For the Three Months Ended October 31,</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4,636</w:t>
            </w: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43,895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40,794</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7,262</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14,505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28,929</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53,531</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48,575</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9"/>
              </w:rPr>
              <w:t>July 31, 2021</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69,057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69,023</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109,052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103,268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45,779</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55,275</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223,888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227,566</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In addition, Income from our Business to Business and Retail and Wholesale Products as well as Corporate Expenses for the three months ended October 31, 2020 were adjusted for an immaterial correction of an error. See Note 1 of the Notes to the unaudited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right="17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28,929</w:t>
            </w:r>
          </w:p>
        </w:tc>
        <w:tc>
          <w:tcPr>
            <w:tcW w:w="6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53,531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3,550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82,460</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October 31, 2021, there were 305,855 shares available for future grants under this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non-vested restricted stock as of October 31, 2021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were 75,000 and 33,000 restricted shares of Common Stock granted during the first quarter of fiscal years 2022 and 2021, respectively. Stock-based compensation expense was $636,000 and $784,000 for the first quarter of fiscal years 2022 and 2021,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October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ACCUMULATED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accumulated other comprehensive (loss) income by component as of October 31, 2021 (in thousands):</w:t>
      </w:r>
    </w:p>
    <w:p>
      <w:pPr>
        <w:spacing w:after="0" w:line="4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Pension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Postretirement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Health Benefits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2"/>
              </w:rPr>
              <w:t>Other comprehensive income before reclassifications,</w:t>
            </w:r>
          </w:p>
        </w:tc>
        <w:tc>
          <w:tcPr>
            <w:tcW w:w="160" w:type="dxa"/>
            <w:vAlign w:val="bottom"/>
          </w:tcPr>
          <w:p>
            <w:pPr>
              <w:spacing w:after="0"/>
              <w:rPr>
                <w:sz w:val="15"/>
                <w:szCs w:val="15"/>
                <w:color w:val="auto"/>
              </w:rPr>
            </w:pPr>
          </w:p>
        </w:tc>
        <w:tc>
          <w:tcPr>
            <w:tcW w:w="1400" w:type="dxa"/>
            <w:vAlign w:val="bottom"/>
            <w:vMerge w:val="restart"/>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ind w:left="1140"/>
              <w:spacing w:after="0"/>
              <w:rPr>
                <w:sz w:val="20"/>
                <w:szCs w:val="20"/>
                <w:color w:val="auto"/>
              </w:rPr>
            </w:pPr>
            <w:r>
              <w:rPr>
                <w:rFonts w:ascii="Arial" w:cs="Arial" w:eastAsia="Arial" w:hAnsi="Arial"/>
                <w:sz w:val="18"/>
                <w:szCs w:val="18"/>
                <w:color w:val="auto"/>
              </w:rPr>
              <w:t>27</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w w:val="91"/>
              </w:rPr>
              <w:t>Net current-period other comprehensive income, net of</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ind w:left="114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8"/>
        <w:spacing w:after="0" w:line="277"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is net of tax expense of $8,550. Amount is included in the components of net periodic benefit cost for the pension and postretirement health plans. See Note 9 of the Notes to the unaudited Condensed Consolidated Financial Statements for further information.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$75,000 and $110,000 for the first three months of fiscal years 2022 and 2021, respectively. Outstanding accounts receivable from that customer, and its subsidiaries, were $39,000 as of October 31, 2021 and $4,000 as of July 31, 2021.</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One member of our Board is currently the President and Chief Executive Officer of a vendor of ours. Total payments to this vendor for fees and cost reimbursements were $215,000 and $92,000 for the first three months of fiscal years 2022 and 2021, respectively. There were no outstanding accounts payable to that vendor as of October 31, 2021 or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2021.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10 of the Notes to the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late 2019 and early 2020, COVID-19 was first reported and then declared a pandemic by the World Health Organization, and continues to have a worldwide impact. While we saw changes to consumer purchasing patterns for certain products in response to the pandemic and certain increases in our costs arising out of the pandemic, its continued spread and accompanying effects, there has not, to date, been a significant impact to our business as a whole. All of our facilities, with the exception of our subsidiary in China (which experienced certain disruptions in the first half of our fiscal year 2020 but subsequently resumed operations), have continued to operate as essential businesses during the course of the pandemic as permitted under exceptions in the applicable shelter-in-place mandates due to our inclusion in the Critical Manufacturing Sector as defined by the U.S. Department of Homeland Security 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other functions defined as essential by government authorities.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physical separation, and cleaning and sanitation programs at each of our facilities. As a result, we have not experienced any shut downs due to workforce absences or illnesses.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further discussed below, our consolidated net sales increased during the first three months of fiscal year 2022 compared to the first three months of fiscal year 2021. Net sales of our industrial and sports products as well as certain of our fluids purification products have returned to pre-pandemic levels as many businesses and sports have re-opened and air travel has started to increase. Despite the overall increase in net sales, we have not experienced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significant issues collecting amounts due from customers to date. However, parts of our business continue to be negatively impacted by the COVID-19 outbreak. Net sales for our industrial granules in the United Kingdom continue to be lower due to restrictions imposed by the United Kingdom government on business operations in response to later waves of outbreaks of COVID-19. In addition, net sales of our animal health and nutrition products are lower partially due to a resurgence of COVID-19 in certain geographic areas.</w:t>
      </w:r>
    </w:p>
    <w:p>
      <w:pPr>
        <w:spacing w:after="0" w:line="1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discussed below in "Consolidated Results," gross profit has declined in the first three months of fiscal year 2022 compared to the same period in fiscal year 2021 related to rising costs and supply chain disruptions. We have faced longer lead times for some of our materials purchases but have been able to avoid significant out of stock issues. Where possible, we have found other suppliers to meet the increase in customer demand for our products. We are closely monitoring the continuation, resurgence in certain areas, and effects of the outbreak of COVID-19 on all aspects of our business, including how it has and may impact our suppliers and customers as well as the effects of the pandemic on economic conditions and the financial markets. In general, we have seen an increase in costs particularly as it relates to commodities as the economy continues to react to, and recover from, the pandemic and demand surpasses supply. However, we have not experienced any significant interruptions, and we will continue to closely monitor our inventory levels to mitigate the risk of any potential supply interruptions or changes in customer demand. It is possible that significant disruptions could occur if the pandemic and other factors such as labor shortages and other strains on the supply chain continue to put pressure on transportation and shipping as a result of an imbalance of supply and demand or if there are continued increases in costs that we are unable to recover.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96" w:lineRule="auto"/>
        <w:rPr>
          <w:sz w:val="20"/>
          <w:szCs w:val="20"/>
          <w:color w:val="auto"/>
        </w:rPr>
      </w:pPr>
      <w:r>
        <w:rPr>
          <w:rFonts w:ascii="Arial" w:cs="Arial" w:eastAsia="Arial" w:hAnsi="Arial"/>
          <w:sz w:val="16"/>
          <w:szCs w:val="16"/>
          <w:color w:val="auto"/>
        </w:rPr>
        <w:t>impacts of COVID-19 and related economic conditions on our future results are uncertain at this time. The scope, duration and magnitude of the direct and indirect effects of COVID-19 continue to evolve (and in many cases, rapidly) in ways that are difficult or impossible to anticipate. In addition, although COVID-19 did not materially impact our financial results to date and because it remains uncertain whether and how consumers will modify their purchasing habits in response to COVID-19 or during the period of "re-opening" as the pandemic abates in certain areas and continued or reduced government restrictions, these results may not be indicative of the impact that COVID-19 may have on our results for the remainder of fiscal year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2021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Consolidated net sales for the three months ended October 31, 2021 were $82,460,000, an 8% increase compared to net sales of $76,097,000 for the three months ended October 31, 2020. Net sales increased for both our Retail and Wholesale Products Group and Business to Business Products Group. In addition, we experienced a surge in demand for our products during the first three months of fiscal year 2022, which has led to an increase in our backlog of orders. While the vast majority of this backlog is due to late customer pick-ups due to transportation issues as well as longer lead times for materials needed to fulfill the surge in orders, a portion of it relates to our own capacity constraints. We have expanded our production shifts and increased production equipment to resolve these constraints in the coming months. Segment results are discussed further below.</w:t>
      </w:r>
    </w:p>
    <w:p>
      <w:pPr>
        <w:jc w:val="both"/>
        <w:spacing w:after="0" w:line="249" w:lineRule="auto"/>
        <w:rPr>
          <w:sz w:val="20"/>
          <w:szCs w:val="20"/>
          <w:color w:val="auto"/>
        </w:rPr>
      </w:pPr>
      <w:r>
        <w:rPr>
          <w:rFonts w:ascii="Arial" w:cs="Arial" w:eastAsia="Arial" w:hAnsi="Arial"/>
          <w:sz w:val="16"/>
          <w:szCs w:val="16"/>
          <w:color w:val="auto"/>
        </w:rPr>
        <w:t>Consolidated gross profit for the first three months of fiscal year 2022 was $13,818,000, or 17% of net sales, compared to $18,780,000, or 25% of net sales, for the first three months of fiscal year 2021. Higher freight, packaging, natural gas, and non-fuel costs per manufactured ton drove the decrease in gross profit. Freight costs per manufactured ton, excluding the freight we no longer charge to a significant customer who now picks up its own purchases, increased approximately 37% in the first three months of fiscal year 2022 compared to the same period of fiscal year 2021. The increase relates to higher transportation rates due to a national driver shortage and tight trucking capacity in part caused by the continued return of non-essential businesses. Our overall freight costs also vary between periods depending on the mix of products sold and the geographic distribution of our customers. Packaging costs per manufactured ton for the first three months of fiscal year 2022 were approximately 44% higher compared to the first three months of fiscal year 2021 due to higher commodity costs, particularly as it relates to resin. Many of our contracts for packaging purchases are subject to periodic price adjustments, which trail changes in underlying commodity prices. The cost of natural gas per manufactured ton used to operate kilns that dry our clay was 97% higher in the first three months of fiscal year 2022 compared to the first three months of fiscal year 2021 due to higher natural gas prices which are being driven by demand surpassing available supply. Non-fuel costs per manufactured ton also increased during the first three months of fiscal year 2022 compared to fiscal year 2021 by 15%. The increase in non-fuel manufacturing costs relate to higher repairs, labor costs, and costs of purchased materials such as our additives and other ingredients. While we have experienced an increase in costs due to the reasons mentioned above, we anticipate being able to recover some of these rising costs through price increases to our customers.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Total selling, general and administrative (“SG&amp;A”) expenses of $13,373,000 for the first three months of fiscal year 2022 were lower by $230,000 or 2% compared to $13,603,000 for the first three months of fiscal year 2021. SG&amp;A expenses for the operating segments were lower for the first three months of fiscal year 2022 compared to the same period in the prior fiscal year partially offset by higher unallocated corporate expenses. The discussion of the segments' operating incomes below describes the changes in SG&amp;A expenses that were allocated to the operating segments. The remaining unallocated corporate expenses include a variety of other costs, including slightly higher professional fees.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income of $265,000 for the first three months of fiscal year 2022 included less periodic benefit costs related to our pension plan and less unfavorable exchange rate losses compared to the same period in fiscal year 2021.</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Consolidated net income before taxes for the first three months of fiscal year 2022 was $710,000, a 85% decrease from net income before taxes of $4,755,000 for the first three months of fiscal year 2021. Results for the first three months of fiscal year 2022 were driven by the factors discussed above.</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expense for the first three months of fiscal year 2022 was $115,000 (an effective tax rate of 16%) compared to $806,000 (an effective tax rate of 17%) for the first three months of fiscal year 2021. An estimated annual effective tax rate was used in both periods to determine the provision for income taxes, which is based on expected annual taxable income and the assessment of various tax deductions, including depletion.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BUSINESS TO BUSINESS PRODUCTS GROUP</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sales of the Business to Business Products Group for the first three months of fiscal year 2022 increased compared to the first three months of fiscal year 2021. Net sales were $28,929,000, an increase of $1,407,000, or 5%, from net sales of $27,522,000 for the first three months of fiscal year 2021. Net sales of our fluids purification products increased approximately $1,864,000 or 15% compared to the first three months of the prior fiscal year. We experienced sales improvement primarily to Latin America, North America and Asia. The increases in net sales to these countries were partially offset by lower net sales to Europe. The increase in net sales occurred for a variety of reasons, including customer wins, increased sales to existing customers, increase in air travel, price increases that were instituted to offset rising costs and in some cases, timing of net sales. Net sales of our Ultra-Clear products rebounded to pre-pandemic levels as global air travel increased over the same period last year. Net sales of bleaching clay to Europe decreased primarily as a function of timing and ocean freight shipping delays. Similar to our Retail and Wholesale Products Group cat litter business, our co-packaged coarse cat litter business experienced a significant increase of 20% in net sales during the first three months of fiscal year 2022 compared to fiscal year 2021 primarily due to price increases and to some extent, an increase in volume. The increase in net sales of our fluids purification and cat litter products were partly offset by a decrease in net sales of our agricultural and horticultural products and animal health products. Net sales of our agricultural and horticultural chemical carrier products decreased approximately $779,000 or 11% for the first three months of fiscal year 2022 compared to the same period in fiscal year 2021. The decrease in net sales relates primarily to timing. Several of our customers that use our products in their end products experienced supply chain issues, which resulted in cancelled or delayed orders. In addition, one of our largest customers shifted its purchases in the prior fiscal year 2020 to the first three months of fiscal year 2021. Such a shift did not occur in the first three months of fiscal year 2022. Net sales of our animal health and nutrition products decreased $438,000 or 11% during the first three months of fiscal year 2022 compared to the first three months of the prior year. The decrease relates to timing of net sales, as ocean freight delays are negatively impacting our business. COVID-19 also continues to challenge sales of our products as new waves of the coronavirus occur. Additionally, the African Swine Fever is still affecting the swine market and ultimately, the net sales of our feed additives. The swine population has been reduced, and demand and consumption are down, thereby causing a decrease in our net sales. See “Foreign Operations” below for a discussion of net sales for our foreign operations that sell our animal health and nutrition products.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SG&amp;A expenses for the Business to Business Products Group increased approximately 20% or $512,000 for the first three months of fiscal year 2022 compared to the same period of the prior fiscal year. The increase in SG&amp;A expenses relates primarily to personnel costs as we focus on investing in our animal health business through hiring sales personnel and leadership.</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Business to Business Products Group’s operating income for the first three months of fiscal year 2022 was $6,746,000, a decrease of $854,000 or 11%, from operating income of $7,600,000 for the first three months of fiscal year 2021. The decrease in operating income was driven by higher freight, packaging, materials, natural gas and non-fuel costs per manufactured ton as discussed in “Consolidated Results” above as well as higher SG&amp;A expenses. To some extent, product mix for our subsidiary in China also resulted in lower operating income during the first three months of fiscal year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Net sales of the Retail and Wholesale Products Group for the first three months of fiscal year 2022 were $53,531,000, an increase of $4,956,000, or 10%, from net sales of $48,575,000 for the first three months of fiscal year 2021 driven by sales of both our cat litter and industrial and sports products. Total cat litter net sales were approximately $3,101,000 or 8% higher compared to the first three months of the prior fiscal year primarily due to increased sales volume and somewhat due to price increases in an effort to keep pace with rising costs. Net sales of branded scoopable litter, private label lightweight and heavyweight litter and accessories (liners) increased in the first three months of fiscal year 2022 as we gained business from new customers and sold new items to existing customers. E-commerce sales continue to be very strong and the impact of COVID-19 on increased pet adoption continues to boost sales as well as the overall macro trend of increased spending on pets. In addition, cat litter net sales increased despite revising our shipping terms with one of our significant customers in the fourth quarter of fiscal year 2021 to provide that freight charges are the responsibility of such customer and no longer included in the prices charged. Also included in the Retail and Wholesale Products Group's results were increased sales of our industrial and sports products compared to the first three months of fiscal year 2021. Net sales of our industrial and sports products increased approximately $1,858,000 or 26% compared to the first three months of fiscal year 2021, due to both an increase in volume due to the re-opening of businesses and sports fields as well as an increase in selling price per ton as we continue to try to keep pace with rising costs. Cat litter sales by our subsidiary in Canada further contributed to the net sales increase, as discussed in “Foreign Operations” below.</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SG&amp;A expenses for the Retail and Wholesale Products Group were lower by approximately $1,033,000 or 20% during the first three months of fiscal year 2022 compared to the first three months of fiscal year 2021 primarily due to lower advertising costs. We anticipate total advertising expense in fiscal year 2022 will be essentially flat compared to fiscal year 2021.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The Retail and Wholesale Products Group's operating income for the first three months of fiscal year 2022 was $74,000, a decrease of $3,476,000, or 97.9%, from operating income of $3,550,000 for the first three months of fiscal year 2021. The decrease in operating income was driven by higher freight, packaging, materials, natural gas and non-fuel costs as discussed in “Consolidated Results” above which outpaced the increase in net sales.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three months of fiscal year 2022 were $4,342,000, an increase of $206,000, or 5%, compared to net sales of $4,136,000 during the first three months of fiscal year 2021. The net sales of our subsidiary in Canada increased by approximately $660,000 or 31% in the first three months of fiscal year 2022 compared to the same period of fiscal year 2021. Cat litter sales for our subsidiary in Canada increased by approximately $730,000 or 48% in the first three months of fiscal year 2022 compared to the same period of fiscal year 2021 driven primarily by price increases instituted in an effort to keep pace with rising costs as well as an increase in volume by introducing new products and increased sales to existing customers. Net sales of our industrial absorbent granules declined by approximately 11% or $69,000 in the first three months of fiscal year 2022 compared to the same period in the prior fiscal year. Customers of our granule products struggled to source co-loaded items which, in turn, have caused a reduction in demand for our granule products. The increase in net sales for our subsidiary in Canada was partially offset by decreases in net sales by our subsidiaries in China, Mexico and Indonesia. Net sales of our subsidiary in China decreased in the first three months of fiscal year 2022 for a a variety of reasons, including African Swine Fever, the resurgence of COVID-19, timing as some customers made purchases in the prior fiscal year ahead of effective price increases and ocean freight delays. Net sales of our subsidiary in Mexico declined slightly as the first three months of fiscal year 2021 included net sales of products that are no longer a part of our business strategy. Net sales by our foreign subsidiaries represented 5% of our consolidated net sales during the first quarter of each of fiscal year 2022 and 2021.</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foreign subsidiaries reported a net loss of $334,000 for the first three months of fiscal year 2022, compared to a net loss of $212,000 for the first three months of fiscal year 2021. The net loss was primarily driven by higher SG&amp;A expenses as well as unfavorable product mix by our subsidiary in China. Rising shipping costs and the effect of COVID-19 lockdowns and restrictions have also negatively impacted our foreign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of our foreign subsidiaries as of October 31, 2021 were $12,231,000, compared to $11,991,000 as of October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three months of fiscal year 2022, we principally funded these requirements using cash from current operations as well as cash generated in the fourth quarter of fiscal year 2020 from borrowings and a one-time receipt of cash related to licensing of certain of our patents.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date, COVID-19 has not had a significant impact on our operations as a whole, and we anticipate cash flows from operations and our available sources of liquidity will be sufficient to meet our cash requirements. In addition, we are actively monitoring the timing and collection of our accounts receivable. Given the dynamic nature of COVID-19 and its effects, we will continue to assess our liquidity needs and to actively manage our spending.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2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For the Three Months Ended</w:t>
      </w:r>
    </w:p>
    <w:p>
      <w:pPr>
        <w:jc w:val="center"/>
        <w:ind w:left="6460"/>
        <w:spacing w:after="0"/>
        <w:rPr>
          <w:sz w:val="20"/>
          <w:szCs w:val="20"/>
          <w:color w:val="auto"/>
        </w:rPr>
      </w:pPr>
      <w:r>
        <w:rPr>
          <w:rFonts w:ascii="Arial" w:cs="Arial" w:eastAsia="Arial" w:hAnsi="Arial"/>
          <w:sz w:val="18"/>
          <w:szCs w:val="18"/>
          <w:b w:val="1"/>
          <w:bCs w:val="1"/>
          <w:color w:val="auto"/>
        </w:rPr>
        <w:t>October 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(6,736)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2022 and 2021 were as follows: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less allowance for doubtful accounts, increased $2,161,000 in the first three months of fiscal year 2022 compared to an increase of $4,256,000 in the first three months of fiscal year 2021. The change in accounts receivable was higher in fiscal year 2021 than fiscal year 2022 because net sales increased significantly between the fourth quarter of fiscal year 2020 and the first quarter of fiscal year 2021, thereby driving the accounts receivable balance up. The difference in net sales between the fourth quarter of fiscal year 2021 and the first quarter of fiscal year 2022 was not as significant. In addition, the variation in accounts receivable balances reflect differences in the level and timing of collections as well as the payment terms provided to various customers.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Inventory increased $5,084,000 in the first three months of fiscal year 2022 compared to a decrease of $462,000 in the first three months of fiscal year 2021. Inventory increased in the first three months of fiscal year 2022 due to a combination of rising costs and building inventory levels for anticipated demand. Inventory decreased in the first three months of fiscal year 2021 due to decreases in other inventory and finished goods. Other inventory includes a variety of items including clay, additives, fragrances and other supplies. Other inventory decreased due to increased demand during the first three months of fiscal year 2021. Finished goods decreased during the first three months of fiscal year 2021 due to higher sales.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assets decreased $186,000 in the first three months of fiscal year 2022 compared to an increase of $985,000 in the first three months of fiscal year 2021. The decrease in other assets in the first three months of fiscal year 2022 relates to capitalized pre-production costs being transferred to property, plant and equipment as the mines are now in production. The increase in other assets in the first three months of fiscal year 2021 relates to an increase in capitalized pre-production mining costs.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payable increased $1,251,000 in the first three months of fiscal year 2022 compared to a decrease of $1,435,000 in the first three months of fiscal year 2021. Trade and freight payables vary in both periods due to the timing of payments, fluctuations in the cost of goods and services we purchased, production volume levels and vendor payment terms.</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Accrued expenses increased $689,000 in the first three months of fiscal year 2022 compared to a decrease of $8,106,000 in the first three months of fiscal year 2021. The payout of the prior fiscal year's discretionary incentive bonus reduced accrued salaries in both fiscal years, but to a greater extent in fiscal year 2021 as the accrual was higher in the prior fiscal year. The decrease in accrued bonus in the first three months of fiscal year 2022 was offset by an increase in accrued advertising, real estate taxes, professional fees and accrued utilities. These accruals can vary based on timing. In addition, accrued plant expenses can also fluctuate due to timing of payments, changes in the cost of goods and services we purchase, production volume levels and vendor payment terms. Accrued expenses also decreased in the first three months of fiscal year 2021 due to a decrease in accrued advertising partially offset by an increase in accrued freight.</w:t>
      </w:r>
    </w:p>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Other liabilities decreased $490,000 in the first three months of fiscal year 2022 compared to an increase of $1,135,000 in the first three months of fiscal year 2021. The decrease in fiscal year 2022 relates primarily to a reduction in our operating lease liability. The increase in other liabilities in fiscal year 2021 relates to the deferral of employer taxes under the CARES Act as further described in Note 1 of the Notes to unaudited Condensed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used in investing activities of $6,736,000 in the first three months of fiscal year 2022 were higher compared to cash used in investing activities of $3,565,000 in the first three months of fiscal year 2021 driven by capital expenditures. During the first three months of fiscal year 2022 we expanded our plant equipment and improved our facilities to support increased demand for our products as well as made improvements to our IT network.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of $4,156,000 in the first three months of fiscal year 2022 was higher than cash used in financing activities of $2,781,000 in the first three months of fiscal year 2021. The first three months of fiscal year 2022 included more repurchases of stock than in the first three months of fiscal year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$2,419,000 as of October 31, 2021 were lower than the October 31, 2020 balances of $3,054,000. See further discussion in “Foreign Operations” above.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October 31, 2021, the variable rates would have been 3.50% for the BMO Harris prime-based rate or 1.38%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October 31, 2021 and 2020, we were in compliance with the covenants. There were no borrowings during the first three months of either fiscal year 2021 or 2022.</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15, 2020, we entered into a new debt instrument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 As of October 31, 2021 outstanding notes payable were $8,884,000, net of $116,000 of unamortized debt issuance costs.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October 31, 2021, we had remaining authority to repurchase 750,345 shares of Common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capital expenditures in fiscal year 2022 to be greater than in fiscal year 2021. </w:t>
      </w:r>
      <w:r>
        <w:rPr>
          <w:rFonts w:ascii="Arial" w:cs="Arial" w:eastAsia="Arial" w:hAnsi="Arial"/>
          <w:sz w:val="17"/>
          <w:szCs w:val="17"/>
          <w:color w:val="222222"/>
        </w:rPr>
        <w:t>We do not believe that these increased capital expenditures will dramatically impact our cash position; however our</w:t>
      </w:r>
      <w:r>
        <w:rPr>
          <w:rFonts w:ascii="Arial" w:cs="Arial" w:eastAsia="Arial" w:hAnsi="Arial"/>
          <w:sz w:val="17"/>
          <w:szCs w:val="17"/>
          <w:color w:val="auto"/>
        </w:rPr>
        <w:t xml:space="preserve"> </w:t>
      </w:r>
      <w:r>
        <w:rPr>
          <w:rFonts w:ascii="Arial" w:cs="Arial" w:eastAsia="Arial" w:hAnsi="Arial"/>
          <w:sz w:val="17"/>
          <w:szCs w:val="17"/>
          <w:color w:val="222222"/>
        </w:rPr>
        <w:t>cash requirements are subject to change as business conditions warrant and opportunities arise. Our anticipated advertising expense for fiscal year 2022 is expected to be essentially flat compared to fiscal year 2021. Adjustments to advertising spending for the remainder of the fiscal year may occur due to any upcoming volatility in the economic environment.</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2021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2021. There have been no material changes to our risk factors since the Company's Annual Report on Form 10-K for the year ended July 31,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October 31, 2021, we did not sell any securities which were not registered under the Securities Act of 1933. The following chart summarize our Common Stock and Class B stock purchases during this period. There are no shares of our Class A Common Stock currently outstanding.</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8"/>
        </w:trPr>
        <w:tc>
          <w:tcPr>
            <w:tcW w:w="21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2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Ended October 31, 2021</w:t>
            </w:r>
          </w:p>
        </w:tc>
        <w:tc>
          <w:tcPr>
            <w:tcW w:w="22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3"/>
                <w:szCs w:val="23"/>
                <w:b w:val="1"/>
                <w:bCs w:val="1"/>
                <w:color w:val="auto"/>
                <w:w w:val="85"/>
                <w:vertAlign w:val="superscript"/>
              </w:rPr>
              <w:t>3</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40" w:type="dxa"/>
            <w:vAlign w:val="bottom"/>
            <w:tcBorders>
              <w:bottom w:val="single" w:sz="8" w:color="auto"/>
            </w:tcBorders>
          </w:tcPr>
          <w:p>
            <w:pPr>
              <w:jc w:val="center"/>
              <w:ind w:left="1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9"/>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Arial" w:cs="Arial" w:eastAsia="Arial" w:hAnsi="Arial"/>
                <w:sz w:val="18"/>
                <w:szCs w:val="18"/>
                <w:color w:val="auto"/>
              </w:rPr>
              <w:t>August 1, 2021 to August</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11,509</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$34.85</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87"/>
              </w:rPr>
              <w:t>11,509</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799,453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31, 2021</w:t>
            </w:r>
          </w:p>
        </w:tc>
        <w:tc>
          <w:tcPr>
            <w:tcW w:w="22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 1, 2021 to</w:t>
            </w:r>
          </w:p>
        </w:tc>
        <w:tc>
          <w:tcPr>
            <w:tcW w:w="2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25,033</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$34.88</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25,033</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774,420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22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October 1, 2021 to</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0"/>
              </w:rPr>
              <w:t>24,075</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$34.88</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87"/>
              </w:rPr>
              <w:t>19,457</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750,345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31, 2021</w:t>
            </w:r>
          </w:p>
        </w:tc>
        <w:tc>
          <w:tcPr>
            <w:tcW w:w="22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8"/>
              </w:rPr>
              <w:t>Class B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Arial" w:cs="Arial" w:eastAsia="Arial" w:hAnsi="Arial"/>
                <w:sz w:val="18"/>
                <w:szCs w:val="18"/>
                <w:color w:val="auto"/>
              </w:rPr>
              <w:t>August 1, 2021 to August</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278,250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31, 2021</w:t>
            </w:r>
          </w:p>
        </w:tc>
        <w:tc>
          <w:tcPr>
            <w:tcW w:w="22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 1, 2021 to</w:t>
            </w:r>
          </w:p>
        </w:tc>
        <w:tc>
          <w:tcPr>
            <w:tcW w:w="2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278,250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22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October 1, 2021 to</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5,150</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$34.96</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273,100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October 31, 2021</w:t>
            </w:r>
          </w:p>
        </w:tc>
        <w:tc>
          <w:tcPr>
            <w:tcW w:w="22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8"/>
        <w:spacing w:after="0" w:line="260" w:lineRule="auto"/>
        <w:tabs>
          <w:tab w:leader="none" w:pos="8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table summarizes repurchases of (and remaining authority to repurchase) shares of our Common Stock. Descriptions of our Common Stock, Class B Stock and Class A Common Stock are contained in Exhibit 4.1 to our Annual Report on Form 10-K for the fiscal year ended July 31, 2021 filed with the SEC.</w:t>
      </w:r>
    </w:p>
    <w:p>
      <w:pPr>
        <w:spacing w:after="0" w:line="200" w:lineRule="exact"/>
        <w:rPr>
          <w:sz w:val="20"/>
          <w:szCs w:val="20"/>
          <w:color w:val="auto"/>
        </w:rPr>
      </w:pPr>
    </w:p>
    <w:p>
      <w:pPr>
        <w:spacing w:after="0" w:line="230" w:lineRule="exact"/>
        <w:rPr>
          <w:sz w:val="20"/>
          <w:szCs w:val="20"/>
          <w:color w:val="auto"/>
        </w:rPr>
      </w:pPr>
    </w:p>
    <w:p>
      <w:pPr>
        <w:ind w:right="20" w:firstLine="8"/>
        <w:spacing w:after="0" w:line="249" w:lineRule="auto"/>
        <w:tabs>
          <w:tab w:leader="none" w:pos="8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17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4,618 Common Stock shares and 5,150 Class B shares surrendered by employees to pay taxes related to restricted stock awards.</w:t>
      </w:r>
    </w:p>
    <w:p>
      <w:pPr>
        <w:spacing w:after="0" w:line="229" w:lineRule="exact"/>
        <w:rPr>
          <w:sz w:val="20"/>
          <w:szCs w:val="20"/>
          <w:color w:val="auto"/>
        </w:rPr>
      </w:pPr>
    </w:p>
    <w:p>
      <w:pPr>
        <w:jc w:val="both"/>
        <w:ind w:right="20" w:firstLine="8"/>
        <w:spacing w:after="0" w:line="275" w:lineRule="auto"/>
        <w:tabs>
          <w:tab w:leader="none" w:pos="8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authorized the repurchase of 250,000 shares of Common Stock on June 14, 2012 and an additional 750,000 shares of Common Stock on March 11, 2019. These authorizations do not have a stated expiration date. Our Board of Directors authorized the repurchase of 300,000 shares of Class B stock on March 21, 2018.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90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920" w:type="dxa"/>
            <w:vAlign w:val="bottom"/>
            <w:gridSpan w:val="4"/>
            <w:vMerge w:val="restart"/>
          </w:tcPr>
          <w:p>
            <w:pPr>
              <w:ind w:left="1140"/>
              <w:spacing w:after="0"/>
              <w:rPr>
                <w:sz w:val="20"/>
                <w:szCs w:val="20"/>
                <w:color w:val="auto"/>
              </w:rPr>
            </w:pPr>
            <w:r>
              <w:rPr>
                <w:rFonts w:ascii="Arial" w:cs="Arial" w:eastAsia="Arial" w:hAnsi="Arial"/>
                <w:sz w:val="18"/>
                <w:szCs w:val="18"/>
                <w:color w:val="auto"/>
              </w:rPr>
              <w:t>Description</w:t>
            </w:r>
          </w:p>
        </w:tc>
        <w:tc>
          <w:tcPr>
            <w:tcW w:w="100" w:type="dxa"/>
            <w:vAlign w:val="bottom"/>
            <w:vMerge w:val="restart"/>
          </w:tcPr>
          <w:p>
            <w:pPr>
              <w:spacing w:after="0"/>
              <w:rPr>
                <w:sz w:val="17"/>
                <w:szCs w:val="17"/>
                <w:color w:val="auto"/>
              </w:rPr>
            </w:pPr>
          </w:p>
        </w:tc>
        <w:tc>
          <w:tcPr>
            <w:tcW w:w="3300" w:type="dxa"/>
            <w:vAlign w:val="bottom"/>
            <w:vMerge w:val="restart"/>
          </w:tcPr>
          <w:p>
            <w:pPr>
              <w:ind w:left="700"/>
              <w:spacing w:after="0"/>
              <w:rPr>
                <w:sz w:val="20"/>
                <w:szCs w:val="20"/>
                <w:color w:val="auto"/>
              </w:rPr>
            </w:pPr>
            <w:r>
              <w:rPr>
                <w:rFonts w:ascii="Arial" w:cs="Arial" w:eastAsia="Arial" w:hAnsi="Arial"/>
                <w:sz w:val="18"/>
                <w:szCs w:val="18"/>
                <w:color w:val="auto"/>
              </w:rPr>
              <w:t>SEC Document Reference</w:t>
            </w:r>
          </w:p>
        </w:tc>
        <w:tc>
          <w:tcPr>
            <w:tcW w:w="0" w:type="dxa"/>
            <w:vAlign w:val="bottom"/>
          </w:tcPr>
          <w:p>
            <w:pPr>
              <w:spacing w:after="0"/>
              <w:rPr>
                <w:sz w:val="1"/>
                <w:szCs w:val="1"/>
                <w:color w:val="auto"/>
              </w:rPr>
            </w:pPr>
          </w:p>
        </w:tc>
      </w:tr>
      <w:tr>
        <w:trPr>
          <w:trHeight w:val="230"/>
        </w:trPr>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Statement re: Computation of Earnings Per Share.</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3"/>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Certifications pursuant to Rule 13a–14(a).</w:t>
              </w:r>
            </w:hyperlink>
          </w:p>
        </w:tc>
        <w:tc>
          <w:tcPr>
            <w:tcW w:w="560" w:type="dxa"/>
            <w:vAlign w:val="bottom"/>
            <w:tcBorders>
              <w:top w:val="single" w:sz="8" w:color="0000FF"/>
            </w:tcBorders>
          </w:tcPr>
          <w:p>
            <w:pPr>
              <w:spacing w:after="0"/>
              <w:rPr>
                <w:sz w:val="22"/>
                <w:szCs w:val="22"/>
                <w:color w:val="auto"/>
              </w:rPr>
            </w:pPr>
          </w:p>
        </w:tc>
        <w:tc>
          <w:tcPr>
            <w:tcW w:w="3200" w:type="dxa"/>
            <w:vAlign w:val="bottom"/>
            <w:gridSpan w:val="3"/>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4"/>
        </w:trPr>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Certifications pursuant to Section 1350 of the Sarbanes-Oxley Act of 2002.</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64"/>
        </w:trPr>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tcBorders>
              <w:top w:val="single" w:sz="8" w:color="0000FF"/>
            </w:tcBorders>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1380" w:type="dxa"/>
            <w:vAlign w:val="bottom"/>
            <w:gridSpan w:val="2"/>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 Exhibit 101</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2021</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660" w:top="895" w:right="9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95" w:lineRule="exact"/>
        <w:rPr>
          <w:sz w:val="20"/>
          <w:szCs w:val="20"/>
          <w:color w:val="auto"/>
        </w:rPr>
      </w:pPr>
    </w:p>
    <w:p>
      <w:pPr>
        <w:ind w:left="4240" w:right="3400" w:hanging="2936"/>
        <w:spacing w:after="0" w:line="293" w:lineRule="auto"/>
        <w:rPr>
          <w:sz w:val="20"/>
          <w:szCs w:val="20"/>
          <w:color w:val="auto"/>
        </w:rPr>
      </w:pPr>
      <w:r>
        <w:rPr>
          <w:rFonts w:ascii="Arial" w:cs="Arial" w:eastAsia="Arial" w:hAnsi="Arial"/>
          <w:sz w:val="16"/>
          <w:szCs w:val="16"/>
          <w:b w:val="1"/>
          <w:bCs w:val="1"/>
          <w:color w:val="auto"/>
        </w:rPr>
        <w:t>OIL-DRI CORPORATION OF AMERICA AND SUBSIDIARIES Computation of Earnings Per Share</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4" w:lineRule="exact"/>
        <w:rPr>
          <w:sz w:val="20"/>
          <w:szCs w:val="20"/>
          <w:color w:val="auto"/>
        </w:rPr>
      </w:pPr>
    </w:p>
    <w:p>
      <w:pPr>
        <w:jc w:val="center"/>
        <w:ind w:left="6360"/>
        <w:spacing w:after="0"/>
        <w:rPr>
          <w:sz w:val="20"/>
          <w:szCs w:val="20"/>
          <w:color w:val="auto"/>
        </w:rPr>
      </w:pPr>
      <w:r>
        <w:rPr>
          <w:rFonts w:ascii="Arial" w:cs="Arial" w:eastAsia="Arial" w:hAnsi="Arial"/>
          <w:sz w:val="17"/>
          <w:szCs w:val="17"/>
          <w:b w:val="1"/>
          <w:bCs w:val="1"/>
          <w:color w:val="auto"/>
        </w:rPr>
        <w:t>For the Three Months Ended October</w:t>
      </w:r>
    </w:p>
    <w:p>
      <w:pPr>
        <w:jc w:val="center"/>
        <w:ind w:left="636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136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80" w:type="dxa"/>
            <w:vAlign w:val="bottom"/>
            <w:gridSpan w:val="2"/>
          </w:tcPr>
          <w:p>
            <w:pPr>
              <w:spacing w:after="0" w:line="176" w:lineRule="exact"/>
              <w:rPr>
                <w:sz w:val="20"/>
                <w:szCs w:val="20"/>
                <w:color w:val="auto"/>
              </w:rPr>
            </w:pPr>
            <w:r>
              <w:rPr>
                <w:rFonts w:ascii="Arial" w:cs="Arial" w:eastAsia="Arial" w:hAnsi="Arial"/>
                <w:sz w:val="18"/>
                <w:szCs w:val="18"/>
                <w:color w:val="auto"/>
              </w:rPr>
              <w:t>Less: Distributed and undistributed earnings allocated</w:t>
            </w:r>
          </w:p>
        </w:tc>
        <w:tc>
          <w:tcPr>
            <w:tcW w:w="9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auto"/>
              </w:rPr>
              <w:t>Shares Calculation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5,113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1,921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Potential Common Stock - Basic Common - relating to non-vested restricted stock</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gridSpan w:val="2"/>
          </w:tcPr>
          <w:p>
            <w:pPr>
              <w:spacing w:after="0" w:line="176" w:lineRule="exact"/>
              <w:rPr>
                <w:sz w:val="20"/>
                <w:szCs w:val="20"/>
                <w:color w:val="auto"/>
              </w:rPr>
            </w:pPr>
            <w:r>
              <w:rPr>
                <w:rFonts w:ascii="Arial" w:cs="Arial" w:eastAsia="Arial" w:hAnsi="Arial"/>
                <w:sz w:val="18"/>
                <w:szCs w:val="18"/>
                <w:color w:val="auto"/>
                <w:w w:val="96"/>
              </w:rPr>
              <w:t>Potential Common Stock - Basic Class B Common - relating to non-vested restricted</w:t>
            </w:r>
          </w:p>
        </w:tc>
        <w:tc>
          <w:tcPr>
            <w:tcW w:w="9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7,204</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Basic Common</w:t>
            </w:r>
          </w:p>
        </w:tc>
        <w:tc>
          <w:tcPr>
            <w:tcW w:w="940" w:type="dxa"/>
            <w:vAlign w:val="bottom"/>
            <w:tcBorders>
              <w:bottom w:val="single" w:sz="8" w:color="auto"/>
            </w:tcBorders>
          </w:tcPr>
          <w:p>
            <w:pPr>
              <w:jc w:val="right"/>
              <w:ind w:right="750"/>
              <w:spacing w:after="0" w:line="203"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0.08</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Diluted Common</w:t>
            </w:r>
          </w:p>
        </w:tc>
        <w:tc>
          <w:tcPr>
            <w:tcW w:w="940" w:type="dxa"/>
            <w:vAlign w:val="bottom"/>
            <w:tcBorders>
              <w:bottom w:val="single" w:sz="8" w:color="auto"/>
            </w:tcBorders>
          </w:tcPr>
          <w:p>
            <w:pPr>
              <w:jc w:val="right"/>
              <w:ind w:right="750"/>
              <w:spacing w:after="0" w:line="203"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0.08</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Class B Common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00"/>
          </w:cols>
          <w:pgMar w:left="320" w:top="891" w:right="11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427"/>
        <w:spacing w:after="0" w:line="286" w:lineRule="auto"/>
        <w:tabs>
          <w:tab w:leader="none" w:pos="1960" w:val="left"/>
        </w:tabs>
        <w:numPr>
          <w:ilvl w:val="3"/>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477"/>
        <w:spacing w:after="0" w:line="286" w:lineRule="auto"/>
        <w:tabs>
          <w:tab w:leader="none" w:pos="1960" w:val="left"/>
        </w:tabs>
        <w:numPr>
          <w:ilvl w:val="3"/>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526"/>
        <w:spacing w:after="0" w:line="263" w:lineRule="auto"/>
        <w:tabs>
          <w:tab w:leader="none" w:pos="19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517"/>
        <w:spacing w:after="0" w:line="286" w:lineRule="auto"/>
        <w:tabs>
          <w:tab w:leader="none" w:pos="1948"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427"/>
        <w:spacing w:after="0" w:line="263" w:lineRule="auto"/>
        <w:tabs>
          <w:tab w:leader="none" w:pos="19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477"/>
        <w:spacing w:after="0" w:line="273" w:lineRule="auto"/>
        <w:tabs>
          <w:tab w:leader="none" w:pos="19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7, 2021</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169"/>
        </w:trPr>
        <w:tc>
          <w:tcPr>
            <w:tcW w:w="840" w:type="dxa"/>
            <w:vAlign w:val="bottom"/>
          </w:tcPr>
          <w:p>
            <w:pPr>
              <w:spacing w:after="0"/>
              <w:rPr>
                <w:sz w:val="14"/>
                <w:szCs w:val="14"/>
                <w:color w:val="auto"/>
              </w:rPr>
            </w:pPr>
          </w:p>
        </w:tc>
        <w:tc>
          <w:tcPr>
            <w:tcW w:w="4220" w:type="dxa"/>
            <w:vAlign w:val="bottom"/>
          </w:tcPr>
          <w:p>
            <w:pPr>
              <w:ind w:left="20"/>
              <w:spacing w:after="0" w:line="169" w:lineRule="exact"/>
              <w:rPr>
                <w:sz w:val="20"/>
                <w:szCs w:val="20"/>
                <w:color w:val="auto"/>
              </w:rPr>
            </w:pPr>
            <w:r>
              <w:rPr>
                <w:rFonts w:ascii="Arial" w:cs="Arial" w:eastAsia="Arial" w:hAnsi="Arial"/>
                <w:sz w:val="18"/>
                <w:szCs w:val="18"/>
                <w:color w:val="auto"/>
              </w:rPr>
              <w:t>Daniel S. Jaffee</w:t>
            </w:r>
          </w:p>
        </w:tc>
      </w:tr>
      <w:tr>
        <w:trPr>
          <w:trHeight w:val="230"/>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 (continued):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5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5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5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7, 2021</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Arial" w:cs="Arial" w:eastAsia="Arial" w:hAnsi="Arial"/>
                <w:sz w:val="18"/>
                <w:szCs w:val="18"/>
                <w:color w:val="auto"/>
              </w:rPr>
              <w:t>Susan M. Kreh</w:t>
            </w:r>
          </w:p>
        </w:tc>
      </w:tr>
      <w:tr>
        <w:trPr>
          <w:trHeight w:val="230"/>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December 7,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Chairman, President and Chief Executive Officer</w:t>
      </w: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December 7,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2021.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0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360" w:type="dxa"/>
            <w:vAlign w:val="bottom"/>
          </w:tcPr>
          <w:p>
            <w:pPr>
              <w:jc w:val="center"/>
              <w:ind w:left="11"/>
              <w:spacing w:after="0" w:line="169" w:lineRule="exact"/>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“Significant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9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107(a)</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80"/>
              <w:spacing w:after="0"/>
              <w:rPr>
                <w:sz w:val="20"/>
                <w:szCs w:val="20"/>
                <w:color w:val="auto"/>
              </w:rPr>
            </w:pPr>
            <w:r>
              <w:rPr>
                <w:rFonts w:ascii="Arial" w:cs="Arial" w:eastAsia="Arial" w:hAnsi="Arial"/>
                <w:sz w:val="18"/>
                <w:szCs w:val="18"/>
                <w:color w:val="auto"/>
              </w:rPr>
              <w:t>Mine location</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2"/>
              </w:rPr>
              <w:t>(2) Flagrant</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Danger</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7"/>
              </w:rPr>
              <w:t xml:space="preserve">Assessments </w:t>
            </w:r>
            <w:r>
              <w:rPr>
                <w:rFonts w:ascii="Arial" w:cs="Arial" w:eastAsia="Arial" w:hAnsi="Arial"/>
                <w:sz w:val="16"/>
                <w:szCs w:val="16"/>
                <w:color w:val="auto"/>
                <w:w w:val="87"/>
              </w:rPr>
              <w:t>(in</w:t>
            </w: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thousands)</w:t>
            </w:r>
          </w:p>
        </w:tc>
        <w:tc>
          <w:tcPr>
            <w:tcW w:w="1200" w:type="dxa"/>
            <w:vAlign w:val="bottom"/>
          </w:tcPr>
          <w:p>
            <w:pPr>
              <w:ind w:left="320"/>
              <w:spacing w:after="0"/>
              <w:rPr>
                <w:sz w:val="20"/>
                <w:szCs w:val="20"/>
                <w:color w:val="auto"/>
              </w:rPr>
            </w:pPr>
            <w:r>
              <w:rPr>
                <w:rFonts w:ascii="Arial" w:cs="Arial" w:eastAsia="Arial" w:hAnsi="Arial"/>
                <w:sz w:val="18"/>
                <w:szCs w:val="18"/>
                <w:color w:val="auto"/>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1,624</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11,839</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1,696</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5,556</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October 31, 2021.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7"/>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2021-12-07T15:58:33Z</dcterms:created>
  <dcterms:modified xsi:type="dcterms:W3CDTF">2021-12-07T15:58:33Z</dcterms:modified>
</cp:coreProperties>
</file>