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pPr>
      <w:bookmarkStart w:id="0" w:name="v396163_8k.htm"/>
      <w:bookmarkStart w:id="1" w:name="ksv396163_8k"/>
      <w:bookmarkEnd w:id="0"/>
      <w:bookmarkEnd w:id="1"/>
      <w:r>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645" w:type="dxa"/>
        <w:jc w:val="left"/>
        <w:tblInd w:w="0" w:type="dxa"/>
        <w:tblCellMar>
          <w:top w:w="0" w:type="dxa"/>
          <w:left w:w="0" w:type="dxa"/>
          <w:bottom w:w="0" w:type="dxa"/>
          <w:right w:w="0" w:type="dxa"/>
        </w:tblCellMar>
      </w:tblPr>
      <w:tblGrid>
        <w:gridCol w:w="3305"/>
        <w:gridCol w:w="1340"/>
      </w:tblGrid>
      <w:tr>
        <w:trPr/>
        <w:tc>
          <w:tcPr>
            <w:tcW w:w="3305" w:type="dxa"/>
            <w:tcBorders/>
            <w:shd w:fill="auto" w:val="clear"/>
            <w:vAlign w:val="center"/>
          </w:tcPr>
          <w:p>
            <w:pPr>
              <w:pStyle w:val="TableContents"/>
              <w:spacing w:before="0" w:after="283"/>
              <w:rPr>
                <w:sz w:val="17"/>
              </w:rPr>
            </w:pPr>
            <w:r>
              <w:rPr>
                <w:sz w:val="17"/>
              </w:rPr>
              <w:t>Date of Report (Date of earliest event reported)</w:t>
            </w:r>
          </w:p>
        </w:tc>
        <w:tc>
          <w:tcPr>
            <w:tcW w:w="1340" w:type="dxa"/>
            <w:tcBorders>
              <w:bottom w:val="single" w:sz="8" w:space="0" w:color="000000"/>
            </w:tcBorders>
            <w:shd w:fill="auto" w:val="clear"/>
            <w:tcMar>
              <w:bottom w:w="28" w:type="dxa"/>
            </w:tcMar>
            <w:vAlign w:val="center"/>
          </w:tcPr>
          <w:p>
            <w:pPr>
              <w:pStyle w:val="TableContents"/>
              <w:spacing w:before="0" w:after="283"/>
              <w:rPr>
                <w:b/>
                <w:sz w:val="17"/>
              </w:rPr>
            </w:pPr>
            <w:r>
              <w:rPr>
                <w:b/>
                <w:sz w:val="17"/>
              </w:rPr>
              <w:t>December 9, 2014</w:t>
            </w:r>
          </w:p>
        </w:tc>
      </w:tr>
      <w:tr>
        <w:trPr/>
        <w:tc>
          <w:tcPr>
            <w:tcW w:w="4645" w:type="dxa"/>
            <w:gridSpan w:val="2"/>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175" w:type="dxa"/>
        <w:jc w:val="left"/>
        <w:tblInd w:w="0" w:type="dxa"/>
        <w:tblCellMar>
          <w:top w:w="0" w:type="dxa"/>
          <w:left w:w="0" w:type="dxa"/>
          <w:bottom w:w="28" w:type="dxa"/>
          <w:right w:w="0" w:type="dxa"/>
        </w:tblCellMar>
      </w:tblPr>
      <w:tblGrid>
        <w:gridCol w:w="4175"/>
      </w:tblGrid>
      <w:tr>
        <w:trPr/>
        <w:tc>
          <w:tcPr>
            <w:tcW w:w="4175" w:type="dxa"/>
            <w:tcBorders>
              <w:bottom w:val="single" w:sz="8" w:space="0" w:color="000000"/>
            </w:tcBorders>
            <w:shd w:fill="auto" w:val="clear"/>
            <w:vAlign w:val="center"/>
          </w:tcPr>
          <w:p>
            <w:pPr>
              <w:pStyle w:val="TableContents"/>
              <w:spacing w:before="0" w:after="283"/>
              <w:jc w:val="center"/>
              <w:rPr>
                <w:b/>
                <w:sz w:val="17"/>
              </w:rPr>
            </w:pPr>
            <w:r>
              <w:rPr>
                <w:b/>
                <w:sz w:val="17"/>
              </w:rPr>
              <w:t>Oil-Dri Corporation of America</w:t>
            </w:r>
          </w:p>
        </w:tc>
      </w:tr>
      <w:tr>
        <w:trPr/>
        <w:tc>
          <w:tcPr>
            <w:tcW w:w="417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spacing w:before="0" w:after="0"/>
              <w:ind w:left="0" w:right="0" w:firstLine="720"/>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8745" w:type="dxa"/>
        <w:jc w:val="left"/>
        <w:tblInd w:w="0" w:type="dxa"/>
        <w:tblCellMar>
          <w:top w:w="0" w:type="dxa"/>
          <w:left w:w="0" w:type="dxa"/>
          <w:bottom w:w="28" w:type="dxa"/>
          <w:right w:w="0" w:type="dxa"/>
        </w:tblCellMar>
      </w:tblPr>
      <w:tblGrid>
        <w:gridCol w:w="2735"/>
        <w:gridCol w:w="60"/>
        <w:gridCol w:w="2615"/>
        <w:gridCol w:w="60"/>
        <w:gridCol w:w="3275"/>
      </w:tblGrid>
      <w:tr>
        <w:trPr/>
        <w:tc>
          <w:tcPr>
            <w:tcW w:w="2735" w:type="dxa"/>
            <w:tcBorders>
              <w:bottom w:val="single" w:sz="8" w:space="0" w:color="000000"/>
            </w:tcBorders>
            <w:shd w:fill="auto" w:val="clear"/>
            <w:vAlign w:val="center"/>
          </w:tcPr>
          <w:p>
            <w:pPr>
              <w:pStyle w:val="TableContents"/>
              <w:spacing w:before="0" w:after="283"/>
              <w:jc w:val="center"/>
              <w:rPr>
                <w:b/>
              </w:rPr>
            </w:pPr>
            <w:r>
              <w:rPr>
                <w:b/>
              </w:rPr>
              <w:t>Delaware</w:t>
            </w:r>
          </w:p>
        </w:tc>
        <w:tc>
          <w:tcPr>
            <w:tcW w:w="60" w:type="dxa"/>
            <w:tcBorders>
              <w:bottom w:val="single" w:sz="8" w:space="0" w:color="000000"/>
            </w:tcBorders>
            <w:shd w:fill="auto" w:val="clear"/>
            <w:vAlign w:val="center"/>
          </w:tcPr>
          <w:p>
            <w:pPr>
              <w:pStyle w:val="TableContents"/>
              <w:spacing w:before="0" w:after="283"/>
              <w:rPr/>
            </w:pPr>
            <w:r>
              <w:rPr/>
              <w:t> </w:t>
            </w:r>
          </w:p>
        </w:tc>
        <w:tc>
          <w:tcPr>
            <w:tcW w:w="2615" w:type="dxa"/>
            <w:tcBorders>
              <w:bottom w:val="single" w:sz="8" w:space="0" w:color="000000"/>
            </w:tcBorders>
            <w:shd w:fill="auto" w:val="clear"/>
            <w:vAlign w:val="center"/>
          </w:tcPr>
          <w:p>
            <w:pPr>
              <w:pStyle w:val="TableContents"/>
              <w:spacing w:before="0" w:after="283"/>
              <w:jc w:val="center"/>
              <w:rPr>
                <w:b/>
              </w:rPr>
            </w:pPr>
            <w:r>
              <w:rPr>
                <w:b/>
              </w:rPr>
              <w:t>001-12622</w:t>
            </w:r>
          </w:p>
        </w:tc>
        <w:tc>
          <w:tcPr>
            <w:tcW w:w="60" w:type="dxa"/>
            <w:tcBorders>
              <w:bottom w:val="single" w:sz="8" w:space="0" w:color="000000"/>
            </w:tcBorders>
            <w:shd w:fill="auto" w:val="clear"/>
            <w:vAlign w:val="center"/>
          </w:tcPr>
          <w:p>
            <w:pPr>
              <w:pStyle w:val="TableContents"/>
              <w:spacing w:before="0" w:after="283"/>
              <w:rPr/>
            </w:pPr>
            <w:r>
              <w:rPr/>
              <w:t> </w:t>
            </w:r>
          </w:p>
        </w:tc>
        <w:tc>
          <w:tcPr>
            <w:tcW w:w="3275" w:type="dxa"/>
            <w:tcBorders>
              <w:bottom w:val="single" w:sz="8" w:space="0" w:color="000000"/>
            </w:tcBorders>
            <w:shd w:fill="auto" w:val="clear"/>
            <w:vAlign w:val="center"/>
          </w:tcPr>
          <w:p>
            <w:pPr>
              <w:pStyle w:val="TableContents"/>
              <w:spacing w:before="0" w:after="283"/>
              <w:jc w:val="center"/>
              <w:rPr>
                <w:b/>
              </w:rPr>
            </w:pPr>
            <w:r>
              <w:rPr>
                <w:b/>
              </w:rPr>
              <w:t>36-2048898</w:t>
            </w:r>
          </w:p>
        </w:tc>
      </w:tr>
      <w:tr>
        <w:trPr/>
        <w:tc>
          <w:tcPr>
            <w:tcW w:w="2735" w:type="dxa"/>
            <w:tcBorders/>
            <w:shd w:fill="auto" w:val="clear"/>
            <w:tcMar>
              <w:bottom w:w="0" w:type="dxa"/>
            </w:tcMar>
            <w:vAlign w:val="center"/>
          </w:tcPr>
          <w:p>
            <w:pPr>
              <w:pStyle w:val="TableContents"/>
              <w:spacing w:before="0" w:after="283"/>
              <w:jc w:val="center"/>
              <w:rPr/>
            </w:pPr>
            <w:r>
              <w:rPr/>
              <w:t>(State or other jurisdiction of</w:t>
              <w:br/>
              <w:t>incorporation)</w:t>
            </w:r>
          </w:p>
        </w:tc>
        <w:tc>
          <w:tcPr>
            <w:tcW w:w="60" w:type="dxa"/>
            <w:tcBorders/>
            <w:shd w:fill="auto" w:val="clear"/>
            <w:tcMar>
              <w:bottom w:w="0" w:type="dxa"/>
            </w:tcMar>
            <w:vAlign w:val="center"/>
          </w:tcPr>
          <w:p>
            <w:pPr>
              <w:pStyle w:val="TableContents"/>
              <w:spacing w:before="0" w:after="283"/>
              <w:rPr/>
            </w:pPr>
            <w:r>
              <w:rPr/>
              <w:t> </w:t>
            </w:r>
          </w:p>
        </w:tc>
        <w:tc>
          <w:tcPr>
            <w:tcW w:w="2615" w:type="dxa"/>
            <w:tcBorders/>
            <w:shd w:fill="auto" w:val="clear"/>
            <w:tcMar>
              <w:bottom w:w="0" w:type="dxa"/>
            </w:tcMar>
            <w:vAlign w:val="center"/>
          </w:tcPr>
          <w:p>
            <w:pPr>
              <w:pStyle w:val="TableContents"/>
              <w:spacing w:before="0" w:after="283"/>
              <w:jc w:val="center"/>
              <w:rPr/>
            </w:pPr>
            <w:r>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3275" w:type="dxa"/>
            <w:tcBorders/>
            <w:shd w:fill="auto" w:val="clear"/>
            <w:tcMar>
              <w:bottom w:w="0" w:type="dxa"/>
            </w:tcMar>
            <w:vAlign w:val="center"/>
          </w:tcPr>
          <w:p>
            <w:pPr>
              <w:pStyle w:val="TableContents"/>
              <w:spacing w:before="0" w:after="283"/>
              <w:jc w:val="center"/>
              <w:rPr/>
            </w:pPr>
            <w:r>
              <w:rPr/>
              <w:t>(IRS Employer 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3820" w:type="dxa"/>
        <w:jc w:val="left"/>
        <w:tblInd w:w="0" w:type="dxa"/>
        <w:tblCellMar>
          <w:top w:w="0" w:type="dxa"/>
          <w:left w:w="0" w:type="dxa"/>
          <w:bottom w:w="28" w:type="dxa"/>
          <w:right w:w="0" w:type="dxa"/>
        </w:tblCellMar>
      </w:tblPr>
      <w:tblGrid>
        <w:gridCol w:w="2780"/>
        <w:gridCol w:w="1040"/>
      </w:tblGrid>
      <w:tr>
        <w:trPr/>
        <w:tc>
          <w:tcPr>
            <w:tcW w:w="2780"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040" w:type="dxa"/>
            <w:tcBorders>
              <w:bottom w:val="single" w:sz="8" w:space="0" w:color="000000"/>
            </w:tcBorders>
            <w:shd w:fill="auto" w:val="clear"/>
            <w:vAlign w:val="center"/>
          </w:tcPr>
          <w:p>
            <w:pPr>
              <w:pStyle w:val="TableContents"/>
              <w:spacing w:before="0" w:after="0"/>
              <w:jc w:val="center"/>
              <w:rPr>
                <w:caps w:val="false"/>
                <w:smallCaps w:val="false"/>
              </w:rPr>
            </w:pPr>
            <w:r>
              <w:rPr>
                <w:caps w:val="false"/>
                <w:smallCaps w:val="false"/>
              </w:rPr>
              <w:t> </w:t>
            </w:r>
          </w:p>
          <w:p>
            <w:pPr>
              <w:pStyle w:val="TableContents"/>
              <w:spacing w:before="0" w:after="0"/>
              <w:jc w:val="center"/>
              <w:rPr>
                <w:caps w:val="false"/>
                <w:smallCaps w:val="false"/>
              </w:rPr>
            </w:pPr>
            <w:r>
              <w:rPr>
                <w:caps w:val="false"/>
                <w:smallCaps w:val="false"/>
              </w:rPr>
              <w:t> </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780" w:type="dxa"/>
            <w:tcBorders/>
            <w:shd w:fill="auto" w:val="clear"/>
            <w:tcMar>
              <w:bottom w:w="0" w:type="dxa"/>
            </w:tcMar>
            <w:vAlign w:val="center"/>
          </w:tcPr>
          <w:p>
            <w:pPr>
              <w:pStyle w:val="TableContents"/>
              <w:spacing w:before="0" w:after="283"/>
              <w:jc w:val="center"/>
              <w:rPr>
                <w:sz w:val="17"/>
              </w:rPr>
            </w:pPr>
            <w:r>
              <w:rPr>
                <w:sz w:val="17"/>
              </w:rPr>
              <w:t>(Address of principal executive offices)</w:t>
            </w:r>
          </w:p>
        </w:tc>
        <w:tc>
          <w:tcPr>
            <w:tcW w:w="1040" w:type="dxa"/>
            <w:tcBorders/>
            <w:shd w:fill="auto" w:val="clear"/>
            <w:tcMar>
              <w:bottom w:w="0" w:type="dxa"/>
            </w:tcMar>
            <w:vAlign w:val="center"/>
          </w:tcPr>
          <w:p>
            <w:pPr>
              <w:pStyle w:val="TableContents"/>
              <w:spacing w:before="0" w:after="283"/>
              <w:jc w:val="center"/>
              <w:rPr>
                <w:sz w:val="17"/>
              </w:rPr>
            </w:pPr>
            <w:r>
              <w:rPr>
                <w:sz w:val="17"/>
              </w:rPr>
              <w:t>(Zip Code)</w:t>
            </w:r>
          </w:p>
        </w:tc>
      </w:tr>
    </w:tbl>
    <w:p>
      <w:pPr>
        <w:pStyle w:val="TextBody"/>
        <w:spacing w:before="0" w:after="0"/>
        <w:ind w:left="0" w:right="0" w:hanging="0"/>
        <w:rPr>
          <w:caps w:val="false"/>
          <w:smallCaps w:val="false"/>
        </w:rPr>
      </w:pPr>
      <w:r>
        <w:rPr>
          <w:caps w:val="false"/>
          <w:smallCaps w:val="false"/>
        </w:rPr>
        <w:t> </w:t>
      </w:r>
    </w:p>
    <w:tbl>
      <w:tblPr>
        <w:tblW w:w="4765" w:type="dxa"/>
        <w:jc w:val="left"/>
        <w:tblInd w:w="0" w:type="dxa"/>
        <w:tblCellMar>
          <w:top w:w="0" w:type="dxa"/>
          <w:left w:w="0" w:type="dxa"/>
          <w:bottom w:w="0" w:type="dxa"/>
          <w:right w:w="0" w:type="dxa"/>
        </w:tblCellMar>
      </w:tblPr>
      <w:tblGrid>
        <w:gridCol w:w="3605"/>
        <w:gridCol w:w="1160"/>
      </w:tblGrid>
      <w:tr>
        <w:trPr/>
        <w:tc>
          <w:tcPr>
            <w:tcW w:w="3605" w:type="dxa"/>
            <w:tcBorders/>
            <w:shd w:fill="auto" w:val="clear"/>
            <w:vAlign w:val="center"/>
          </w:tcPr>
          <w:p>
            <w:pPr>
              <w:pStyle w:val="TableContents"/>
              <w:spacing w:before="0" w:after="283"/>
              <w:rPr>
                <w:sz w:val="17"/>
              </w:rPr>
            </w:pPr>
            <w:r>
              <w:rPr>
                <w:sz w:val="17"/>
              </w:rPr>
              <w:t>Registrant’s telephone number, including area code</w:t>
            </w:r>
          </w:p>
        </w:tc>
        <w:tc>
          <w:tcPr>
            <w:tcW w:w="1160" w:type="dxa"/>
            <w:tcBorders>
              <w:bottom w:val="single" w:sz="8" w:space="0" w:color="000000"/>
            </w:tcBorders>
            <w:shd w:fill="auto" w:val="clear"/>
            <w:tcMar>
              <w:bottom w:w="28" w:type="dxa"/>
            </w:tcMar>
            <w:vAlign w:val="center"/>
          </w:tcPr>
          <w:p>
            <w:pPr>
              <w:pStyle w:val="TableContents"/>
              <w:spacing w:before="0" w:after="283"/>
              <w:rPr>
                <w:b/>
                <w:sz w:val="17"/>
              </w:rPr>
            </w:pPr>
            <w:r>
              <w:rPr>
                <w:b/>
                <w:sz w:val="17"/>
              </w:rPr>
              <w:t>(312) 321-1515</w:t>
            </w:r>
          </w:p>
        </w:tc>
      </w:tr>
    </w:tbl>
    <w:p>
      <w:pPr>
        <w:pStyle w:val="TextBody"/>
        <w:spacing w:before="0" w:after="0"/>
        <w:ind w:left="0" w:right="0" w:hanging="0"/>
        <w:rPr>
          <w:caps w:val="false"/>
          <w:smallCaps w:val="false"/>
        </w:rPr>
      </w:pPr>
      <w:r>
        <w:rPr>
          <w:caps w:val="false"/>
          <w:smallCaps w:val="false"/>
        </w:rPr>
        <w:t> </w:t>
      </w:r>
    </w:p>
    <w:tbl>
      <w:tblPr>
        <w:tblW w:w="4955" w:type="dxa"/>
        <w:jc w:val="left"/>
        <w:tblInd w:w="0" w:type="dxa"/>
        <w:tblCellMar>
          <w:top w:w="0" w:type="dxa"/>
          <w:left w:w="0" w:type="dxa"/>
          <w:bottom w:w="28" w:type="dxa"/>
          <w:right w:w="0" w:type="dxa"/>
        </w:tblCellMar>
      </w:tblPr>
      <w:tblGrid>
        <w:gridCol w:w="4955"/>
      </w:tblGrid>
      <w:tr>
        <w:trPr/>
        <w:tc>
          <w:tcPr>
            <w:tcW w:w="4955" w:type="dxa"/>
            <w:tcBorders>
              <w:bottom w:val="single" w:sz="8" w:space="0" w:color="000000"/>
            </w:tcBorders>
            <w:shd w:fill="auto" w:val="clear"/>
            <w:vAlign w:val="center"/>
          </w:tcPr>
          <w:p>
            <w:pPr>
              <w:pStyle w:val="TableContents"/>
              <w:spacing w:before="0" w:after="283"/>
              <w:rPr/>
            </w:pPr>
            <w:r>
              <w:rPr/>
              <w:t> </w:t>
            </w:r>
          </w:p>
        </w:tc>
      </w:tr>
      <w:tr>
        <w:trPr/>
        <w:tc>
          <w:tcPr>
            <w:tcW w:w="495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firstLine="720"/>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caps w:val="false"/>
          <w:smallCaps w:val="false"/>
        </w:rPr>
      </w:pPr>
      <w:r>
        <w:rPr>
          <w:caps w:val="false"/>
          <w:smallCaps w:val="false"/>
        </w:rPr>
        <w:t> </w:t>
      </w:r>
    </w:p>
    <w:tbl>
      <w:tblPr>
        <w:tblW w:w="8793" w:type="dxa"/>
        <w:jc w:val="left"/>
        <w:tblInd w:w="0" w:type="dxa"/>
        <w:tblCellMar>
          <w:top w:w="0" w:type="dxa"/>
          <w:left w:w="0" w:type="dxa"/>
          <w:bottom w:w="0" w:type="dxa"/>
          <w:right w:w="0" w:type="dxa"/>
        </w:tblCellMar>
      </w:tblPr>
      <w:tblGrid>
        <w:gridCol w:w="38"/>
        <w:gridCol w:w="23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8525" w:type="dxa"/>
            <w:tcBorders/>
            <w:shd w:fill="auto" w:val="clear"/>
            <w:vAlign w:val="center"/>
          </w:tcPr>
          <w:p>
            <w:pPr>
              <w:pStyle w:val="TableContents"/>
              <w:spacing w:before="0" w:after="283"/>
              <w:jc w:val="both"/>
              <w:rPr/>
            </w:pPr>
            <w:r>
              <w:rPr/>
              <w:t>Written communications pursuant to Rule 425 under the Securities Act (17 CFR 230.425)</w:t>
            </w:r>
          </w:p>
        </w:tc>
      </w:tr>
    </w:tbl>
    <w:tbl>
      <w:tblPr>
        <w:tblW w:w="173" w:type="dxa"/>
        <w:jc w:val="left"/>
        <w:tblInd w:w="0" w:type="dxa"/>
        <w:tblCellMar>
          <w:top w:w="0" w:type="dxa"/>
          <w:left w:w="0" w:type="dxa"/>
          <w:bottom w:w="0" w:type="dxa"/>
          <w:right w:w="0" w:type="dxa"/>
        </w:tblCellMar>
      </w:tblPr>
      <w:tblGrid>
        <w:gridCol w:w="38"/>
        <w:gridCol w:w="60"/>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jc w:val="both"/>
              <w:rPr/>
            </w:pPr>
            <w:r>
              <w:rPr/>
              <w:t> </w:t>
            </w:r>
          </w:p>
        </w:tc>
      </w:tr>
    </w:tbl>
    <w:tbl>
      <w:tblPr>
        <w:tblW w:w="8823" w:type="dxa"/>
        <w:jc w:val="left"/>
        <w:tblInd w:w="0" w:type="dxa"/>
        <w:tblCellMar>
          <w:top w:w="0" w:type="dxa"/>
          <w:left w:w="0" w:type="dxa"/>
          <w:bottom w:w="0" w:type="dxa"/>
          <w:right w:w="0" w:type="dxa"/>
        </w:tblCellMar>
      </w:tblPr>
      <w:tblGrid>
        <w:gridCol w:w="38"/>
        <w:gridCol w:w="230"/>
        <w:gridCol w:w="855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8555" w:type="dxa"/>
            <w:tcBorders/>
            <w:shd w:fill="auto" w:val="clear"/>
            <w:vAlign w:val="center"/>
          </w:tcPr>
          <w:p>
            <w:pPr>
              <w:pStyle w:val="TableContents"/>
              <w:spacing w:before="0" w:after="283"/>
              <w:jc w:val="both"/>
              <w:rPr/>
            </w:pPr>
            <w:r>
              <w:rPr/>
              <w:t>Soliciting material pursuant to Rule 14a-12 under the Exchange Act (17 CFR 240.14a-12)</w:t>
            </w:r>
          </w:p>
        </w:tc>
      </w:tr>
    </w:tbl>
    <w:tbl>
      <w:tblPr>
        <w:tblW w:w="173" w:type="dxa"/>
        <w:jc w:val="left"/>
        <w:tblInd w:w="0" w:type="dxa"/>
        <w:tblCellMar>
          <w:top w:w="0" w:type="dxa"/>
          <w:left w:w="0" w:type="dxa"/>
          <w:bottom w:w="0" w:type="dxa"/>
          <w:right w:w="0" w:type="dxa"/>
        </w:tblCellMar>
      </w:tblPr>
      <w:tblGrid>
        <w:gridCol w:w="38"/>
        <w:gridCol w:w="60"/>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jc w:val="both"/>
              <w:rPr/>
            </w:pPr>
            <w:r>
              <w:rPr/>
              <w:t> </w:t>
            </w:r>
          </w:p>
        </w:tc>
      </w:tr>
    </w:tbl>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9937" w:type="dxa"/>
            <w:tcBorders/>
            <w:shd w:fill="auto" w:val="clear"/>
            <w:vAlign w:val="center"/>
          </w:tcPr>
          <w:p>
            <w:pPr>
              <w:pStyle w:val="TableContents"/>
              <w:spacing w:before="0" w:after="283"/>
              <w:jc w:val="both"/>
              <w:rPr/>
            </w:pPr>
            <w:r>
              <w:rPr/>
              <w:t>Pre-commencement communications pursuant to Rule 14d-2(b) under the Exchange Act (17 CFR 240.14d-2(b))</w:t>
            </w:r>
          </w:p>
        </w:tc>
      </w:tr>
    </w:tbl>
    <w:tbl>
      <w:tblPr>
        <w:tblW w:w="173" w:type="dxa"/>
        <w:jc w:val="left"/>
        <w:tblInd w:w="0" w:type="dxa"/>
        <w:tblCellMar>
          <w:top w:w="0" w:type="dxa"/>
          <w:left w:w="0" w:type="dxa"/>
          <w:bottom w:w="0" w:type="dxa"/>
          <w:right w:w="0" w:type="dxa"/>
        </w:tblCellMar>
      </w:tblPr>
      <w:tblGrid>
        <w:gridCol w:w="38"/>
        <w:gridCol w:w="60"/>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jc w:val="both"/>
              <w:rPr/>
            </w:pPr>
            <w:r>
              <w:rPr/>
              <w:t> </w:t>
            </w:r>
          </w:p>
        </w:tc>
      </w:tr>
    </w:tbl>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9937"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6348" w:type="dxa"/>
        <w:jc w:val="left"/>
        <w:tblInd w:w="0" w:type="dxa"/>
        <w:tblCellMar>
          <w:top w:w="0" w:type="dxa"/>
          <w:left w:w="0" w:type="dxa"/>
          <w:bottom w:w="0" w:type="dxa"/>
          <w:right w:w="0" w:type="dxa"/>
        </w:tblCellMar>
      </w:tblPr>
      <w:tblGrid>
        <w:gridCol w:w="38"/>
        <w:gridCol w:w="965"/>
        <w:gridCol w:w="5345"/>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jc w:val="left"/>
              <w:rPr>
                <w:b/>
                <w:u w:val="single"/>
              </w:rPr>
            </w:pPr>
            <w:r>
              <w:rPr>
                <w:b/>
                <w:u w:val="single"/>
              </w:rPr>
              <w:t>Item 5.07</w:t>
            </w:r>
          </w:p>
        </w:tc>
        <w:tc>
          <w:tcPr>
            <w:tcW w:w="5345" w:type="dxa"/>
            <w:tcBorders/>
            <w:shd w:fill="auto" w:val="clear"/>
            <w:vAlign w:val="center"/>
          </w:tcPr>
          <w:p>
            <w:pPr>
              <w:pStyle w:val="TableContents"/>
              <w:spacing w:before="0" w:after="283"/>
              <w:jc w:val="both"/>
              <w:rPr>
                <w:b/>
              </w:rPr>
            </w:pPr>
            <w:r>
              <w:rPr>
                <w:b/>
              </w:rPr>
              <w:t>Submission of Matters to a Vote of Security Holders.</w:t>
            </w:r>
          </w:p>
        </w:tc>
      </w:tr>
    </w:tbl>
    <w:p>
      <w:pPr>
        <w:pStyle w:val="TextBody"/>
        <w:spacing w:before="0" w:after="0"/>
        <w:ind w:left="0" w:right="0" w:firstLine="2816"/>
        <w:jc w:val="both"/>
        <w:rPr>
          <w:caps w:val="false"/>
          <w:smallCaps w:val="false"/>
        </w:rPr>
      </w:pPr>
      <w:r>
        <w:rPr>
          <w:caps w:val="false"/>
          <w:smallCaps w:val="false"/>
        </w:rPr>
        <w:t> </w:t>
      </w:r>
    </w:p>
    <w:p>
      <w:pPr>
        <w:pStyle w:val="TextBody"/>
        <w:spacing w:before="0" w:after="0"/>
        <w:ind w:left="0" w:right="0" w:firstLine="396"/>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Corporation of America (the “Registrant”) held its annual meeting of stockholders on December 9, 2014. See the Registrant’s Proxy Statement for more information on the proposals presented at the meeting, the relevant portions of which are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ELECTION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96"/>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elected all of the Board’s nominees for director. The voting results were as follows:</w:t>
      </w:r>
    </w:p>
    <w:p>
      <w:pPr>
        <w:pStyle w:val="TextBody"/>
        <w:spacing w:before="0" w:after="0"/>
        <w:ind w:left="0" w:right="0" w:hanging="0"/>
        <w:rPr>
          <w:caps w:val="false"/>
          <w:smallCaps w:val="false"/>
        </w:rPr>
      </w:pPr>
      <w:r>
        <w:rPr>
          <w:caps w:val="false"/>
          <w:smallCaps w:val="false"/>
        </w:rPr>
        <w:t> </w:t>
      </w:r>
    </w:p>
    <w:tbl>
      <w:tblPr>
        <w:tblW w:w="6035" w:type="dxa"/>
        <w:jc w:val="left"/>
        <w:tblInd w:w="0" w:type="dxa"/>
        <w:tblCellMar>
          <w:top w:w="0" w:type="dxa"/>
          <w:left w:w="0" w:type="dxa"/>
          <w:bottom w:w="28" w:type="dxa"/>
          <w:right w:w="0" w:type="dxa"/>
        </w:tblCellMar>
      </w:tblPr>
      <w:tblGrid>
        <w:gridCol w:w="2150"/>
        <w:gridCol w:w="1100"/>
        <w:gridCol w:w="980"/>
        <w:gridCol w:w="1805"/>
      </w:tblGrid>
      <w:tr>
        <w:trPr/>
        <w:tc>
          <w:tcPr>
            <w:tcW w:w="2150" w:type="dxa"/>
            <w:tcBorders>
              <w:bottom w:val="single" w:sz="8" w:space="0" w:color="000000"/>
            </w:tcBorders>
            <w:shd w:fill="auto" w:val="clear"/>
            <w:vAlign w:val="center"/>
          </w:tcPr>
          <w:p>
            <w:pPr>
              <w:pStyle w:val="TableContents"/>
              <w:spacing w:before="0" w:after="283"/>
              <w:rPr/>
            </w:pPr>
            <w:r>
              <w:rPr/>
              <w:t>Director</w:t>
            </w:r>
          </w:p>
        </w:tc>
        <w:tc>
          <w:tcPr>
            <w:tcW w:w="1100" w:type="dxa"/>
            <w:tcBorders>
              <w:bottom w:val="single" w:sz="8" w:space="0" w:color="000000"/>
            </w:tcBorders>
            <w:shd w:fill="auto" w:val="clear"/>
            <w:vAlign w:val="center"/>
          </w:tcPr>
          <w:p>
            <w:pPr>
              <w:pStyle w:val="TableContents"/>
              <w:spacing w:before="0" w:after="283"/>
              <w:jc w:val="right"/>
              <w:rPr/>
            </w:pPr>
            <w:r>
              <w:rPr/>
              <w:t>For</w:t>
            </w:r>
          </w:p>
        </w:tc>
        <w:tc>
          <w:tcPr>
            <w:tcW w:w="980" w:type="dxa"/>
            <w:tcBorders>
              <w:bottom w:val="single" w:sz="8" w:space="0" w:color="000000"/>
            </w:tcBorders>
            <w:shd w:fill="auto" w:val="clear"/>
            <w:vAlign w:val="center"/>
          </w:tcPr>
          <w:p>
            <w:pPr>
              <w:pStyle w:val="TableContents"/>
              <w:spacing w:before="0" w:after="283"/>
              <w:jc w:val="right"/>
              <w:rPr/>
            </w:pPr>
            <w:r>
              <w:rPr/>
              <w:t>Withheld</w:t>
            </w:r>
          </w:p>
        </w:tc>
        <w:tc>
          <w:tcPr>
            <w:tcW w:w="1805" w:type="dxa"/>
            <w:tcBorders>
              <w:bottom w:val="single" w:sz="8" w:space="0" w:color="000000"/>
            </w:tcBorders>
            <w:shd w:fill="auto" w:val="clear"/>
            <w:vAlign w:val="center"/>
          </w:tcPr>
          <w:p>
            <w:pPr>
              <w:pStyle w:val="TableContents"/>
              <w:spacing w:before="0" w:after="283"/>
              <w:jc w:val="right"/>
              <w:rPr/>
            </w:pPr>
            <w:r>
              <w:rPr/>
              <w:t>Broker Non-Votes</w:t>
            </w:r>
          </w:p>
        </w:tc>
      </w:tr>
      <w:tr>
        <w:trPr/>
        <w:tc>
          <w:tcPr>
            <w:tcW w:w="2150" w:type="dxa"/>
            <w:tcBorders/>
            <w:shd w:fill="CCFFCC" w:val="clear"/>
            <w:tcMar>
              <w:bottom w:w="0" w:type="dxa"/>
            </w:tcMar>
            <w:vAlign w:val="center"/>
          </w:tcPr>
          <w:p>
            <w:pPr>
              <w:pStyle w:val="TableContents"/>
              <w:spacing w:before="0" w:after="283"/>
              <w:rPr/>
            </w:pPr>
            <w:r>
              <w:rPr/>
              <w:t>J. Steven Cole</w:t>
            </w:r>
          </w:p>
        </w:tc>
        <w:tc>
          <w:tcPr>
            <w:tcW w:w="1100" w:type="dxa"/>
            <w:tcBorders/>
            <w:shd w:fill="CCFFCC" w:val="clear"/>
            <w:tcMar>
              <w:bottom w:w="0" w:type="dxa"/>
            </w:tcMar>
            <w:vAlign w:val="center"/>
          </w:tcPr>
          <w:p>
            <w:pPr>
              <w:pStyle w:val="TableContents"/>
              <w:spacing w:before="0" w:after="283"/>
              <w:jc w:val="right"/>
              <w:rPr/>
            </w:pPr>
            <w:r>
              <w:rPr/>
              <w:t>19,566,267</w:t>
            </w:r>
          </w:p>
        </w:tc>
        <w:tc>
          <w:tcPr>
            <w:tcW w:w="980" w:type="dxa"/>
            <w:tcBorders/>
            <w:shd w:fill="CCFFCC" w:val="clear"/>
            <w:tcMar>
              <w:bottom w:w="0" w:type="dxa"/>
            </w:tcMar>
            <w:vAlign w:val="center"/>
          </w:tcPr>
          <w:p>
            <w:pPr>
              <w:pStyle w:val="TableContents"/>
              <w:spacing w:before="0" w:after="283"/>
              <w:jc w:val="right"/>
              <w:rPr/>
            </w:pPr>
            <w:r>
              <w:rPr/>
              <w:t>160,610</w:t>
            </w:r>
          </w:p>
        </w:tc>
        <w:tc>
          <w:tcPr>
            <w:tcW w:w="1805" w:type="dxa"/>
            <w:tcBorders/>
            <w:shd w:fill="CCFFCC" w:val="clear"/>
            <w:tcMar>
              <w:bottom w:w="0" w:type="dxa"/>
            </w:tcMar>
            <w:vAlign w:val="center"/>
          </w:tcPr>
          <w:p>
            <w:pPr>
              <w:pStyle w:val="TableContents"/>
              <w:spacing w:before="0" w:after="283"/>
              <w:jc w:val="right"/>
              <w:rPr/>
            </w:pPr>
            <w:r>
              <w:rPr/>
              <w:t>823,440</w:t>
            </w:r>
          </w:p>
        </w:tc>
      </w:tr>
      <w:tr>
        <w:trPr/>
        <w:tc>
          <w:tcPr>
            <w:tcW w:w="2150" w:type="dxa"/>
            <w:tcBorders/>
            <w:shd w:fill="FFFFFF" w:val="clear"/>
            <w:tcMar>
              <w:bottom w:w="0" w:type="dxa"/>
            </w:tcMar>
            <w:vAlign w:val="center"/>
          </w:tcPr>
          <w:p>
            <w:pPr>
              <w:pStyle w:val="TableContents"/>
              <w:spacing w:before="0" w:after="283"/>
              <w:rPr/>
            </w:pPr>
            <w:r>
              <w:rPr/>
              <w:t>Daniel S. Jaffee</w:t>
            </w:r>
          </w:p>
        </w:tc>
        <w:tc>
          <w:tcPr>
            <w:tcW w:w="1100" w:type="dxa"/>
            <w:tcBorders/>
            <w:shd w:fill="FFFFFF" w:val="clear"/>
            <w:tcMar>
              <w:bottom w:w="0" w:type="dxa"/>
            </w:tcMar>
            <w:vAlign w:val="center"/>
          </w:tcPr>
          <w:p>
            <w:pPr>
              <w:pStyle w:val="TableContents"/>
              <w:spacing w:before="0" w:after="283"/>
              <w:jc w:val="right"/>
              <w:rPr/>
            </w:pPr>
            <w:r>
              <w:rPr/>
              <w:t>17,903,749</w:t>
            </w:r>
          </w:p>
        </w:tc>
        <w:tc>
          <w:tcPr>
            <w:tcW w:w="980" w:type="dxa"/>
            <w:tcBorders/>
            <w:shd w:fill="FFFFFF" w:val="clear"/>
            <w:tcMar>
              <w:bottom w:w="0" w:type="dxa"/>
            </w:tcMar>
            <w:vAlign w:val="center"/>
          </w:tcPr>
          <w:p>
            <w:pPr>
              <w:pStyle w:val="TableContents"/>
              <w:spacing w:before="0" w:after="283"/>
              <w:jc w:val="right"/>
              <w:rPr/>
            </w:pPr>
            <w:r>
              <w:rPr/>
              <w:t>1,823,128</w:t>
            </w:r>
          </w:p>
        </w:tc>
        <w:tc>
          <w:tcPr>
            <w:tcW w:w="1805" w:type="dxa"/>
            <w:tcBorders/>
            <w:shd w:fill="FFFFFF" w:val="clear"/>
            <w:tcMar>
              <w:bottom w:w="0" w:type="dxa"/>
            </w:tcMar>
            <w:vAlign w:val="center"/>
          </w:tcPr>
          <w:p>
            <w:pPr>
              <w:pStyle w:val="TableContents"/>
              <w:spacing w:before="0" w:after="283"/>
              <w:jc w:val="right"/>
              <w:rPr/>
            </w:pPr>
            <w:r>
              <w:rPr/>
              <w:t>823,440</w:t>
            </w:r>
          </w:p>
        </w:tc>
      </w:tr>
      <w:tr>
        <w:trPr/>
        <w:tc>
          <w:tcPr>
            <w:tcW w:w="2150" w:type="dxa"/>
            <w:tcBorders/>
            <w:shd w:fill="CCFFCC" w:val="clear"/>
            <w:tcMar>
              <w:bottom w:w="0" w:type="dxa"/>
            </w:tcMar>
            <w:vAlign w:val="center"/>
          </w:tcPr>
          <w:p>
            <w:pPr>
              <w:pStyle w:val="TableContents"/>
              <w:spacing w:before="0" w:after="283"/>
              <w:rPr/>
            </w:pPr>
            <w:r>
              <w:rPr/>
              <w:t>Richard M. Jaffee</w:t>
            </w:r>
          </w:p>
        </w:tc>
        <w:tc>
          <w:tcPr>
            <w:tcW w:w="1100" w:type="dxa"/>
            <w:tcBorders/>
            <w:shd w:fill="CCFFCC" w:val="clear"/>
            <w:tcMar>
              <w:bottom w:w="0" w:type="dxa"/>
            </w:tcMar>
            <w:vAlign w:val="center"/>
          </w:tcPr>
          <w:p>
            <w:pPr>
              <w:pStyle w:val="TableContents"/>
              <w:spacing w:before="0" w:after="283"/>
              <w:jc w:val="right"/>
              <w:rPr/>
            </w:pPr>
            <w:r>
              <w:rPr/>
              <w:t>17,836,842</w:t>
            </w:r>
          </w:p>
        </w:tc>
        <w:tc>
          <w:tcPr>
            <w:tcW w:w="980" w:type="dxa"/>
            <w:tcBorders/>
            <w:shd w:fill="CCFFCC" w:val="clear"/>
            <w:tcMar>
              <w:bottom w:w="0" w:type="dxa"/>
            </w:tcMar>
            <w:vAlign w:val="center"/>
          </w:tcPr>
          <w:p>
            <w:pPr>
              <w:pStyle w:val="TableContents"/>
              <w:spacing w:before="0" w:after="283"/>
              <w:jc w:val="right"/>
              <w:rPr/>
            </w:pPr>
            <w:r>
              <w:rPr/>
              <w:t>1,890,035</w:t>
            </w:r>
          </w:p>
        </w:tc>
        <w:tc>
          <w:tcPr>
            <w:tcW w:w="1805" w:type="dxa"/>
            <w:tcBorders/>
            <w:shd w:fill="CCFFCC" w:val="clear"/>
            <w:tcMar>
              <w:bottom w:w="0" w:type="dxa"/>
            </w:tcMar>
            <w:vAlign w:val="center"/>
          </w:tcPr>
          <w:p>
            <w:pPr>
              <w:pStyle w:val="TableContents"/>
              <w:spacing w:before="0" w:after="283"/>
              <w:jc w:val="right"/>
              <w:rPr/>
            </w:pPr>
            <w:r>
              <w:rPr/>
              <w:t>823,440</w:t>
            </w:r>
          </w:p>
        </w:tc>
      </w:tr>
      <w:tr>
        <w:trPr/>
        <w:tc>
          <w:tcPr>
            <w:tcW w:w="2150" w:type="dxa"/>
            <w:tcBorders/>
            <w:shd w:fill="FFFFFF" w:val="clear"/>
            <w:tcMar>
              <w:bottom w:w="0" w:type="dxa"/>
            </w:tcMar>
            <w:vAlign w:val="center"/>
          </w:tcPr>
          <w:p>
            <w:pPr>
              <w:pStyle w:val="TableContents"/>
              <w:spacing w:before="0" w:after="283"/>
              <w:rPr/>
            </w:pPr>
            <w:r>
              <w:rPr/>
              <w:t>Joseph C. Miller</w:t>
            </w:r>
          </w:p>
        </w:tc>
        <w:tc>
          <w:tcPr>
            <w:tcW w:w="1100" w:type="dxa"/>
            <w:tcBorders/>
            <w:shd w:fill="FFFFFF" w:val="clear"/>
            <w:tcMar>
              <w:bottom w:w="0" w:type="dxa"/>
            </w:tcMar>
            <w:vAlign w:val="center"/>
          </w:tcPr>
          <w:p>
            <w:pPr>
              <w:pStyle w:val="TableContents"/>
              <w:spacing w:before="0" w:after="283"/>
              <w:jc w:val="right"/>
              <w:rPr/>
            </w:pPr>
            <w:r>
              <w:rPr/>
              <w:t>17,759,376</w:t>
            </w:r>
          </w:p>
        </w:tc>
        <w:tc>
          <w:tcPr>
            <w:tcW w:w="980" w:type="dxa"/>
            <w:tcBorders/>
            <w:shd w:fill="FFFFFF" w:val="clear"/>
            <w:tcMar>
              <w:bottom w:w="0" w:type="dxa"/>
            </w:tcMar>
            <w:vAlign w:val="center"/>
          </w:tcPr>
          <w:p>
            <w:pPr>
              <w:pStyle w:val="TableContents"/>
              <w:spacing w:before="0" w:after="283"/>
              <w:jc w:val="right"/>
              <w:rPr/>
            </w:pPr>
            <w:r>
              <w:rPr/>
              <w:t>1,967,501</w:t>
            </w:r>
          </w:p>
        </w:tc>
        <w:tc>
          <w:tcPr>
            <w:tcW w:w="1805" w:type="dxa"/>
            <w:tcBorders/>
            <w:shd w:fill="FFFFFF" w:val="clear"/>
            <w:tcMar>
              <w:bottom w:w="0" w:type="dxa"/>
            </w:tcMar>
            <w:vAlign w:val="center"/>
          </w:tcPr>
          <w:p>
            <w:pPr>
              <w:pStyle w:val="TableContents"/>
              <w:spacing w:before="0" w:after="283"/>
              <w:jc w:val="right"/>
              <w:rPr/>
            </w:pPr>
            <w:r>
              <w:rPr/>
              <w:t>823,440</w:t>
            </w:r>
          </w:p>
        </w:tc>
      </w:tr>
      <w:tr>
        <w:trPr/>
        <w:tc>
          <w:tcPr>
            <w:tcW w:w="2150" w:type="dxa"/>
            <w:tcBorders/>
            <w:shd w:fill="CCFFCC" w:val="clear"/>
            <w:tcMar>
              <w:bottom w:w="0" w:type="dxa"/>
            </w:tcMar>
            <w:vAlign w:val="center"/>
          </w:tcPr>
          <w:p>
            <w:pPr>
              <w:pStyle w:val="TableContents"/>
              <w:spacing w:before="0" w:after="283"/>
              <w:rPr/>
            </w:pPr>
            <w:r>
              <w:rPr/>
              <w:t>Michael A. Nemeroff</w:t>
            </w:r>
          </w:p>
        </w:tc>
        <w:tc>
          <w:tcPr>
            <w:tcW w:w="1100" w:type="dxa"/>
            <w:tcBorders/>
            <w:shd w:fill="CCFFCC" w:val="clear"/>
            <w:tcMar>
              <w:bottom w:w="0" w:type="dxa"/>
            </w:tcMar>
            <w:vAlign w:val="center"/>
          </w:tcPr>
          <w:p>
            <w:pPr>
              <w:pStyle w:val="TableContents"/>
              <w:spacing w:before="0" w:after="283"/>
              <w:jc w:val="right"/>
              <w:rPr/>
            </w:pPr>
            <w:r>
              <w:rPr/>
              <w:t>17,712,991</w:t>
            </w:r>
          </w:p>
        </w:tc>
        <w:tc>
          <w:tcPr>
            <w:tcW w:w="980" w:type="dxa"/>
            <w:tcBorders/>
            <w:shd w:fill="CCFFCC" w:val="clear"/>
            <w:tcMar>
              <w:bottom w:w="0" w:type="dxa"/>
            </w:tcMar>
            <w:vAlign w:val="center"/>
          </w:tcPr>
          <w:p>
            <w:pPr>
              <w:pStyle w:val="TableContents"/>
              <w:spacing w:before="0" w:after="283"/>
              <w:jc w:val="right"/>
              <w:rPr/>
            </w:pPr>
            <w:r>
              <w:rPr/>
              <w:t>2,013,886</w:t>
            </w:r>
          </w:p>
        </w:tc>
        <w:tc>
          <w:tcPr>
            <w:tcW w:w="1805" w:type="dxa"/>
            <w:tcBorders/>
            <w:shd w:fill="CCFFCC" w:val="clear"/>
            <w:tcMar>
              <w:bottom w:w="0" w:type="dxa"/>
            </w:tcMar>
            <w:vAlign w:val="center"/>
          </w:tcPr>
          <w:p>
            <w:pPr>
              <w:pStyle w:val="TableContents"/>
              <w:spacing w:before="0" w:after="283"/>
              <w:jc w:val="right"/>
              <w:rPr/>
            </w:pPr>
            <w:r>
              <w:rPr/>
              <w:t>823,440</w:t>
            </w:r>
          </w:p>
        </w:tc>
      </w:tr>
      <w:tr>
        <w:trPr/>
        <w:tc>
          <w:tcPr>
            <w:tcW w:w="2150" w:type="dxa"/>
            <w:tcBorders/>
            <w:shd w:fill="FFFFFF" w:val="clear"/>
            <w:tcMar>
              <w:bottom w:w="0" w:type="dxa"/>
            </w:tcMar>
            <w:vAlign w:val="center"/>
          </w:tcPr>
          <w:p>
            <w:pPr>
              <w:pStyle w:val="TableContents"/>
              <w:spacing w:before="0" w:after="283"/>
              <w:rPr/>
            </w:pPr>
            <w:r>
              <w:rPr/>
              <w:t>Allan H. Selig</w:t>
            </w:r>
          </w:p>
        </w:tc>
        <w:tc>
          <w:tcPr>
            <w:tcW w:w="1100" w:type="dxa"/>
            <w:tcBorders/>
            <w:shd w:fill="FFFFFF" w:val="clear"/>
            <w:tcMar>
              <w:bottom w:w="0" w:type="dxa"/>
            </w:tcMar>
            <w:vAlign w:val="center"/>
          </w:tcPr>
          <w:p>
            <w:pPr>
              <w:pStyle w:val="TableContents"/>
              <w:spacing w:before="0" w:after="283"/>
              <w:jc w:val="right"/>
              <w:rPr/>
            </w:pPr>
            <w:r>
              <w:rPr/>
              <w:t>19,565,987</w:t>
            </w:r>
          </w:p>
        </w:tc>
        <w:tc>
          <w:tcPr>
            <w:tcW w:w="980" w:type="dxa"/>
            <w:tcBorders/>
            <w:shd w:fill="FFFFFF" w:val="clear"/>
            <w:tcMar>
              <w:bottom w:w="0" w:type="dxa"/>
            </w:tcMar>
            <w:vAlign w:val="center"/>
          </w:tcPr>
          <w:p>
            <w:pPr>
              <w:pStyle w:val="TableContents"/>
              <w:spacing w:before="0" w:after="283"/>
              <w:jc w:val="right"/>
              <w:rPr/>
            </w:pPr>
            <w:r>
              <w:rPr/>
              <w:t>160,890</w:t>
            </w:r>
          </w:p>
        </w:tc>
        <w:tc>
          <w:tcPr>
            <w:tcW w:w="1805" w:type="dxa"/>
            <w:tcBorders/>
            <w:shd w:fill="FFFFFF" w:val="clear"/>
            <w:tcMar>
              <w:bottom w:w="0" w:type="dxa"/>
            </w:tcMar>
            <w:vAlign w:val="center"/>
          </w:tcPr>
          <w:p>
            <w:pPr>
              <w:pStyle w:val="TableContents"/>
              <w:spacing w:before="0" w:after="283"/>
              <w:jc w:val="right"/>
              <w:rPr/>
            </w:pPr>
            <w:r>
              <w:rPr/>
              <w:t>823,440</w:t>
            </w:r>
          </w:p>
        </w:tc>
      </w:tr>
      <w:tr>
        <w:trPr/>
        <w:tc>
          <w:tcPr>
            <w:tcW w:w="2150" w:type="dxa"/>
            <w:tcBorders/>
            <w:shd w:fill="CCFFCC" w:val="clear"/>
            <w:tcMar>
              <w:bottom w:w="0" w:type="dxa"/>
            </w:tcMar>
            <w:vAlign w:val="center"/>
          </w:tcPr>
          <w:p>
            <w:pPr>
              <w:pStyle w:val="TableContents"/>
              <w:spacing w:before="0" w:after="283"/>
              <w:rPr/>
            </w:pPr>
            <w:r>
              <w:rPr/>
              <w:t>Paul E. Suckow</w:t>
            </w:r>
          </w:p>
        </w:tc>
        <w:tc>
          <w:tcPr>
            <w:tcW w:w="1100" w:type="dxa"/>
            <w:tcBorders/>
            <w:shd w:fill="CCFFCC" w:val="clear"/>
            <w:tcMar>
              <w:bottom w:w="0" w:type="dxa"/>
            </w:tcMar>
            <w:vAlign w:val="center"/>
          </w:tcPr>
          <w:p>
            <w:pPr>
              <w:pStyle w:val="TableContents"/>
              <w:spacing w:before="0" w:after="283"/>
              <w:jc w:val="right"/>
              <w:rPr/>
            </w:pPr>
            <w:r>
              <w:rPr/>
              <w:t>19,655,902</w:t>
            </w:r>
          </w:p>
        </w:tc>
        <w:tc>
          <w:tcPr>
            <w:tcW w:w="980" w:type="dxa"/>
            <w:tcBorders/>
            <w:shd w:fill="CCFFCC" w:val="clear"/>
            <w:tcMar>
              <w:bottom w:w="0" w:type="dxa"/>
            </w:tcMar>
            <w:vAlign w:val="center"/>
          </w:tcPr>
          <w:p>
            <w:pPr>
              <w:pStyle w:val="TableContents"/>
              <w:spacing w:before="0" w:after="283"/>
              <w:jc w:val="right"/>
              <w:rPr/>
            </w:pPr>
            <w:r>
              <w:rPr/>
              <w:t>70,975</w:t>
            </w:r>
          </w:p>
        </w:tc>
        <w:tc>
          <w:tcPr>
            <w:tcW w:w="1805" w:type="dxa"/>
            <w:tcBorders/>
            <w:shd w:fill="CCFFCC" w:val="clear"/>
            <w:tcMar>
              <w:bottom w:w="0" w:type="dxa"/>
            </w:tcMar>
            <w:vAlign w:val="center"/>
          </w:tcPr>
          <w:p>
            <w:pPr>
              <w:pStyle w:val="TableContents"/>
              <w:spacing w:before="0" w:after="283"/>
              <w:jc w:val="right"/>
              <w:rPr/>
            </w:pPr>
            <w:r>
              <w:rPr/>
              <w:t>823,440</w:t>
            </w:r>
          </w:p>
        </w:tc>
      </w:tr>
      <w:tr>
        <w:trPr/>
        <w:tc>
          <w:tcPr>
            <w:tcW w:w="2150" w:type="dxa"/>
            <w:tcBorders/>
            <w:shd w:fill="FFFFFF" w:val="clear"/>
            <w:tcMar>
              <w:bottom w:w="0" w:type="dxa"/>
            </w:tcMar>
            <w:vAlign w:val="center"/>
          </w:tcPr>
          <w:p>
            <w:pPr>
              <w:pStyle w:val="TableContents"/>
              <w:spacing w:before="0" w:after="283"/>
              <w:rPr/>
            </w:pPr>
            <w:r>
              <w:rPr/>
              <w:t>Lawrence E. Washow</w:t>
            </w:r>
          </w:p>
        </w:tc>
        <w:tc>
          <w:tcPr>
            <w:tcW w:w="1100" w:type="dxa"/>
            <w:tcBorders/>
            <w:shd w:fill="FFFFFF" w:val="clear"/>
            <w:tcMar>
              <w:bottom w:w="0" w:type="dxa"/>
            </w:tcMar>
            <w:vAlign w:val="center"/>
          </w:tcPr>
          <w:p>
            <w:pPr>
              <w:pStyle w:val="TableContents"/>
              <w:spacing w:before="0" w:after="283"/>
              <w:jc w:val="right"/>
              <w:rPr/>
            </w:pPr>
            <w:r>
              <w:rPr/>
              <w:t>19,657,427</w:t>
            </w:r>
          </w:p>
        </w:tc>
        <w:tc>
          <w:tcPr>
            <w:tcW w:w="980" w:type="dxa"/>
            <w:tcBorders/>
            <w:shd w:fill="FFFFFF" w:val="clear"/>
            <w:tcMar>
              <w:bottom w:w="0" w:type="dxa"/>
            </w:tcMar>
            <w:vAlign w:val="center"/>
          </w:tcPr>
          <w:p>
            <w:pPr>
              <w:pStyle w:val="TableContents"/>
              <w:spacing w:before="0" w:after="283"/>
              <w:jc w:val="right"/>
              <w:rPr/>
            </w:pPr>
            <w:r>
              <w:rPr/>
              <w:t>69,450</w:t>
            </w:r>
          </w:p>
        </w:tc>
        <w:tc>
          <w:tcPr>
            <w:tcW w:w="1805" w:type="dxa"/>
            <w:tcBorders/>
            <w:shd w:fill="FFFFFF" w:val="clear"/>
            <w:tcMar>
              <w:bottom w:w="0" w:type="dxa"/>
            </w:tcMar>
            <w:vAlign w:val="center"/>
          </w:tcPr>
          <w:p>
            <w:pPr>
              <w:pStyle w:val="TableContents"/>
              <w:spacing w:before="0" w:after="283"/>
              <w:jc w:val="right"/>
              <w:rPr/>
            </w:pPr>
            <w:r>
              <w:rPr/>
              <w:t>823,440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RATIFICATION OF THE APPOINTMENT OF INDEPENDENT AUDITOR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96"/>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ratified the appointment of Grant Thornton LLP as independent auditor for the fiscal year ending July 31, 2015. The voting results were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885" w:type="dxa"/>
        <w:jc w:val="left"/>
        <w:tblInd w:w="0" w:type="dxa"/>
        <w:tblCellMar>
          <w:top w:w="0" w:type="dxa"/>
          <w:left w:w="0" w:type="dxa"/>
          <w:bottom w:w="0" w:type="dxa"/>
          <w:right w:w="0" w:type="dxa"/>
        </w:tblCellMar>
      </w:tblPr>
      <w:tblGrid>
        <w:gridCol w:w="770"/>
        <w:gridCol w:w="1115"/>
      </w:tblGrid>
      <w:tr>
        <w:trPr/>
        <w:tc>
          <w:tcPr>
            <w:tcW w:w="770" w:type="dxa"/>
            <w:tcBorders/>
            <w:shd w:fill="CCFFCC" w:val="clear"/>
            <w:vAlign w:val="center"/>
          </w:tcPr>
          <w:p>
            <w:pPr>
              <w:pStyle w:val="TableContents"/>
              <w:spacing w:before="0" w:after="283"/>
              <w:rPr/>
            </w:pPr>
            <w:r>
              <w:rPr/>
              <w:t>For</w:t>
            </w:r>
          </w:p>
        </w:tc>
        <w:tc>
          <w:tcPr>
            <w:tcW w:w="1115" w:type="dxa"/>
            <w:tcBorders/>
            <w:shd w:fill="CCFFCC" w:val="clear"/>
            <w:vAlign w:val="center"/>
          </w:tcPr>
          <w:p>
            <w:pPr>
              <w:pStyle w:val="TableContents"/>
              <w:spacing w:before="0" w:after="283"/>
              <w:jc w:val="right"/>
              <w:rPr/>
            </w:pPr>
            <w:r>
              <w:rPr/>
              <w:t>20,510,657</w:t>
            </w:r>
          </w:p>
        </w:tc>
      </w:tr>
      <w:tr>
        <w:trPr/>
        <w:tc>
          <w:tcPr>
            <w:tcW w:w="770" w:type="dxa"/>
            <w:tcBorders/>
            <w:shd w:fill="FFFFFF" w:val="clear"/>
            <w:vAlign w:val="center"/>
          </w:tcPr>
          <w:p>
            <w:pPr>
              <w:pStyle w:val="TableContents"/>
              <w:spacing w:before="0" w:after="283"/>
              <w:rPr/>
            </w:pPr>
            <w:r>
              <w:rPr/>
              <w:t>Against</w:t>
            </w:r>
          </w:p>
        </w:tc>
        <w:tc>
          <w:tcPr>
            <w:tcW w:w="1115" w:type="dxa"/>
            <w:tcBorders/>
            <w:shd w:fill="FFFFFF" w:val="clear"/>
            <w:vAlign w:val="center"/>
          </w:tcPr>
          <w:p>
            <w:pPr>
              <w:pStyle w:val="TableContents"/>
              <w:spacing w:before="0" w:after="283"/>
              <w:jc w:val="right"/>
              <w:rPr/>
            </w:pPr>
            <w:r>
              <w:rPr/>
              <w:t>37,973</w:t>
            </w:r>
          </w:p>
        </w:tc>
      </w:tr>
      <w:tr>
        <w:trPr/>
        <w:tc>
          <w:tcPr>
            <w:tcW w:w="770" w:type="dxa"/>
            <w:tcBorders/>
            <w:shd w:fill="CCFFCC" w:val="clear"/>
            <w:vAlign w:val="center"/>
          </w:tcPr>
          <w:p>
            <w:pPr>
              <w:pStyle w:val="TableContents"/>
              <w:spacing w:before="0" w:after="283"/>
              <w:rPr/>
            </w:pPr>
            <w:r>
              <w:rPr/>
              <w:t>Abstain</w:t>
            </w:r>
          </w:p>
        </w:tc>
        <w:tc>
          <w:tcPr>
            <w:tcW w:w="1115" w:type="dxa"/>
            <w:tcBorders/>
            <w:shd w:fill="CCFFCC" w:val="clear"/>
            <w:vAlign w:val="center"/>
          </w:tcPr>
          <w:p>
            <w:pPr>
              <w:pStyle w:val="TableContents"/>
              <w:spacing w:before="0" w:after="283"/>
              <w:jc w:val="right"/>
              <w:rPr/>
            </w:pPr>
            <w:r>
              <w:rPr/>
              <w:t>1,687</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APPROVAL, ON AN ADVISORY BASIS, OF THE NAMED EXECUTIVE OFFICER COMPENSATION DISCLOSED IN THE REGISTRANT’S 2014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96"/>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in an advisory vote, approved the named executive officer compensation as disclosed in the Registrant’s 2014 Proxy Statement. The voting results were as follows:</w:t>
      </w:r>
    </w:p>
    <w:p>
      <w:pPr>
        <w:pStyle w:val="TextBody"/>
        <w:spacing w:before="0" w:after="0"/>
        <w:ind w:left="0" w:right="0" w:hanging="0"/>
        <w:rPr>
          <w:caps w:val="false"/>
          <w:smallCaps w:val="false"/>
        </w:rPr>
      </w:pPr>
      <w:r>
        <w:rPr>
          <w:caps w:val="false"/>
          <w:smallCaps w:val="false"/>
        </w:rPr>
        <w:t> </w:t>
      </w:r>
    </w:p>
    <w:tbl>
      <w:tblPr>
        <w:tblW w:w="2920" w:type="dxa"/>
        <w:jc w:val="left"/>
        <w:tblInd w:w="0" w:type="dxa"/>
        <w:tblCellMar>
          <w:top w:w="0" w:type="dxa"/>
          <w:left w:w="0" w:type="dxa"/>
          <w:bottom w:w="0" w:type="dxa"/>
          <w:right w:w="0" w:type="dxa"/>
        </w:tblCellMar>
      </w:tblPr>
      <w:tblGrid>
        <w:gridCol w:w="1805"/>
        <w:gridCol w:w="1115"/>
      </w:tblGrid>
      <w:tr>
        <w:trPr/>
        <w:tc>
          <w:tcPr>
            <w:tcW w:w="1805" w:type="dxa"/>
            <w:tcBorders/>
            <w:shd w:fill="CCFFCC" w:val="clear"/>
            <w:vAlign w:val="center"/>
          </w:tcPr>
          <w:p>
            <w:pPr>
              <w:pStyle w:val="TableContents"/>
              <w:spacing w:before="0" w:after="283"/>
              <w:rPr/>
            </w:pPr>
            <w:r>
              <w:rPr/>
              <w:t>For</w:t>
            </w:r>
          </w:p>
        </w:tc>
        <w:tc>
          <w:tcPr>
            <w:tcW w:w="1115" w:type="dxa"/>
            <w:tcBorders/>
            <w:shd w:fill="CCFFCC" w:val="clear"/>
            <w:vAlign w:val="center"/>
          </w:tcPr>
          <w:p>
            <w:pPr>
              <w:pStyle w:val="TableContents"/>
              <w:spacing w:before="0" w:after="283"/>
              <w:jc w:val="right"/>
              <w:rPr/>
            </w:pPr>
            <w:r>
              <w:rPr/>
              <w:t>19,067,661</w:t>
            </w:r>
          </w:p>
        </w:tc>
      </w:tr>
      <w:tr>
        <w:trPr/>
        <w:tc>
          <w:tcPr>
            <w:tcW w:w="1805" w:type="dxa"/>
            <w:tcBorders/>
            <w:shd w:fill="FFFFFF" w:val="clear"/>
            <w:vAlign w:val="center"/>
          </w:tcPr>
          <w:p>
            <w:pPr>
              <w:pStyle w:val="TableContents"/>
              <w:spacing w:before="0" w:after="283"/>
              <w:rPr/>
            </w:pPr>
            <w:r>
              <w:rPr/>
              <w:t>Against</w:t>
            </w:r>
          </w:p>
        </w:tc>
        <w:tc>
          <w:tcPr>
            <w:tcW w:w="1115" w:type="dxa"/>
            <w:tcBorders/>
            <w:shd w:fill="FFFFFF" w:val="clear"/>
            <w:vAlign w:val="center"/>
          </w:tcPr>
          <w:p>
            <w:pPr>
              <w:pStyle w:val="TableContents"/>
              <w:spacing w:before="0" w:after="283"/>
              <w:jc w:val="right"/>
              <w:rPr/>
            </w:pPr>
            <w:r>
              <w:rPr/>
              <w:t>651,953</w:t>
            </w:r>
          </w:p>
        </w:tc>
      </w:tr>
      <w:tr>
        <w:trPr/>
        <w:tc>
          <w:tcPr>
            <w:tcW w:w="1805" w:type="dxa"/>
            <w:tcBorders/>
            <w:shd w:fill="CCFFCC" w:val="clear"/>
            <w:vAlign w:val="center"/>
          </w:tcPr>
          <w:p>
            <w:pPr>
              <w:pStyle w:val="TableContents"/>
              <w:spacing w:before="0" w:after="283"/>
              <w:rPr/>
            </w:pPr>
            <w:r>
              <w:rPr/>
              <w:t>Abstain</w:t>
            </w:r>
          </w:p>
        </w:tc>
        <w:tc>
          <w:tcPr>
            <w:tcW w:w="1115" w:type="dxa"/>
            <w:tcBorders/>
            <w:shd w:fill="CCFFCC" w:val="clear"/>
            <w:vAlign w:val="center"/>
          </w:tcPr>
          <w:p>
            <w:pPr>
              <w:pStyle w:val="TableContents"/>
              <w:spacing w:before="0" w:after="283"/>
              <w:jc w:val="right"/>
              <w:rPr/>
            </w:pPr>
            <w:r>
              <w:rPr/>
              <w:t>7,263</w:t>
            </w:r>
          </w:p>
        </w:tc>
      </w:tr>
      <w:tr>
        <w:trPr/>
        <w:tc>
          <w:tcPr>
            <w:tcW w:w="1805" w:type="dxa"/>
            <w:tcBorders/>
            <w:shd w:fill="FFFFFF" w:val="clear"/>
            <w:vAlign w:val="center"/>
          </w:tcPr>
          <w:p>
            <w:pPr>
              <w:pStyle w:val="TableContents"/>
              <w:spacing w:before="0" w:after="283"/>
              <w:rPr/>
            </w:pPr>
            <w:r>
              <w:rPr/>
              <w:t>Broker Non-Votes</w:t>
            </w:r>
          </w:p>
        </w:tc>
        <w:tc>
          <w:tcPr>
            <w:tcW w:w="1115" w:type="dxa"/>
            <w:tcBorders/>
            <w:shd w:fill="FFFFFF" w:val="clear"/>
            <w:vAlign w:val="center"/>
          </w:tcPr>
          <w:p>
            <w:pPr>
              <w:pStyle w:val="TableContents"/>
              <w:spacing w:before="0" w:after="283"/>
              <w:jc w:val="right"/>
              <w:rPr/>
            </w:pPr>
            <w:r>
              <w:rPr/>
              <w:t>823,440</w:t>
            </w:r>
          </w:p>
        </w:tc>
      </w:tr>
    </w:tbl>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2448" w:type="dxa"/>
        <w:jc w:val="left"/>
        <w:tblInd w:w="0" w:type="dxa"/>
        <w:tblCellMar>
          <w:top w:w="0" w:type="dxa"/>
          <w:left w:w="0" w:type="dxa"/>
          <w:bottom w:w="0" w:type="dxa"/>
          <w:right w:w="0" w:type="dxa"/>
        </w:tblCellMar>
      </w:tblPr>
      <w:tblGrid>
        <w:gridCol w:w="38"/>
        <w:gridCol w:w="965"/>
        <w:gridCol w:w="1445"/>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jc w:val="left"/>
              <w:rPr>
                <w:b/>
                <w:u w:val="single"/>
              </w:rPr>
            </w:pPr>
            <w:r>
              <w:rPr>
                <w:b/>
                <w:u w:val="single"/>
              </w:rPr>
              <w:t>Item 8.01</w:t>
            </w:r>
          </w:p>
        </w:tc>
        <w:tc>
          <w:tcPr>
            <w:tcW w:w="1445" w:type="dxa"/>
            <w:tcBorders/>
            <w:shd w:fill="auto" w:val="clear"/>
            <w:vAlign w:val="center"/>
          </w:tcPr>
          <w:p>
            <w:pPr>
              <w:pStyle w:val="TableContents"/>
              <w:spacing w:before="0" w:after="283"/>
              <w:jc w:val="both"/>
              <w:rPr>
                <w:b/>
              </w:rPr>
            </w:pPr>
            <w:r>
              <w:rPr>
                <w:b/>
              </w:rPr>
              <w:t>Other Events.</w:t>
            </w:r>
          </w:p>
        </w:tc>
      </w:tr>
    </w:tbl>
    <w:p>
      <w:pPr>
        <w:pStyle w:val="TextBody"/>
        <w:spacing w:before="0" w:after="0"/>
        <w:ind w:left="0" w:right="0" w:firstLine="2816"/>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December 9, 2014, the Registrant’s Board of Directors declared quarterly cash dividends of $0.20 per share of the Registrant’s Common Stock and $0.15 per share of the Registrant’s Class B Stock. The dividends will be payable on March 6, 2015, to stockholders of record at the close of business on February 20, 2015. A copy of the Registrant’s press release announcing these matters is attached as Exhibit 99.1 and the information contained therein is incorporated herein by reference.</w:t>
      </w:r>
    </w:p>
    <w:p>
      <w:pPr>
        <w:pStyle w:val="TextBody"/>
        <w:spacing w:before="0" w:after="0"/>
        <w:ind w:left="0" w:right="0" w:hanging="0"/>
        <w:jc w:val="both"/>
        <w:rPr>
          <w:caps w:val="false"/>
          <w:smallCaps w:val="false"/>
        </w:rPr>
      </w:pPr>
      <w:r>
        <w:rPr>
          <w:caps w:val="false"/>
          <w:smallCaps w:val="false"/>
        </w:rPr>
        <w:t> </w:t>
      </w:r>
    </w:p>
    <w:tbl>
      <w:tblPr>
        <w:tblW w:w="4563" w:type="dxa"/>
        <w:jc w:val="left"/>
        <w:tblInd w:w="0" w:type="dxa"/>
        <w:tblCellMar>
          <w:top w:w="0" w:type="dxa"/>
          <w:left w:w="0" w:type="dxa"/>
          <w:bottom w:w="0" w:type="dxa"/>
          <w:right w:w="0" w:type="dxa"/>
        </w:tblCellMar>
      </w:tblPr>
      <w:tblGrid>
        <w:gridCol w:w="38"/>
        <w:gridCol w:w="965"/>
        <w:gridCol w:w="3560"/>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jc w:val="left"/>
              <w:rPr>
                <w:b/>
                <w:u w:val="single"/>
              </w:rPr>
            </w:pPr>
            <w:r>
              <w:rPr>
                <w:b/>
                <w:u w:val="single"/>
              </w:rPr>
              <w:t>Item 9.01</w:t>
            </w:r>
          </w:p>
        </w:tc>
        <w:tc>
          <w:tcPr>
            <w:tcW w:w="3560" w:type="dxa"/>
            <w:tcBorders/>
            <w:shd w:fill="auto" w:val="clear"/>
            <w:vAlign w:val="center"/>
          </w:tcPr>
          <w:p>
            <w:pPr>
              <w:pStyle w:val="TableContents"/>
              <w:spacing w:before="0" w:after="283"/>
              <w:jc w:val="both"/>
              <w:rPr>
                <w:b/>
              </w:rPr>
            </w:pPr>
            <w:r>
              <w:rPr>
                <w:b/>
              </w:rPr>
              <w:t>Financial Statements and Exhibits.</w:t>
            </w:r>
          </w:p>
        </w:tc>
      </w:tr>
    </w:tbl>
    <w:p>
      <w:pPr>
        <w:pStyle w:val="TextBody"/>
        <w:spacing w:before="0" w:after="0"/>
        <w:ind w:left="0" w:right="0" w:hanging="0"/>
        <w:rPr>
          <w:caps w:val="false"/>
          <w:smallCaps w:val="false"/>
        </w:rPr>
      </w:pPr>
      <w:r>
        <w:rPr>
          <w:caps w:val="false"/>
          <w:smallCaps w:val="false"/>
        </w:rPr>
        <w:t> </w:t>
      </w:r>
    </w:p>
    <w:tbl>
      <w:tblPr>
        <w:tblW w:w="1143" w:type="dxa"/>
        <w:jc w:val="left"/>
        <w:tblInd w:w="0" w:type="dxa"/>
        <w:tblCellMar>
          <w:top w:w="0" w:type="dxa"/>
          <w:left w:w="0" w:type="dxa"/>
          <w:bottom w:w="0" w:type="dxa"/>
          <w:right w:w="0" w:type="dxa"/>
        </w:tblCellMar>
      </w:tblPr>
      <w:tblGrid>
        <w:gridCol w:w="38"/>
        <w:gridCol w:w="290"/>
        <w:gridCol w:w="81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(d)</w:t>
            </w:r>
          </w:p>
        </w:tc>
        <w:tc>
          <w:tcPr>
            <w:tcW w:w="815" w:type="dxa"/>
            <w:tcBorders/>
            <w:shd w:fill="auto" w:val="clear"/>
            <w:vAlign w:val="center"/>
          </w:tcPr>
          <w:p>
            <w:pPr>
              <w:pStyle w:val="TableContents"/>
              <w:spacing w:before="0" w:after="283"/>
              <w:jc w:val="both"/>
              <w:rPr/>
            </w:pPr>
            <w:r>
              <w:rPr/>
              <w:t>Exhibits</w:t>
            </w:r>
          </w:p>
        </w:tc>
      </w:tr>
    </w:tbl>
    <w:p>
      <w:pPr>
        <w:pStyle w:val="TextBody"/>
        <w:spacing w:before="0" w:after="0"/>
        <w:ind w:left="0" w:right="0" w:firstLine="720"/>
        <w:rPr>
          <w:caps w:val="false"/>
          <w:smallCaps w:val="false"/>
        </w:rPr>
      </w:pPr>
      <w:r>
        <w:rPr>
          <w:caps w:val="false"/>
          <w:smallCaps w:val="false"/>
        </w:rPr>
        <w:t> </w:t>
      </w:r>
    </w:p>
    <w:tbl>
      <w:tblPr>
        <w:tblW w:w="6295" w:type="dxa"/>
        <w:jc w:val="left"/>
        <w:tblInd w:w="0" w:type="dxa"/>
        <w:tblCellMar>
          <w:top w:w="0" w:type="dxa"/>
          <w:left w:w="0" w:type="dxa"/>
          <w:bottom w:w="28" w:type="dxa"/>
          <w:right w:w="0" w:type="dxa"/>
        </w:tblCellMar>
      </w:tblPr>
      <w:tblGrid>
        <w:gridCol w:w="680"/>
        <w:gridCol w:w="60"/>
        <w:gridCol w:w="5555"/>
      </w:tblGrid>
      <w:tr>
        <w:trPr/>
        <w:tc>
          <w:tcPr>
            <w:tcW w:w="680" w:type="dxa"/>
            <w:tcBorders>
              <w:bottom w:val="single" w:sz="8" w:space="0" w:color="000000"/>
            </w:tcBorders>
            <w:shd w:fill="auto" w:val="cle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shd w:fill="auto" w:val="clear"/>
            <w:tcMar>
              <w:bottom w:w="0" w:type="dxa"/>
            </w:tcMar>
            <w:vAlign w:val="center"/>
          </w:tcPr>
          <w:p>
            <w:pPr>
              <w:pStyle w:val="TableContents"/>
              <w:spacing w:before="0" w:after="283"/>
              <w:jc w:val="center"/>
              <w:rPr/>
            </w:pPr>
            <w:r>
              <w:rPr/>
              <w:t> </w:t>
            </w:r>
          </w:p>
        </w:tc>
        <w:tc>
          <w:tcPr>
            <w:tcW w:w="5555" w:type="dxa"/>
            <w:tcBorders>
              <w:bottom w:val="single" w:sz="8" w:space="0" w:color="000000"/>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Exhibits</w:t>
            </w:r>
          </w:p>
        </w:tc>
      </w:tr>
      <w:tr>
        <w:trPr/>
        <w:tc>
          <w:tcPr>
            <w:tcW w:w="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555" w:type="dxa"/>
            <w:tcBorders/>
            <w:shd w:fill="auto" w:val="clear"/>
            <w:tcMar>
              <w:bottom w:w="0" w:type="dxa"/>
            </w:tcMar>
            <w:vAlign w:val="center"/>
          </w:tcPr>
          <w:p>
            <w:pPr>
              <w:pStyle w:val="TableContents"/>
              <w:spacing w:before="0" w:after="283"/>
              <w:rPr/>
            </w:pPr>
            <w:r>
              <w:rPr/>
              <w:t> </w:t>
            </w:r>
          </w:p>
        </w:tc>
      </w:tr>
      <w:tr>
        <w:trPr/>
        <w:tc>
          <w:tcPr>
            <w:tcW w:w="680" w:type="dxa"/>
            <w:tcBorders/>
            <w:shd w:fill="auto" w:val="clear"/>
            <w:tcMar>
              <w:bottom w:w="0" w:type="dxa"/>
            </w:tcMar>
            <w:vAlign w:val="center"/>
          </w:tcPr>
          <w:p>
            <w:pPr>
              <w:pStyle w:val="TableContents"/>
              <w:spacing w:before="0" w:after="283"/>
              <w:rPr/>
            </w:pPr>
            <w:r>
              <w:rPr/>
              <w:t>99.1</w:t>
            </w:r>
          </w:p>
        </w:tc>
        <w:tc>
          <w:tcPr>
            <w:tcW w:w="60" w:type="dxa"/>
            <w:tcBorders/>
            <w:shd w:fill="auto" w:val="clear"/>
            <w:tcMar>
              <w:bottom w:w="0" w:type="dxa"/>
            </w:tcMar>
            <w:vAlign w:val="center"/>
          </w:tcPr>
          <w:p>
            <w:pPr>
              <w:pStyle w:val="TableContents"/>
              <w:spacing w:before="0" w:after="283"/>
              <w:rPr/>
            </w:pPr>
            <w:r>
              <w:rPr/>
              <w:t> </w:t>
            </w:r>
          </w:p>
        </w:tc>
        <w:tc>
          <w:tcPr>
            <w:tcW w:w="5555" w:type="dxa"/>
            <w:tcBorders/>
            <w:shd w:fill="auto" w:val="clear"/>
            <w:tcMar>
              <w:bottom w:w="0" w:type="dxa"/>
            </w:tcMar>
            <w:vAlign w:val="center"/>
          </w:tcPr>
          <w:p>
            <w:pPr>
              <w:pStyle w:val="TableContents"/>
              <w:spacing w:before="0" w:after="283"/>
              <w:rPr/>
            </w:pPr>
            <w:r>
              <w:rPr/>
              <w:t>Press Release dated December 10, 2014 (Cash Dividends)</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9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4444" w:type="dxa"/>
        <w:jc w:val="left"/>
        <w:tblInd w:w="0" w:type="dxa"/>
        <w:tblCellMar>
          <w:top w:w="0" w:type="dxa"/>
          <w:left w:w="0" w:type="dxa"/>
          <w:bottom w:w="0" w:type="dxa"/>
          <w:right w:w="0" w:type="dxa"/>
        </w:tblCellMar>
      </w:tblPr>
      <w:tblGrid>
        <w:gridCol w:w="75"/>
        <w:gridCol w:w="410"/>
        <w:gridCol w:w="3884"/>
        <w:gridCol w:w="75"/>
      </w:tblGrid>
      <w:tr>
        <w:trPr/>
        <w:tc>
          <w:tcPr>
            <w:tcW w:w="75" w:type="dxa"/>
            <w:tcBorders/>
            <w:shd w:fill="auto" w:val="clear"/>
            <w:vAlign w:val="center"/>
          </w:tcPr>
          <w:p>
            <w:pPr>
              <w:pStyle w:val="TableContents"/>
              <w:spacing w:before="0" w:after="283"/>
              <w:rPr/>
            </w:pPr>
            <w:r>
              <w:rPr/>
              <w:t> </w:t>
            </w:r>
          </w:p>
        </w:tc>
        <w:tc>
          <w:tcPr>
            <w:tcW w:w="4294" w:type="dxa"/>
            <w:gridSpan w:val="2"/>
            <w:tcBorders/>
            <w:shd w:fill="auto" w:val="clear"/>
            <w:vAlign w:val="center"/>
          </w:tcPr>
          <w:p>
            <w:pPr>
              <w:pStyle w:val="TableContents"/>
              <w:spacing w:before="0" w:after="283"/>
              <w:rPr/>
            </w:pPr>
            <w:r>
              <w:rPr/>
              <w:t>OIL-DRI CORPORATION OF AMERICA</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bottom w:val="single" w:sz="8" w:space="0" w:color="FFFFFF"/>
            </w:tcBorders>
            <w:shd w:fill="auto" w:val="clear"/>
            <w:tcMar>
              <w:bottom w:w="28" w:type="dxa"/>
            </w:tcMar>
            <w:vAlign w:val="center"/>
          </w:tcPr>
          <w:p>
            <w:pPr>
              <w:pStyle w:val="TableContents"/>
              <w:spacing w:before="0" w:after="283"/>
              <w:rPr/>
            </w:pPr>
            <w:r>
              <w:rPr/>
              <w:t> </w:t>
            </w:r>
          </w:p>
        </w:tc>
        <w:tc>
          <w:tcPr>
            <w:tcW w:w="410" w:type="dxa"/>
            <w:tcBorders>
              <w:bottom w:val="single" w:sz="8" w:space="0" w:color="FFFFFF"/>
            </w:tcBorders>
            <w:shd w:fill="auto" w:val="clear"/>
            <w:tcMar>
              <w:bottom w:w="28" w:type="dxa"/>
            </w:tcMar>
            <w:vAlign w:val="center"/>
          </w:tcPr>
          <w:p>
            <w:pPr>
              <w:pStyle w:val="TableContents"/>
              <w:spacing w:before="0" w:after="283"/>
              <w:rPr/>
            </w:pPr>
            <w:r>
              <w:rPr/>
              <w:t>By:</w:t>
            </w:r>
          </w:p>
        </w:tc>
        <w:tc>
          <w:tcPr>
            <w:tcW w:w="3884" w:type="dxa"/>
            <w:tcBorders>
              <w:bottom w:val="single" w:sz="8" w:space="0" w:color="000000"/>
            </w:tcBorders>
            <w:shd w:fill="auto" w:val="clear"/>
            <w:tcMar>
              <w:bottom w:w="28" w:type="dxa"/>
            </w:tcMar>
            <w:vAlign w:val="center"/>
          </w:tcPr>
          <w:p>
            <w:pPr>
              <w:pStyle w:val="TableContents"/>
              <w:spacing w:before="0" w:after="283"/>
              <w:rPr/>
            </w:pPr>
            <w:r>
              <w:rPr/>
              <w:t>/s/ Douglas A. Graham</w:t>
            </w:r>
          </w:p>
        </w:tc>
        <w:tc>
          <w:tcPr>
            <w:tcW w:w="75" w:type="dxa"/>
            <w:tcBorders>
              <w:bottom w:val="single" w:sz="8" w:space="0" w:color="FFFFFF"/>
            </w:tcBorders>
            <w:shd w:fill="auto" w:val="clear"/>
            <w:tcMar>
              <w:bottom w:w="28" w:type="dxa"/>
            </w:tcM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pPr>
            <w:r>
              <w:rPr/>
              <w:t>Douglas A. Graham</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pPr>
            <w:r>
              <w:rPr/>
              <w:t>Vice President and General Counsel</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December 10, 2014</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hanging="0"/>
        <w:rPr>
          <w:caps w:val="false"/>
          <w:smallCaps w:val="false"/>
        </w:rPr>
      </w:pPr>
      <w:r>
        <w:rPr>
          <w:caps w:val="false"/>
          <w:smallCaps w:val="false"/>
        </w:rPr>
        <w:t> </w:t>
      </w:r>
    </w:p>
    <w:tbl>
      <w:tblPr>
        <w:tblW w:w="6295" w:type="dxa"/>
        <w:jc w:val="left"/>
        <w:tblInd w:w="0" w:type="dxa"/>
        <w:tblCellMar>
          <w:top w:w="0" w:type="dxa"/>
          <w:left w:w="0" w:type="dxa"/>
          <w:bottom w:w="28" w:type="dxa"/>
          <w:right w:w="0" w:type="dxa"/>
        </w:tblCellMar>
      </w:tblPr>
      <w:tblGrid>
        <w:gridCol w:w="680"/>
        <w:gridCol w:w="60"/>
        <w:gridCol w:w="5555"/>
      </w:tblGrid>
      <w:tr>
        <w:trPr/>
        <w:tc>
          <w:tcPr>
            <w:tcW w:w="680" w:type="dxa"/>
            <w:tcBorders>
              <w:bottom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shd w:fill="auto" w:val="clear"/>
            <w:tcMar>
              <w:bottom w:w="0" w:type="dxa"/>
            </w:tcMar>
            <w:vAlign w:val="center"/>
          </w:tcPr>
          <w:p>
            <w:pPr>
              <w:pStyle w:val="TableContents"/>
              <w:spacing w:before="0" w:after="283"/>
              <w:rPr/>
            </w:pPr>
            <w:r>
              <w:rPr/>
              <w:t> </w:t>
            </w:r>
          </w:p>
        </w:tc>
        <w:tc>
          <w:tcPr>
            <w:tcW w:w="5555" w:type="dxa"/>
            <w:tcBorders>
              <w:bottom w:val="single" w:sz="8" w:space="0" w:color="000000"/>
            </w:tcBorders>
            <w:shd w:fill="auto" w:val="clear"/>
            <w:vAlign w:val="center"/>
          </w:tcPr>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Exhibits</w:t>
            </w:r>
          </w:p>
        </w:tc>
      </w:tr>
      <w:tr>
        <w:trPr/>
        <w:tc>
          <w:tcPr>
            <w:tcW w:w="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555" w:type="dxa"/>
            <w:tcBorders/>
            <w:shd w:fill="auto" w:val="clear"/>
            <w:tcMar>
              <w:bottom w:w="0" w:type="dxa"/>
            </w:tcMar>
            <w:vAlign w:val="center"/>
          </w:tcPr>
          <w:p>
            <w:pPr>
              <w:pStyle w:val="TableContents"/>
              <w:spacing w:before="0" w:after="283"/>
              <w:rPr/>
            </w:pPr>
            <w:r>
              <w:rPr/>
              <w:t> </w:t>
            </w:r>
          </w:p>
        </w:tc>
      </w:tr>
      <w:tr>
        <w:trPr/>
        <w:tc>
          <w:tcPr>
            <w:tcW w:w="680" w:type="dxa"/>
            <w:tcBorders/>
            <w:shd w:fill="auto" w:val="clear"/>
            <w:tcMar>
              <w:bottom w:w="0" w:type="dxa"/>
            </w:tcMar>
            <w:vAlign w:val="center"/>
          </w:tcPr>
          <w:p>
            <w:pPr>
              <w:pStyle w:val="TableContents"/>
              <w:spacing w:before="0" w:after="283"/>
              <w:rPr/>
            </w:pPr>
            <w:r>
              <w:rPr/>
              <w:t>99.1</w:t>
            </w:r>
          </w:p>
        </w:tc>
        <w:tc>
          <w:tcPr>
            <w:tcW w:w="60" w:type="dxa"/>
            <w:tcBorders/>
            <w:shd w:fill="auto" w:val="clear"/>
            <w:tcMar>
              <w:bottom w:w="0" w:type="dxa"/>
            </w:tcMar>
            <w:vAlign w:val="center"/>
          </w:tcPr>
          <w:p>
            <w:pPr>
              <w:pStyle w:val="TableContents"/>
              <w:spacing w:before="0" w:after="283"/>
              <w:rPr/>
            </w:pPr>
            <w:r>
              <w:rPr/>
              <w:t> </w:t>
            </w:r>
          </w:p>
        </w:tc>
        <w:tc>
          <w:tcPr>
            <w:tcW w:w="5555" w:type="dxa"/>
            <w:tcBorders/>
            <w:shd w:fill="auto" w:val="clear"/>
            <w:tcMar>
              <w:bottom w:w="0" w:type="dxa"/>
            </w:tcMar>
            <w:vAlign w:val="center"/>
          </w:tcPr>
          <w:p>
            <w:pPr>
              <w:pStyle w:val="TableContents"/>
              <w:spacing w:before="0" w:after="283"/>
              <w:rPr/>
            </w:pPr>
            <w:r>
              <w:rPr/>
              <w:t>Press Release dated December 10, 2014 (Cash Dividends)</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2" w:name="v396163_ex99-1.htm"/>
      <w:bookmarkStart w:id="3" w:name="ksv396163_ex991"/>
      <w:bookmarkEnd w:id="2"/>
      <w:bookmarkEnd w:id="3"/>
      <w:r>
        <w:rPr/>
        <w:t> </w:t>
      </w:r>
    </w:p>
    <w:p>
      <w:pPr>
        <w:pStyle w:val="TextBody"/>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4859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504825"/>
                    </a:xfrm>
                    <a:prstGeom prst="rect">
                      <a:avLst/>
                    </a:prstGeom>
                  </pic:spPr>
                </pic:pic>
              </a:graphicData>
            </a:graphic>
          </wp:inline>
        </w:drawing>
      </w:r>
    </w:p>
    <w:p>
      <w:pPr>
        <w:pStyle w:val="TextBody"/>
        <w:spacing w:before="0" w:after="0"/>
        <w:ind w:left="0" w:right="0" w:hanging="0"/>
        <w:jc w:val="center"/>
        <w:rPr>
          <w:rFonts w:ascii="Times New Roman;Times;Serif" w:hAnsi="Times New Roman;Times;Serif"/>
          <w:b w:val="false"/>
          <w:i w:val="false"/>
          <w:caps w:val="false"/>
          <w:smallCaps w:val="false"/>
          <w:color w:val="002D69"/>
          <w:sz w:val="20"/>
        </w:rPr>
      </w:pPr>
      <w:r>
        <w:rPr>
          <w:rFonts w:ascii="Times New Roman;Times;Serif" w:hAnsi="Times New Roman;Times;Serif"/>
          <w:b w:val="false"/>
          <w:i w:val="false"/>
          <w:caps w:val="false"/>
          <w:smallCaps w:val="false"/>
          <w:color w:val="002D69"/>
          <w:sz w:val="20"/>
        </w:rPr>
        <w:t>410 N. Michigan Ave. Chicago, Illinois 60611, U.S.A</w:t>
      </w:r>
    </w:p>
    <w:p>
      <w:pPr>
        <w:pStyle w:val="TextBody"/>
        <w:spacing w:before="0" w:after="0"/>
        <w:ind w:left="0" w:right="0" w:hanging="0"/>
        <w:rPr>
          <w:caps w:val="false"/>
          <w:smallCaps w:val="false"/>
          <w:color w:val="002D69"/>
        </w:rPr>
      </w:pPr>
      <w:r>
        <w:rPr>
          <w:caps w:val="false"/>
          <w:smallCaps w:val="false"/>
          <w:color w:val="002D69"/>
        </w:rPr>
        <w:t> </w:t>
      </w:r>
    </w:p>
    <w:p>
      <w:pPr>
        <w:pStyle w:val="TextBody"/>
        <w:spacing w:before="0" w:after="0"/>
        <w:ind w:left="0" w:right="0" w:hanging="0"/>
        <w:jc w:val="center"/>
        <w:rPr>
          <w:rFonts w:ascii="Times New Roman;Times;Serif" w:hAnsi="Times New Roman;Times;Serif"/>
          <w:b/>
          <w:i w:val="false"/>
          <w:caps w:val="false"/>
          <w:smallCaps w:val="false"/>
          <w:color w:val="002D69"/>
          <w:sz w:val="20"/>
        </w:rPr>
      </w:pPr>
      <w:r>
        <w:rPr>
          <w:rFonts w:ascii="Times New Roman;Times;Serif" w:hAnsi="Times New Roman;Times;Serif"/>
          <w:b/>
          <w:i w:val="false"/>
          <w:caps w:val="false"/>
          <w:smallCaps w:val="false"/>
          <w:color w:val="002D69"/>
          <w:sz w:val="20"/>
        </w:rPr>
        <w:t>News Announcement</w:t>
      </w:r>
    </w:p>
    <w:p>
      <w:pPr>
        <w:pStyle w:val="TextBody"/>
        <w:spacing w:before="0" w:after="0"/>
        <w:ind w:left="0" w:right="0" w:hanging="0"/>
        <w:jc w:val="center"/>
        <w:rPr>
          <w:rFonts w:ascii="Times New Roman;Times;Serif" w:hAnsi="Times New Roman;Times;Serif"/>
          <w:b w:val="false"/>
          <w:i/>
          <w:caps w:val="false"/>
          <w:smallCaps w:val="false"/>
          <w:color w:val="002D69"/>
          <w:sz w:val="20"/>
        </w:rPr>
      </w:pPr>
      <w:r>
        <w:rPr>
          <w:rFonts w:ascii="Times New Roman;Times;Serif" w:hAnsi="Times New Roman;Times;Serif"/>
          <w:b w:val="false"/>
          <w:i/>
          <w:caps w:val="false"/>
          <w:smallCaps w:val="false"/>
          <w:color w:val="002D69"/>
          <w:sz w:val="20"/>
        </w:rPr>
        <w:t>For Immediate Release</w:t>
      </w:r>
    </w:p>
    <w:p>
      <w:pPr>
        <w:pStyle w:val="TextBody"/>
        <w:spacing w:before="0" w:after="0"/>
        <w:ind w:left="0" w:right="0" w:hanging="0"/>
        <w:jc w:val="center"/>
        <w:rPr>
          <w:caps w:val="false"/>
          <w:smallCaps w:val="false"/>
        </w:rPr>
      </w:pPr>
      <w:r>
        <w:rPr>
          <w:caps w:val="false"/>
          <w:smallCaps w:val="false"/>
        </w:rPr>
        <w:drawing>
          <wp:inline distT="0" distB="0" distL="0" distR="0">
            <wp:extent cx="5514975" cy="19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14975" cy="1905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108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pacing w:before="0" w:after="0"/>
        <w:ind w:left="1080" w:right="108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Board of Directors Declares Quarterly Dividends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7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CHICAGO—(December 10, 2014)—The Board of Directors of Oil-Dri Corporation of America (NYSE: ODC) yesterday declared quarterly cash dividends of $0.20 per share of the Company’s Common Stock and $0.15 per share of the Company’s Class B Stock.</w:t>
      </w:r>
    </w:p>
    <w:p>
      <w:pPr>
        <w:pStyle w:val="TextBody"/>
        <w:spacing w:before="0" w:after="0"/>
        <w:ind w:left="720" w:right="720" w:hanging="0"/>
        <w:rPr>
          <w:caps w:val="false"/>
          <w:smallCaps w:val="false"/>
        </w:rPr>
      </w:pPr>
      <w:r>
        <w:rPr>
          <w:caps w:val="false"/>
          <w:smallCaps w:val="false"/>
        </w:rPr>
        <w:t> </w:t>
      </w:r>
    </w:p>
    <w:p>
      <w:pPr>
        <w:pStyle w:val="TextBody"/>
        <w:spacing w:before="0" w:after="0"/>
        <w:ind w:left="720" w:right="7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declared yesterday will be payable in the third quarter of fiscal 2015, on March 6, 2015, to stockholders of record at the close of business on February 20, 2015. The Company has paid cash dividends continuously since 1974 and has increased dividends annually for each of the last eleven years.</w:t>
      </w:r>
    </w:p>
    <w:p>
      <w:pPr>
        <w:pStyle w:val="TextBody"/>
        <w:spacing w:before="0" w:after="0"/>
        <w:ind w:left="1080" w:right="1080" w:hanging="0"/>
        <w:rPr>
          <w:caps w:val="false"/>
          <w:smallCaps w:val="false"/>
        </w:rPr>
      </w:pPr>
      <w:r>
        <w:rPr>
          <w:caps w:val="false"/>
          <w:smallCaps w:val="false"/>
        </w:rPr>
        <w:t> </w:t>
      </w:r>
    </w:p>
    <w:p>
      <w:pPr>
        <w:pStyle w:val="TextBody"/>
        <w:spacing w:before="0" w:after="0"/>
        <w:ind w:left="1080" w:right="1080" w:hanging="0"/>
        <w:rPr>
          <w:caps w:val="false"/>
          <w:smallCaps w:val="false"/>
        </w:rPr>
      </w:pPr>
      <w:r>
        <w:rPr>
          <w:caps w:val="false"/>
          <w:smallCaps w:val="false"/>
        </w:rPr>
        <w:t> </w:t>
      </w:r>
    </w:p>
    <w:p>
      <w:pPr>
        <w:pStyle w:val="TextBody"/>
        <w:spacing w:before="0" w:after="0"/>
        <w:ind w:left="1080" w:right="10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1080" w:right="1080" w:hanging="0"/>
        <w:jc w:val="center"/>
        <w:rPr>
          <w:caps w:val="false"/>
          <w:smallCaps w:val="false"/>
        </w:rPr>
      </w:pPr>
      <w:r>
        <w:rPr>
          <w:caps w:val="false"/>
          <w:smallCaps w:val="false"/>
        </w:rPr>
        <w:t> </w:t>
      </w:r>
    </w:p>
    <w:p>
      <w:pPr>
        <w:pStyle w:val="TextBody"/>
        <w:spacing w:before="0" w:after="0"/>
        <w:ind w:left="1080" w:right="1080" w:hanging="0"/>
        <w:jc w:val="center"/>
        <w:rPr>
          <w:caps w:val="false"/>
          <w:smallCaps w:val="false"/>
        </w:rPr>
      </w:pPr>
      <w:r>
        <w:rPr>
          <w:caps w:val="false"/>
          <w:smallCaps w:val="false"/>
        </w:rPr>
        <w:t> </w:t>
      </w:r>
    </w:p>
    <w:p>
      <w:pPr>
        <w:pStyle w:val="TextBody"/>
        <w:spacing w:before="0" w:after="0"/>
        <w:ind w:left="1080" w:right="108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Oil-Dri Corporation of America is a leading supplier of specialty sorbent products for industrial, automotive, agricultural, horticultural and specialty markets and the world’s largest manufacturer of cat litter.</w:t>
      </w:r>
    </w:p>
    <w:p>
      <w:pPr>
        <w:pStyle w:val="TextBody"/>
        <w:spacing w:before="0" w:after="0"/>
        <w:ind w:left="720" w:right="72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726</Words>
  <CharactersWithSpaces>4862</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