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23, 2004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OIL-DRI CORPORATION OF AMERICA</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49"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(State or other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0-8675</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36-2048898</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9" w:orient="portrait"/>
          <w:cols w:equalWidth="0" w:num="3">
            <w:col w:w="3060" w:space="320"/>
            <w:col w:w="2100" w:space="220"/>
            <w:col w:w="4519"/>
          </w:cols>
          <w:pgMar w:left="240" w:top="852" w:right="1440" w:bottom="0" w:gutter="0" w:footer="0" w:header="0"/>
          <w:type w:val="continuous"/>
        </w:sect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410 NORTH MICHIGAN AVENUE</w:t>
      </w:r>
    </w:p>
    <w:p>
      <w:pPr>
        <w:ind w:left="1480"/>
        <w:spacing w:after="0" w:line="238" w:lineRule="auto"/>
        <w:rPr>
          <w:sz w:val="20"/>
          <w:szCs w:val="20"/>
          <w:color w:val="auto"/>
        </w:rPr>
      </w:pPr>
      <w:r>
        <w:rPr>
          <w:rFonts w:ascii="Courier New" w:cs="Courier New" w:eastAsia="Courier New" w:hAnsi="Courier New"/>
          <w:sz w:val="18"/>
          <w:szCs w:val="18"/>
          <w:color w:val="auto"/>
        </w:rPr>
        <w:t>SUITE 400</w:t>
      </w:r>
    </w:p>
    <w:p>
      <w:pPr>
        <w:ind w:left="1060"/>
        <w:spacing w:after="0"/>
        <w:tabs>
          <w:tab w:leader="none" w:pos="6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60611-4213</w:t>
      </w:r>
    </w:p>
    <w:p>
      <w:pPr>
        <w:sectPr>
          <w:pgSz w:w="11900" w:h="16849"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(312) 321-1515</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ectPr>
          <w:pgSz w:w="11900" w:h="16849" w:orient="portrait"/>
          <w:cols w:equalWidth="0" w:num="1">
            <w:col w:w="10219"/>
          </w:cols>
          <w:pgMar w:left="240" w:top="852" w:right="1440" w:bottom="0" w:gutter="0" w:footer="0" w:header="0"/>
          <w:type w:val="continuous"/>
        </w:sectPr>
      </w:pPr>
    </w:p>
    <w:p>
      <w:pPr>
        <w:spacing w:after="0" w:line="203" w:lineRule="exact"/>
        <w:rPr>
          <w:sz w:val="24"/>
          <w:szCs w:val="24"/>
          <w:color w:val="auto"/>
        </w:rPr>
      </w:pPr>
    </w:p>
    <w:p>
      <w:pPr>
        <w:spacing w:after="0"/>
        <w:tabs>
          <w:tab w:leader="none" w:pos="2300" w:val="left"/>
          <w:tab w:leader="none" w:pos="4000" w:val="left"/>
        </w:tabs>
        <w:rPr>
          <w:sz w:val="20"/>
          <w:szCs w:val="20"/>
          <w:color w:val="auto"/>
        </w:rPr>
      </w:pPr>
      <w:r>
        <w:rPr>
          <w:rFonts w:ascii="Courier New" w:cs="Courier New" w:eastAsia="Courier New" w:hAnsi="Courier New"/>
          <w:sz w:val="18"/>
          <w:szCs w:val="18"/>
          <w:color w:val="auto"/>
        </w:rPr>
        <w:t>[ ] Pre-commencement</w:t>
        <w:tab/>
        <w:t>communications</w:t>
      </w:r>
      <w:r>
        <w:rPr>
          <w:sz w:val="20"/>
          <w:szCs w:val="20"/>
          <w:color w:val="auto"/>
        </w:rPr>
        <w:tab/>
      </w:r>
      <w:r>
        <w:rPr>
          <w:rFonts w:ascii="Courier New" w:cs="Courier New" w:eastAsia="Courier New" w:hAnsi="Courier New"/>
          <w:sz w:val="16"/>
          <w:szCs w:val="16"/>
          <w:color w:val="auto"/>
        </w:rPr>
        <w:t>pursuant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Rule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13e-4(c)</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w:t>
      </w:r>
    </w:p>
    <w:p>
      <w:pPr>
        <w:spacing w:after="0" w:line="20" w:lineRule="exact"/>
        <w:rPr>
          <w:sz w:val="24"/>
          <w:szCs w:val="24"/>
          <w:color w:val="auto"/>
        </w:rPr>
      </w:pPr>
    </w:p>
    <w:p>
      <w:pPr>
        <w:sectPr>
          <w:pgSz w:w="11900" w:h="16849" w:orient="portrait"/>
          <w:cols w:equalWidth="0" w:num="5">
            <w:col w:w="4860" w:space="200"/>
            <w:col w:w="220" w:space="200"/>
            <w:col w:w="420" w:space="220"/>
            <w:col w:w="840" w:space="220"/>
            <w:col w:w="3039"/>
          </w:cols>
          <w:pgMar w:left="240" w:top="852" w:right="1440" w:bottom="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the Exchange Act (17 CFR 240.13e-4(c))</w:t>
      </w:r>
    </w:p>
    <w:p>
      <w:pPr>
        <w:sectPr>
          <w:pgSz w:w="11900" w:h="16849"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November 23, 2004, Oil-Dri Corporation of America (the "Registrant") issued a press release announcing its first quarter results of operations for its fiscal year 2005. A copy of the press release is attached as Exhibit 99.1 and the information contained therein is incorporated herein by reference. The information contained in this Form 8-K, including the exhibit, shall not be deemed "filed" for purposes of Section 18 of the Securities Exchange Act of 1934, and it shall not be deemed incorporated by reference into any filing under the Securities Act of 1933, except as shall be expressly set forth by specific</w:t>
      </w:r>
    </w:p>
    <w:p>
      <w:pPr>
        <w:sectPr>
          <w:pgSz w:w="11900" w:h="16849" w:orient="portrait"/>
          <w:cols w:equalWidth="0" w:num="1">
            <w:col w:w="10219"/>
          </w:cols>
          <w:pgMar w:left="240" w:top="852"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reference in such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520"/>
            <w:col w:w="8839"/>
          </w:cols>
          <w:pgMar w:left="240" w:top="136" w:right="1440" w:bottom="1440" w:gutter="0" w:footer="0" w:header="0"/>
          <w:type w:val="continuous"/>
        </w:sectPr>
      </w:pPr>
    </w:p>
    <w:p>
      <w:pPr>
        <w:spacing w:after="0" w:line="18" w:lineRule="exact"/>
        <w:rPr>
          <w:sz w:val="20"/>
          <w:szCs w:val="20"/>
          <w:color w:val="auto"/>
        </w:rPr>
      </w:pP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Registrant dated November 23, 2004.</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tabs>
          <w:tab w:leader="none" w:pos="36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CHARLES P. BRISSMAN</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Charles P. Brissman</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24, 2004</w:t>
      </w:r>
    </w:p>
    <w:p>
      <w:pPr>
        <w:sectPr>
          <w:pgSz w:w="11900" w:h="16838" w:orient="portrait"/>
          <w:cols w:equalWidth="0" w:num="1">
            <w:col w:w="10219"/>
          </w:cols>
          <w:pgMar w:left="240" w:top="1440"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DESCRIPTION OF 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0" w:space="520"/>
            <w:col w:w="8839"/>
          </w:cols>
          <w:pgMar w:left="240" w:top="1128" w:right="1440" w:bottom="1440" w:gutter="0" w:footer="0" w:header="0"/>
          <w:type w:val="continuous"/>
        </w:sectPr>
      </w:pPr>
    </w:p>
    <w:p>
      <w:pPr>
        <w:spacing w:after="0" w:line="18" w:lineRule="exact"/>
        <w:rPr>
          <w:sz w:val="20"/>
          <w:szCs w:val="20"/>
          <w:color w:val="auto"/>
        </w:rPr>
      </w:pP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Registrant dated November 23, 2004.</w:t>
      </w:r>
    </w:p>
    <w:p>
      <w:pPr>
        <w:sectPr>
          <w:pgSz w:w="11900" w:h="16838" w:orient="portrait"/>
          <w:cols w:equalWidth="0" w:num="1">
            <w:col w:w="10219"/>
          </w:cols>
          <w:pgMar w:left="240" w:top="1128"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6"/>
          <w:szCs w:val="16"/>
          <w:color w:val="auto"/>
        </w:rPr>
        <w:t>Exhibit 99.1</w:t>
      </w:r>
    </w:p>
    <w:p>
      <w:pPr>
        <w:sectPr>
          <w:pgSz w:w="11900" w:h="16838" w:orient="portrait"/>
          <w:cols w:equalWidth="0" w:num="1">
            <w:col w:w="10219"/>
          </w:cols>
          <w:pgMar w:left="240" w:top="925"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RELEASE: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Immediate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Kathy Arford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312-706-3274</w:t>
      </w:r>
    </w:p>
    <w:p>
      <w:pPr>
        <w:spacing w:after="0" w:line="200" w:lineRule="exact"/>
        <w:rPr>
          <w:sz w:val="20"/>
          <w:szCs w:val="20"/>
          <w:color w:val="auto"/>
        </w:rPr>
      </w:pPr>
    </w:p>
    <w:p>
      <w:pPr>
        <w:sectPr>
          <w:pgSz w:w="11900" w:h="16838" w:orient="portrait"/>
          <w:cols w:equalWidth="0" w:num="4">
            <w:col w:w="860" w:space="200"/>
            <w:col w:w="4340" w:space="720"/>
            <w:col w:w="840" w:space="220"/>
            <w:col w:w="3039"/>
          </w:cols>
          <w:pgMar w:left="240" w:top="925" w:right="1440" w:bottom="0" w:gutter="0" w:footer="0" w:header="0"/>
          <w:type w:val="continuous"/>
        </w:sectPr>
      </w:pPr>
    </w:p>
    <w:p>
      <w:pPr>
        <w:spacing w:after="0" w:line="2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OIL-DRI REPORTS FIRST QUARTER RESULTS</w:t>
      </w:r>
    </w:p>
    <w:p>
      <w:pPr>
        <w:sectPr>
          <w:pgSz w:w="11900" w:h="16838" w:orient="portrait"/>
          <w:cols w:equalWidth="0" w:num="1">
            <w:col w:w="10219"/>
          </w:cols>
          <w:pgMar w:left="240" w:top="925" w:right="1440" w:bottom="0" w:gutter="0" w:footer="0" w:header="0"/>
          <w:type w:val="continuous"/>
        </w:sectPr>
      </w:pP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CHICAGO -November 23, 2004 - Oil-Dri Corporation of America (NYSE: ODC) announced sales of $44,121,000 for the first quarter ended October 31, 2004, which are 5% less than sales of $46,292,000 for the first quarter one year ago. Net income for the quarter was $1,280,000 or $0.22 per diluted share for the quarter, compared to $1,718,000 or $0.30 per diluted share in the same quarter a year ago.</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REVIEW</w:t>
      </w:r>
    </w:p>
    <w:p>
      <w:pPr>
        <w:spacing w:after="0" w:line="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President and Chief Executive Officer Daniel S. Jaffee commented, "While sales and earnings performance for the first quarter were lower than last year's record first quarter, they were in line with our budgeted plan for the year.</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overall performance was mixed. On the positive side, all aspects of our Jonny Cat branded cat litter business showed improvement over last year and, in particular, we are pleased with the acceptance of our Jonny Cat scoop products into new West Coast grocery and non-foods accounts. Another positive highlight is the strong performance of our Specialty Products business, which is up 17% in the quarter. Additionally, our focus on maximizing the value of each product we ship continued to pay off, resulting in a significant increase in our overall average sale price.</w:t>
      </w:r>
    </w:p>
    <w:p>
      <w:pPr>
        <w:spacing w:after="0" w:line="212"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"On the negative side, our agricultural chemical carriers business was down substantially from one year ago. Formulators have returned to a more traditional buying season which starts later in the fall. Despite the disappointing performance in the first quarter, we do expect our Agsorb carriers business to return to historical demand levels for the balance of the fiscal year.</w:t>
      </w:r>
    </w:p>
    <w:p>
      <w:pPr>
        <w:spacing w:after="0" w:line="18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"During the quarter, we continued to generate positive operational cash flow, repurchased Common Stock and, for the second year in a row, increased our dividend."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REVIEW</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Sales for the CONSUMER PRODUCTS GROUP were down 3% for the quarter. An increase in promotional spending for the Jonny Cat scoop rollout negatively impacted net sales versus prior year.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significant investment was made in new Cat's Pride packaging at the end of fiscal 2004. The new packaging is being rolled out on shelves during the first half of the fiscal year. We expect our Jonny Cat scoop promotional spending and our new Cat's Pride packaging to positively impact our sales in the second half of this fiscal year.</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CROP PRODUCTION AND HORTICULTURAL PRODUCTS GROUP experienced a 53% decrease in sales for the quarter compared to last year. Unlike the first quarter a year ago, which saw unusually high sales volume, this quarter's sales of Agsorb carriers reflect a more traditional startup by formulators. Sales of Pro's Choice sports field products were slightly down for the quarter as well.</w:t>
      </w:r>
    </w:p>
    <w:p>
      <w:pPr>
        <w:spacing w:after="0" w:line="18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INDUSTRIAL AND AUTOMOTIVE GROUP sales were up 5% in the quarter, due mainly to increases in per unit selling prices.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for the SPECIALTY PRODUCTS GROUP were up in the quarter 17%. Overall sales mix in both the U.S. and Latin America contributed to the year over year growth. Strong bleaching clay sales along with increases in ConditionAde and PelUnite Plus binder sales in the U.S. contributed positively to the growth.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REVIEW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October 7, 2004, Oil-Dri's Board of Directors voted to increase the quarterly cash dividend to $0.11 per share for the Common Stock, an increase of 10%. The dividend will be payable on December 10, 2004, to stockholders of record at the close of business on November 12, 2004. At the October 31, 2004 closing price of $15.30 per share and assuming cash dividends continue at the same rate, the annual yield on Common Stock is 2.9%. This is the second year in a row the dividend has been increased. The company has paid a dividend consistently for 29 years.</w:t>
      </w: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During the quarter, the company repurchased 115,400 shares of Common Stock, at an average price of $15.26 per share.</w:t>
      </w:r>
    </w:p>
    <w:p>
      <w:pPr>
        <w:sectPr>
          <w:pgSz w:w="11900" w:h="16838" w:orient="portrait"/>
          <w:cols w:equalWidth="0" w:num="1">
            <w:col w:w="10219"/>
          </w:cols>
          <w:pgMar w:left="240" w:top="925" w:right="1440" w:bottom="0" w:gutter="0" w:footer="0" w:header="0"/>
          <w:type w:val="continuous"/>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Cash, cash equivalents and short-term investments at October 31, 2004, totaled $18,941,000. Operating cash flow for the quarter was a positive $1,028,000. Capital expenditures for the quarter totaled $1,748,000, which is $178,000 less than the depreciation and amortization of $1,926,000.</w:t>
      </w:r>
    </w:p>
    <w:p>
      <w:pPr>
        <w:sectPr>
          <w:pgSz w:w="11900" w:h="16838" w:orient="portrait"/>
          <w:cols w:equalWidth="0" w:num="1">
            <w:col w:w="10219"/>
          </w:cols>
          <w:pgMar w:left="240" w:top="34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LOOKING FORWARD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Jaffee stated, "Given our July 31, 2005 compliance deadline, we are devoting significant internal and external resources to our Sarbanes-Oxley Section 404 readiness process. Because we are geographically dispersed and operate in a decentralized manner, this process may prove to be more costly, challenging and time consuming compared to similarly-sized public companies without these characteristics.</w:t>
      </w:r>
    </w:p>
    <w:p>
      <w:pPr>
        <w:spacing w:after="0" w:line="210"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"Additionally we are also seeing prices for packaging, freight and other commodities move upward. We are continuing to improve our manufacturing efficiencies to offset these increased costs.</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"Despite these challenges we feel confident we can deliver our per share earnings estimate range of $1.20 to $1.30 for fiscal 2005 as our new product opportunities continue to show promise."</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WILL OFFER A LIVE WEB CAST OF THE FIRST QUARTER EARNINGS TELECONFERENCE ON WEDNESDAY, NOVEMBER 24, 2004 AT 10:00 A.M. CST. TO LISTEN TO THE CALL VIA THE WEB, PLEASE VISIT WWW.STREETEVENTS.COM OR WWW.OILDRI.COM. AN ARCHIVED RECORDING OF THE CALL AND WRITTEN TRANSCRIPTS OF ALL TELECONFERENCES ARE POSTED ON THE OIL-DRI WEB SITE.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OIL-DRI, AGSORB, CAT'S PRIDE, JONNY CAT, CONDITIONADE AND PRO'S CHOICE ARE ALL REGISTERED TRADEMARKS OF OIL-DRI CORPORATION OF AMERICA. PELUNITE PLUS IS A TRADEMARK OF OIL-DRI CORPORATION OF AMERICA.</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OIL-DRI CORPORATION OF AMERICA IS THE WORLD'S LARGEST MANUFACTURER OF CAT LITTER AND A LEADING SUPPLIER OF SPECIALTY SORBENT PRODUCTS FOR INDUSTRIAL, AUTOMOTIVE, AGRICULTURAL, HORTICULTURAL AND SPECIALTY MARKETS.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COMPETITIVE FACTORS IN THE CONSUMER MARKET; THE LEVEL OF SUCCESS IN IMPLEMENTATION OF PRICE INCREASES AND SURCHARGES; CHANGES IN OVERALL AGRICULTURAL DEMAND; INCREASING REGULATION OF THE FOOD CHAIN; CHANGES IN THE MARKET CONDITIONS, THE OVERALL ECONOMY, ENERGY PRICES, AND OTHER FACTORS DETAILED FROM TIME TO TIME IN THE COMPANY'S ANNUAL REPORT AND OTHER REPORTS FILED WITH THE SECURITIES AND EXCHANGE COMMISSION.</w:t>
      </w:r>
    </w:p>
    <w:p>
      <w:pPr>
        <w:sectPr>
          <w:pgSz w:w="11900" w:h="16838" w:orient="portrait"/>
          <w:cols w:equalWidth="0" w:num="1">
            <w:col w:w="10219"/>
          </w:cols>
          <w:pgMar w:left="240" w:top="132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6540" w:type="dxa"/>
            <w:vAlign w:val="bottom"/>
            <w:gridSpan w:val="5"/>
          </w:tcPr>
          <w:p>
            <w:pPr>
              <w:spacing w:after="0"/>
              <w:rPr>
                <w:sz w:val="20"/>
                <w:szCs w:val="20"/>
                <w:color w:val="auto"/>
              </w:rPr>
            </w:pPr>
            <w:r>
              <w:rPr>
                <w:rFonts w:ascii="Courier New" w:cs="Courier New" w:eastAsia="Courier New" w:hAnsi="Courier New"/>
                <w:sz w:val="18"/>
                <w:szCs w:val="18"/>
                <w:color w:val="auto"/>
                <w:w w:val="98"/>
              </w:rPr>
              <w:t>O I L  -  D R I   C O R P O R A T I O N   O F   A M E R I C A</w:t>
            </w:r>
          </w:p>
        </w:tc>
        <w:tc>
          <w:tcPr>
            <w:tcW w:w="106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CONSOLIDATED STATEMENTS OF INCOME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(in thousands, except for per share</w:t>
            </w:r>
          </w:p>
        </w:tc>
        <w:tc>
          <w:tcPr>
            <w:tcW w:w="1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amounts)</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FIRST QUARTER ENDED OCTOBER 31,</w:t>
            </w:r>
          </w:p>
        </w:tc>
      </w:tr>
      <w:tr>
        <w:trPr>
          <w:trHeight w:val="203"/>
        </w:trPr>
        <w:tc>
          <w:tcPr>
            <w:tcW w:w="3540" w:type="dxa"/>
            <w:vAlign w:val="bottom"/>
          </w:tcPr>
          <w:p>
            <w:pPr>
              <w:spacing w:after="0"/>
              <w:rPr>
                <w:sz w:val="17"/>
                <w:szCs w:val="17"/>
                <w:color w:val="auto"/>
              </w:rPr>
            </w:pPr>
          </w:p>
        </w:tc>
        <w:tc>
          <w:tcPr>
            <w:tcW w:w="40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OF SALES</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OF SALES</w:t>
            </w:r>
          </w:p>
        </w:tc>
      </w:tr>
      <w:tr>
        <w:trPr>
          <w:trHeight w:val="203"/>
        </w:trPr>
        <w:tc>
          <w:tcPr>
            <w:tcW w:w="3540" w:type="dxa"/>
            <w:vAlign w:val="bottom"/>
          </w:tcPr>
          <w:p>
            <w:pPr>
              <w:spacing w:after="0"/>
              <w:rPr>
                <w:sz w:val="17"/>
                <w:szCs w:val="17"/>
                <w:color w:val="auto"/>
              </w:rPr>
            </w:pPr>
          </w:p>
        </w:tc>
        <w:tc>
          <w:tcPr>
            <w:tcW w:w="40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SALES</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$44,121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$46,292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SALES</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34,453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35,414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76.5%</w:t>
            </w:r>
          </w:p>
        </w:tc>
      </w:tr>
      <w:tr>
        <w:trPr>
          <w:trHeight w:val="203"/>
        </w:trPr>
        <w:tc>
          <w:tcPr>
            <w:tcW w:w="3540" w:type="dxa"/>
            <w:vAlign w:val="bottom"/>
          </w:tcPr>
          <w:p>
            <w:pPr>
              <w:spacing w:after="0"/>
              <w:rPr>
                <w:sz w:val="17"/>
                <w:szCs w:val="17"/>
                <w:color w:val="auto"/>
              </w:rPr>
            </w:pPr>
          </w:p>
        </w:tc>
        <w:tc>
          <w:tcPr>
            <w:tcW w:w="40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9,668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10,878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23.5%</w:t>
            </w:r>
          </w:p>
        </w:tc>
      </w:tr>
      <w:tr>
        <w:trPr>
          <w:trHeight w:val="608"/>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OPERATING EXPENSES</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(7,643)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(8,109)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-17.5%</w:t>
            </w:r>
          </w:p>
        </w:tc>
      </w:tr>
      <w:tr>
        <w:trPr>
          <w:trHeight w:val="203"/>
        </w:trPr>
        <w:tc>
          <w:tcPr>
            <w:tcW w:w="3540" w:type="dxa"/>
            <w:vAlign w:val="bottom"/>
          </w:tcPr>
          <w:p>
            <w:pPr>
              <w:spacing w:after="0"/>
              <w:rPr>
                <w:sz w:val="17"/>
                <w:szCs w:val="17"/>
                <w:color w:val="auto"/>
              </w:rPr>
            </w:pPr>
          </w:p>
        </w:tc>
        <w:tc>
          <w:tcPr>
            <w:tcW w:w="40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OPERATING INCOME</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2,025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2,769</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3540" w:type="dxa"/>
            <w:vAlign w:val="bottom"/>
          </w:tcPr>
          <w:p>
            <w:pPr>
              <w:spacing w:after="0"/>
              <w:rPr>
                <w:sz w:val="17"/>
                <w:szCs w:val="17"/>
                <w:color w:val="auto"/>
              </w:rPr>
            </w:pPr>
          </w:p>
        </w:tc>
        <w:tc>
          <w:tcPr>
            <w:tcW w:w="40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INCOME BEFORE INCOME TAXES</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1,718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2,420</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w:t>
            </w:r>
          </w:p>
        </w:tc>
      </w:tr>
      <w:tr>
        <w:trPr>
          <w:trHeight w:val="203"/>
        </w:trPr>
        <w:tc>
          <w:tcPr>
            <w:tcW w:w="3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3540" w:type="dxa"/>
            <w:vAlign w:val="bottom"/>
          </w:tcPr>
          <w:p>
            <w:pPr>
              <w:spacing w:after="0"/>
              <w:rPr>
                <w:sz w:val="17"/>
                <w:szCs w:val="17"/>
                <w:color w:val="auto"/>
              </w:rPr>
            </w:pPr>
          </w:p>
        </w:tc>
        <w:tc>
          <w:tcPr>
            <w:tcW w:w="40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NET (LOSS) INCOME</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1,280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$1,718</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w:t>
            </w:r>
          </w:p>
        </w:tc>
      </w:tr>
      <w:tr>
        <w:trPr>
          <w:trHeight w:val="203"/>
        </w:trPr>
        <w:tc>
          <w:tcPr>
            <w:tcW w:w="3540" w:type="dxa"/>
            <w:vAlign w:val="bottom"/>
          </w:tcPr>
          <w:p>
            <w:pPr>
              <w:spacing w:after="0"/>
              <w:rPr>
                <w:sz w:val="17"/>
                <w:szCs w:val="17"/>
                <w:color w:val="auto"/>
              </w:rPr>
            </w:pPr>
          </w:p>
        </w:tc>
        <w:tc>
          <w:tcPr>
            <w:tcW w:w="40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w w:val="98"/>
              </w:rPr>
              <w:t>NET (LOSS) INCOME PER SHARE:</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540" w:type="dxa"/>
            <w:vAlign w:val="bottom"/>
          </w:tcPr>
          <w:p>
            <w:pPr>
              <w:ind w:left="1280"/>
              <w:spacing w:after="0"/>
              <w:rPr>
                <w:sz w:val="20"/>
                <w:szCs w:val="20"/>
                <w:color w:val="auto"/>
              </w:rPr>
            </w:pPr>
            <w:r>
              <w:rPr>
                <w:rFonts w:ascii="Courier New" w:cs="Courier New" w:eastAsia="Courier New" w:hAnsi="Courier New"/>
                <w:sz w:val="18"/>
                <w:szCs w:val="18"/>
                <w:color w:val="auto"/>
              </w:rPr>
              <w:t>BASIC COMMON</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$0.25</w:t>
            </w:r>
          </w:p>
        </w:tc>
        <w:tc>
          <w:tcPr>
            <w:tcW w:w="11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$0.34</w:t>
            </w:r>
          </w:p>
        </w:tc>
        <w:tc>
          <w:tcPr>
            <w:tcW w:w="1060" w:type="dxa"/>
            <w:vAlign w:val="bottom"/>
          </w:tcPr>
          <w:p>
            <w:pPr>
              <w:spacing w:after="0"/>
              <w:rPr>
                <w:sz w:val="24"/>
                <w:szCs w:val="24"/>
                <w:color w:val="auto"/>
              </w:rPr>
            </w:pPr>
          </w:p>
        </w:tc>
      </w:tr>
      <w:tr>
        <w:trPr>
          <w:trHeight w:val="203"/>
        </w:trPr>
        <w:tc>
          <w:tcPr>
            <w:tcW w:w="3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$0.19</w:t>
            </w:r>
          </w:p>
        </w:tc>
        <w:tc>
          <w:tcPr>
            <w:tcW w:w="1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c>
          <w:tcPr>
            <w:tcW w:w="1060" w:type="dxa"/>
            <w:vAlign w:val="bottom"/>
          </w:tcPr>
          <w:p>
            <w:pPr>
              <w:spacing w:after="0"/>
              <w:rPr>
                <w:sz w:val="17"/>
                <w:szCs w:val="17"/>
                <w:color w:val="auto"/>
              </w:rPr>
            </w:pPr>
          </w:p>
        </w:tc>
      </w:tr>
      <w:tr>
        <w:trPr>
          <w:trHeight w:val="203"/>
        </w:trPr>
        <w:tc>
          <w:tcPr>
            <w:tcW w:w="3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DILUTED</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$0.22</w:t>
            </w:r>
          </w:p>
        </w:tc>
        <w:tc>
          <w:tcPr>
            <w:tcW w:w="1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c>
          <w:tcPr>
            <w:tcW w:w="1060" w:type="dxa"/>
            <w:vAlign w:val="bottom"/>
          </w:tcPr>
          <w:p>
            <w:pPr>
              <w:spacing w:after="0"/>
              <w:rPr>
                <w:sz w:val="17"/>
                <w:szCs w:val="17"/>
                <w:color w:val="auto"/>
              </w:rPr>
            </w:pPr>
          </w:p>
        </w:tc>
      </w:tr>
      <w:tr>
        <w:trPr>
          <w:trHeight w:val="405"/>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AVERAGE SHARES OUTSTANDING:</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540" w:type="dxa"/>
            <w:vAlign w:val="bottom"/>
          </w:tcPr>
          <w:p>
            <w:pPr>
              <w:ind w:left="1280"/>
              <w:spacing w:after="0"/>
              <w:rPr>
                <w:sz w:val="20"/>
                <w:szCs w:val="20"/>
                <w:color w:val="auto"/>
              </w:rPr>
            </w:pPr>
            <w:r>
              <w:rPr>
                <w:rFonts w:ascii="Courier New" w:cs="Courier New" w:eastAsia="Courier New" w:hAnsi="Courier New"/>
                <w:sz w:val="18"/>
                <w:szCs w:val="18"/>
                <w:color w:val="auto"/>
              </w:rPr>
              <w:t>BASIC COMMON</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4,053</w:t>
            </w:r>
          </w:p>
        </w:tc>
        <w:tc>
          <w:tcPr>
            <w:tcW w:w="116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4,038</w:t>
            </w:r>
          </w:p>
        </w:tc>
        <w:tc>
          <w:tcPr>
            <w:tcW w:w="1060" w:type="dxa"/>
            <w:vAlign w:val="bottom"/>
          </w:tcPr>
          <w:p>
            <w:pPr>
              <w:spacing w:after="0"/>
              <w:rPr>
                <w:sz w:val="24"/>
                <w:szCs w:val="24"/>
                <w:color w:val="auto"/>
              </w:rPr>
            </w:pPr>
          </w:p>
        </w:tc>
      </w:tr>
      <w:tr>
        <w:trPr>
          <w:trHeight w:val="203"/>
        </w:trPr>
        <w:tc>
          <w:tcPr>
            <w:tcW w:w="3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BASIC CLASS B COMMON</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1,450</w:t>
            </w:r>
          </w:p>
        </w:tc>
        <w:tc>
          <w:tcPr>
            <w:tcW w:w="1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1,423</w:t>
            </w:r>
          </w:p>
        </w:tc>
        <w:tc>
          <w:tcPr>
            <w:tcW w:w="1060" w:type="dxa"/>
            <w:vAlign w:val="bottom"/>
          </w:tcPr>
          <w:p>
            <w:pPr>
              <w:spacing w:after="0"/>
              <w:rPr>
                <w:sz w:val="17"/>
                <w:szCs w:val="17"/>
                <w:color w:val="auto"/>
              </w:rPr>
            </w:pPr>
          </w:p>
        </w:tc>
      </w:tr>
      <w:tr>
        <w:trPr>
          <w:trHeight w:val="203"/>
        </w:trPr>
        <w:tc>
          <w:tcPr>
            <w:tcW w:w="35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DILUTED</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5,949</w:t>
            </w:r>
          </w:p>
        </w:tc>
        <w:tc>
          <w:tcPr>
            <w:tcW w:w="1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5,744</w:t>
            </w:r>
          </w:p>
        </w:tc>
        <w:tc>
          <w:tcPr>
            <w:tcW w:w="1060" w:type="dxa"/>
            <w:vAlign w:val="bottom"/>
          </w:tcPr>
          <w:p>
            <w:pPr>
              <w:spacing w:after="0"/>
              <w:rPr>
                <w:sz w:val="17"/>
                <w:szCs w:val="17"/>
                <w:color w:val="auto"/>
              </w:rPr>
            </w:pPr>
          </w:p>
        </w:tc>
      </w:tr>
    </w:tbl>
    <w:p>
      <w:pPr>
        <w:sectPr>
          <w:pgSz w:w="11900" w:h="16838" w:orient="portrait"/>
          <w:cols w:equalWidth="0" w:num="1">
            <w:col w:w="10219"/>
          </w:cols>
          <w:pgMar w:left="240" w:top="1122"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O I L  -  D R I   C O R P O R A T I O N</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O F</w:t>
            </w:r>
          </w:p>
        </w:tc>
        <w:tc>
          <w:tcPr>
            <w:tcW w:w="20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5"/>
              </w:rPr>
              <w:t>A M E R I C A</w:t>
            </w:r>
          </w:p>
        </w:tc>
        <w:tc>
          <w:tcPr>
            <w:tcW w:w="1060" w:type="dxa"/>
            <w:vAlign w:val="bottom"/>
          </w:tcPr>
          <w:p>
            <w:pPr>
              <w:spacing w:after="0"/>
              <w:rPr>
                <w:sz w:val="17"/>
                <w:szCs w:val="17"/>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thousands, except for per share amounts)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AS OF OCTOBER 31,</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ASSETS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180" w:type="dxa"/>
            <w:vAlign w:val="bottom"/>
            <w:gridSpan w:val="3"/>
          </w:tcPr>
          <w:p>
            <w:pPr>
              <w:ind w:left="1480"/>
              <w:spacing w:after="0" w:line="203" w:lineRule="exact"/>
              <w:rPr>
                <w:sz w:val="20"/>
                <w:szCs w:val="20"/>
                <w:color w:val="auto"/>
              </w:rPr>
            </w:pPr>
            <w:r>
              <w:rPr>
                <w:rFonts w:ascii="Courier New" w:cs="Courier New" w:eastAsia="Courier New" w:hAnsi="Courier New"/>
                <w:sz w:val="18"/>
                <w:szCs w:val="18"/>
                <w:color w:val="auto"/>
              </w:rPr>
              <w:t>CASH, CASH EQUIVALENTS AND INVESTMENTS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$ 18,941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$ 10,701</w:t>
            </w: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23,870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25,505</w:t>
            </w: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INVENTORIES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12,958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13,379</w:t>
            </w: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PREPAID EXPENSES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8,717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7,886</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280" w:type="dxa"/>
            <w:vAlign w:val="bottom"/>
            <w:gridSpan w:val="2"/>
          </w:tcPr>
          <w:p>
            <w:pPr>
              <w:ind w:left="3160"/>
              <w:spacing w:after="0" w:line="203" w:lineRule="exact"/>
              <w:rPr>
                <w:sz w:val="20"/>
                <w:szCs w:val="20"/>
                <w:color w:val="auto"/>
              </w:rPr>
            </w:pPr>
            <w:r>
              <w:rPr>
                <w:rFonts w:ascii="Courier New" w:cs="Courier New" w:eastAsia="Courier New" w:hAnsi="Courier New"/>
                <w:sz w:val="18"/>
                <w:szCs w:val="18"/>
                <w:color w:val="auto"/>
                <w:w w:val="97"/>
              </w:rPr>
              <w:t>TOTAL CURRENT ASSETS</w:t>
            </w: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64,486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57,471</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47,636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48,109</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ASSETS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12,885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17,150</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ASSETS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$122,730</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380" w:type="dxa"/>
            <w:vAlign w:val="bottom"/>
          </w:tcPr>
          <w:p>
            <w:pPr>
              <w:ind w:left="320"/>
              <w:spacing w:after="0"/>
              <w:rPr>
                <w:sz w:val="20"/>
                <w:szCs w:val="20"/>
                <w:color w:val="auto"/>
              </w:rPr>
            </w:pPr>
            <w:r>
              <w:rPr>
                <w:rFonts w:ascii="Courier New" w:cs="Courier New" w:eastAsia="Courier New" w:hAnsi="Courier New"/>
                <w:sz w:val="18"/>
                <w:szCs w:val="18"/>
                <w:color w:val="auto"/>
              </w:rPr>
              <w:t>CURRENT LIABILITIES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w w:val="99"/>
              </w:rPr>
              <w:t>CURRENT MATURITIES OF NOTES PAYABLE</w:t>
            </w: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$4,000</w:t>
            </w: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5,385</w:t>
            </w: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ACCRUED EXPENSES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15,287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12,685</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gridSpan w:val="3"/>
          </w:tcPr>
          <w:p>
            <w:pPr>
              <w:ind w:left="3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22,330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22,579</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LIABILITIES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NOTES PAYABLE</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23,240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24,900</w:t>
            </w: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OTHER NONCURRENT</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LIABILITIES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6,769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5,373</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180" w:type="dxa"/>
            <w:vAlign w:val="bottom"/>
            <w:gridSpan w:val="3"/>
          </w:tcPr>
          <w:p>
            <w:pPr>
              <w:ind w:left="3160"/>
              <w:spacing w:after="0" w:line="203" w:lineRule="exact"/>
              <w:rPr>
                <w:sz w:val="20"/>
                <w:szCs w:val="20"/>
                <w:color w:val="auto"/>
              </w:rPr>
            </w:pPr>
            <w:r>
              <w:rPr>
                <w:rFonts w:ascii="Courier New" w:cs="Courier New" w:eastAsia="Courier New" w:hAnsi="Courier New"/>
                <w:sz w:val="18"/>
                <w:szCs w:val="18"/>
                <w:color w:val="auto"/>
              </w:rPr>
              <w:t>TOTAL LONG-TERM LIABILITIES</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30,273</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72,668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69,878</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90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$122,730</w:t>
            </w: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4380" w:type="dxa"/>
            <w:vAlign w:val="bottom"/>
          </w:tcPr>
          <w:p>
            <w:pPr>
              <w:ind w:left="320"/>
              <w:spacing w:after="0"/>
              <w:rPr>
                <w:sz w:val="20"/>
                <w:szCs w:val="20"/>
                <w:color w:val="auto"/>
              </w:rPr>
            </w:pPr>
            <w:r>
              <w:rPr>
                <w:rFonts w:ascii="Courier New" w:cs="Courier New" w:eastAsia="Courier New" w:hAnsi="Courier New"/>
                <w:sz w:val="18"/>
                <w:szCs w:val="18"/>
                <w:color w:val="auto"/>
              </w:rPr>
              <w:t>BOOK VALUE PER SHARE OUTSTANDING</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$13.21</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$12.80</w:t>
            </w:r>
          </w:p>
        </w:tc>
      </w:tr>
      <w:tr>
        <w:trPr>
          <w:trHeight w:val="405"/>
        </w:trPr>
        <w:tc>
          <w:tcPr>
            <w:tcW w:w="4380" w:type="dxa"/>
            <w:vAlign w:val="bottom"/>
          </w:tcPr>
          <w:p>
            <w:pPr>
              <w:ind w:left="320"/>
              <w:spacing w:after="0"/>
              <w:rPr>
                <w:sz w:val="20"/>
                <w:szCs w:val="20"/>
                <w:color w:val="auto"/>
              </w:rPr>
            </w:pPr>
            <w:r>
              <w:rPr>
                <w:rFonts w:ascii="Courier New" w:cs="Courier New" w:eastAsia="Courier New" w:hAnsi="Courier New"/>
                <w:sz w:val="18"/>
                <w:szCs w:val="18"/>
                <w:color w:val="auto"/>
              </w:rPr>
              <w:t>ADDITIONS TO AND ACQUISITIONS OF</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18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FIRST QUARTER</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$1,748</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 CHARGES</w:t>
            </w:r>
          </w:p>
        </w:tc>
        <w:tc>
          <w:tcPr>
            <w:tcW w:w="18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FIRST QUARTER</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$2,082</w:t>
            </w:r>
          </w:p>
        </w:tc>
      </w:tr>
    </w:tbl>
    <w:p>
      <w:pPr>
        <w:spacing w:after="0" w:line="1" w:lineRule="exact"/>
        <w:rPr>
          <w:sz w:val="20"/>
          <w:szCs w:val="20"/>
          <w:color w:val="auto"/>
        </w:rPr>
      </w:pP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2020-02-17T13:06:37Z</dcterms:created>
  <dcterms:modified xsi:type="dcterms:W3CDTF">2020-02-17T13:06:37Z</dcterms:modified>
</cp:coreProperties>
</file>