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03"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For the fiscal year ended July 31, 2024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ind w:left="300" w:hanging="247"/>
        <w:spacing w:after="0"/>
        <w:tabs>
          <w:tab w:leader="none" w:pos="3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 to _____</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001-12622</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OIL-DRI CORPORATION OF AMERICA</w:t>
      </w: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8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color w:val="auto"/>
              </w:rPr>
              <w:t>Delaware</w:t>
            </w:r>
          </w:p>
        </w:tc>
        <w:tc>
          <w:tcPr>
            <w:tcW w:w="2500" w:type="dxa"/>
            <w:vAlign w:val="bottom"/>
          </w:tcPr>
          <w:p>
            <w:pPr>
              <w:spacing w:after="0"/>
              <w:rPr>
                <w:sz w:val="19"/>
                <w:szCs w:val="19"/>
                <w:color w:val="auto"/>
              </w:rPr>
            </w:pPr>
          </w:p>
        </w:tc>
        <w:tc>
          <w:tcPr>
            <w:tcW w:w="4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36-2048898</w:t>
            </w:r>
          </w:p>
        </w:tc>
      </w:tr>
      <w:tr>
        <w:trPr>
          <w:trHeight w:val="194"/>
        </w:trPr>
        <w:tc>
          <w:tcPr>
            <w:tcW w:w="4440" w:type="dxa"/>
            <w:vAlign w:val="bottom"/>
            <w:gridSpan w:val="5"/>
          </w:tcPr>
          <w:p>
            <w:pPr>
              <w:ind w:left="660"/>
              <w:spacing w:after="0" w:line="194" w:lineRule="exact"/>
              <w:rPr>
                <w:sz w:val="20"/>
                <w:szCs w:val="20"/>
                <w:color w:val="auto"/>
              </w:rPr>
            </w:pPr>
            <w:r>
              <w:rPr>
                <w:rFonts w:ascii="Times New Roman" w:cs="Times New Roman" w:eastAsia="Times New Roman" w:hAnsi="Times New Roman"/>
                <w:sz w:val="18"/>
                <w:szCs w:val="18"/>
                <w:color w:val="auto"/>
              </w:rPr>
              <w:t>(State or other jurisdiction of incorporation or</w:t>
            </w:r>
          </w:p>
        </w:tc>
        <w:tc>
          <w:tcPr>
            <w:tcW w:w="2500" w:type="dxa"/>
            <w:vAlign w:val="bottom"/>
          </w:tcPr>
          <w:p>
            <w:pPr>
              <w:spacing w:after="0"/>
              <w:rPr>
                <w:sz w:val="16"/>
                <w:szCs w:val="16"/>
                <w:color w:val="auto"/>
              </w:rPr>
            </w:pPr>
          </w:p>
        </w:tc>
        <w:tc>
          <w:tcPr>
            <w:tcW w:w="4280" w:type="dxa"/>
            <w:vAlign w:val="bottom"/>
          </w:tcPr>
          <w:p>
            <w:pPr>
              <w:jc w:val="center"/>
              <w:ind w:right="230"/>
              <w:spacing w:after="0" w:line="194"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8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color w:val="auto"/>
                <w:w w:val="97"/>
              </w:rPr>
              <w:t>organization)</w:t>
            </w:r>
          </w:p>
        </w:tc>
        <w:tc>
          <w:tcPr>
            <w:tcW w:w="25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11"/>
        </w:trPr>
        <w:tc>
          <w:tcPr>
            <w:tcW w:w="820" w:type="dxa"/>
            <w:vAlign w:val="bottom"/>
          </w:tcPr>
          <w:p>
            <w:pPr>
              <w:spacing w:after="0"/>
              <w:rPr>
                <w:sz w:val="18"/>
                <w:szCs w:val="18"/>
                <w:color w:val="auto"/>
              </w:rPr>
            </w:pPr>
          </w:p>
        </w:tc>
        <w:tc>
          <w:tcPr>
            <w:tcW w:w="362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8"/>
              </w:rPr>
              <w:t>410 North Michigan Avenue, Suite 400</w:t>
            </w:r>
          </w:p>
        </w:tc>
        <w:tc>
          <w:tcPr>
            <w:tcW w:w="250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2"/>
          </w:tcPr>
          <w:p>
            <w:pPr>
              <w:jc w:val="center"/>
              <w:ind w:right="750"/>
              <w:spacing w:after="0"/>
              <w:rPr>
                <w:sz w:val="20"/>
                <w:szCs w:val="20"/>
                <w:color w:val="auto"/>
              </w:rPr>
            </w:pPr>
            <w:r>
              <w:rPr>
                <w:rFonts w:ascii="Times New Roman" w:cs="Times New Roman" w:eastAsia="Times New Roman" w:hAnsi="Times New Roman"/>
                <w:sz w:val="18"/>
                <w:szCs w:val="18"/>
                <w:color w:val="auto"/>
                <w:w w:val="99"/>
              </w:rPr>
              <w:t>Chicago, Illinois</w:t>
            </w:r>
          </w:p>
        </w:tc>
        <w:tc>
          <w:tcPr>
            <w:tcW w:w="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2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60611-4213</w:t>
            </w:r>
          </w:p>
        </w:tc>
      </w:tr>
      <w:tr>
        <w:trPr>
          <w:trHeight w:val="20"/>
        </w:trPr>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45"/>
        </w:trPr>
        <w:tc>
          <w:tcPr>
            <w:tcW w:w="820" w:type="dxa"/>
            <w:vAlign w:val="bottom"/>
          </w:tcPr>
          <w:p>
            <w:pPr>
              <w:spacing w:after="0"/>
              <w:rPr>
                <w:sz w:val="21"/>
                <w:szCs w:val="21"/>
                <w:color w:val="auto"/>
              </w:rPr>
            </w:pPr>
          </w:p>
        </w:tc>
        <w:tc>
          <w:tcPr>
            <w:tcW w:w="362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spacing w:after="0"/>
              <w:rPr>
                <w:sz w:val="21"/>
                <w:szCs w:val="21"/>
                <w:color w:val="auto"/>
              </w:rPr>
            </w:pPr>
          </w:p>
        </w:tc>
        <w:tc>
          <w:tcPr>
            <w:tcW w:w="42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360" w:type="dxa"/>
            <w:vAlign w:val="bottom"/>
            <w:gridSpan w:val="4"/>
          </w:tcPr>
          <w:p>
            <w:pPr>
              <w:jc w:val="center"/>
              <w:ind w:right="2750"/>
              <w:spacing w:after="0"/>
              <w:rPr>
                <w:sz w:val="20"/>
                <w:szCs w:val="20"/>
                <w:color w:val="auto"/>
              </w:rPr>
            </w:pPr>
            <w:r>
              <w:rPr>
                <w:rFonts w:ascii="Times New Roman" w:cs="Times New Roman" w:eastAsia="Times New Roman" w:hAnsi="Times New Roman"/>
                <w:sz w:val="18"/>
                <w:szCs w:val="18"/>
                <w:color w:val="auto"/>
                <w:w w:val="99"/>
              </w:rPr>
              <w:t>The registrant's telephone number, including area code: (312) 321-1515</w:t>
            </w:r>
          </w:p>
        </w:tc>
      </w:tr>
      <w:tr>
        <w:trPr>
          <w:trHeight w:val="513"/>
        </w:trPr>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360" w:type="dxa"/>
            <w:vAlign w:val="bottom"/>
            <w:gridSpan w:val="4"/>
          </w:tcPr>
          <w:p>
            <w:pPr>
              <w:jc w:val="center"/>
              <w:ind w:right="27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51"/>
        </w:trPr>
        <w:tc>
          <w:tcPr>
            <w:tcW w:w="8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center"/>
              <w:ind w:right="1520"/>
              <w:spacing w:after="0"/>
              <w:rPr>
                <w:sz w:val="20"/>
                <w:szCs w:val="20"/>
                <w:color w:val="auto"/>
              </w:rPr>
            </w:pPr>
            <w:r>
              <w:rPr>
                <w:rFonts w:ascii="Times New Roman" w:cs="Times New Roman" w:eastAsia="Times New Roman" w:hAnsi="Times New Roman"/>
                <w:sz w:val="18"/>
                <w:szCs w:val="18"/>
                <w:color w:val="auto"/>
              </w:rPr>
              <w:t>Title of Each Class</w:t>
            </w:r>
          </w:p>
        </w:tc>
        <w:tc>
          <w:tcPr>
            <w:tcW w:w="25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44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$0.10 per share</w:t>
            </w:r>
          </w:p>
        </w:tc>
        <w:tc>
          <w:tcPr>
            <w:tcW w:w="2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ODC</w:t>
            </w:r>
          </w:p>
        </w:tc>
        <w:tc>
          <w:tcPr>
            <w:tcW w:w="42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ind w:left="5100"/>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ind w:left="5120"/>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0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19"/>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5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jc w:val="center"/>
        <w:ind w:right="-19"/>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12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280"/>
              <w:spacing w:after="0" w:line="251" w:lineRule="exact"/>
              <w:rPr>
                <w:sz w:val="20"/>
                <w:szCs w:val="20"/>
                <w:color w:val="auto"/>
              </w:rPr>
            </w:pPr>
            <w:r>
              <w:rPr>
                <w:rFonts w:ascii="MS PGothic" w:cs="MS PGothic" w:eastAsia="MS PGothic" w:hAnsi="MS PGothic"/>
                <w:sz w:val="25"/>
                <w:szCs w:val="25"/>
                <w:color w:val="auto"/>
                <w:w w:val="79"/>
              </w:rPr>
              <w:t>☒</w:t>
            </w:r>
          </w:p>
        </w:tc>
      </w:tr>
      <w:tr>
        <w:trPr>
          <w:trHeight w:val="3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Accelerated filer</w:t>
            </w:r>
          </w:p>
        </w:tc>
        <w:tc>
          <w:tcPr>
            <w:tcW w:w="3100" w:type="dxa"/>
            <w:vAlign w:val="bottom"/>
          </w:tcPr>
          <w:p>
            <w:pPr>
              <w:ind w:left="1280"/>
              <w:spacing w:after="0" w:line="251" w:lineRule="exact"/>
              <w:rPr>
                <w:sz w:val="20"/>
                <w:szCs w:val="20"/>
                <w:color w:val="auto"/>
              </w:rPr>
            </w:pPr>
            <w:r>
              <w:rPr>
                <w:rFonts w:ascii="MS PGothic" w:cs="MS PGothic" w:eastAsia="MS PGothic" w:hAnsi="MS PGothic"/>
                <w:sz w:val="25"/>
                <w:szCs w:val="25"/>
                <w:color w:val="auto"/>
              </w:rPr>
              <w:t>☒</w:t>
            </w:r>
          </w:p>
        </w:tc>
        <w:tc>
          <w:tcPr>
            <w:tcW w:w="38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90"/>
              </w:rPr>
              <w:t>☐</w:t>
            </w:r>
          </w:p>
        </w:tc>
      </w:tr>
      <w:tr>
        <w:trPr>
          <w:trHeight w:val="36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12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94" w:lineRule="exact"/>
        <w:rPr>
          <w:sz w:val="20"/>
          <w:szCs w:val="20"/>
          <w:color w:val="auto"/>
        </w:rPr>
      </w:pPr>
    </w:p>
    <w:p>
      <w:pPr>
        <w:ind w:right="20" w:firstLine="49"/>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25"/>
          <w:szCs w:val="25"/>
          <w:color w:val="auto"/>
        </w:rPr>
        <w:t>☒</w:t>
      </w:r>
    </w:p>
    <w:p>
      <w:pPr>
        <w:spacing w:after="0" w:line="238"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3" w:lineRule="exact"/>
        <w:rPr>
          <w:sz w:val="20"/>
          <w:szCs w:val="20"/>
          <w:color w:val="auto"/>
        </w:rPr>
      </w:pPr>
    </w:p>
    <w:p>
      <w:pPr>
        <w:ind w:left="5100"/>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Oil-Dri’s Common Stock owned by non-affiliates as of January 31, 2024 was $315,925,055.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5,134,582 shares of the registrant's Common Stock and 2,155,407 shares of the registrant's Class B Stock were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2024 Annual Meeting of Stockholders (“Proxy Statement”), which will be filed with the U.S. Securities and Exchange Commission (“SEC”) not later than November 28, 2024 (120 days after the fiscal year to which this report relates), are incorporated into Part III of this Annual Report on Form 10-K where indicated.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tcPr>
          <w:p>
            <w:pPr>
              <w:jc w:val="center"/>
              <w:ind w:left="1611"/>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w:t>
            </w:r>
          </w:p>
        </w:tc>
        <w:tc>
          <w:tcPr>
            <w:tcW w:w="2260" w:type="dxa"/>
            <w:vAlign w:val="bottom"/>
            <w:gridSpan w:val="4"/>
          </w:tcPr>
          <w:p>
            <w:pPr>
              <w:ind w:left="78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31"/>
        </w:trPr>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20" w:type="dxa"/>
            <w:vAlign w:val="bottom"/>
            <w:shd w:val="clear" w:color="auto" w:fill="CCEEFF"/>
          </w:tcPr>
          <w:p>
            <w:pPr>
              <w:jc w:val="center"/>
              <w:ind w:left="1631"/>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1A.</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1B.</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1C.</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vMerge w:val="restart"/>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vMerge w:val="restart"/>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Mine Safety Disclosure</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4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20" w:type="dxa"/>
            <w:vAlign w:val="bottom"/>
            <w:shd w:val="clear" w:color="auto" w:fill="CCEEFF"/>
          </w:tcPr>
          <w:p>
            <w:pPr>
              <w:jc w:val="center"/>
              <w:ind w:left="1631"/>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20" w:type="dxa"/>
            <w:vAlign w:val="bottom"/>
            <w:shd w:val="clear" w:color="auto" w:fill="CCEEFF"/>
          </w:tcPr>
          <w:p>
            <w:pPr>
              <w:ind w:left="860"/>
              <w:spacing w:after="0" w:line="17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5</w:t>
            </w:r>
          </w:p>
        </w:tc>
        <w:tc>
          <w:tcPr>
            <w:tcW w:w="8420" w:type="dxa"/>
            <w:vAlign w:val="bottom"/>
            <w:shd w:val="clear" w:color="auto" w:fill="CCEEFF"/>
          </w:tcPr>
          <w:p>
            <w:pPr>
              <w:ind w:left="860"/>
              <w:spacing w:after="0" w:line="202" w:lineRule="exact"/>
              <w:rPr>
                <w:sz w:val="20"/>
                <w:szCs w:val="20"/>
                <w:color w:val="auto"/>
              </w:rPr>
            </w:pPr>
            <w:r>
              <w:rPr>
                <w:rFonts w:ascii="Times New Roman" w:cs="Times New Roman" w:eastAsia="Times New Roman" w:hAnsi="Times New Roman"/>
                <w:sz w:val="18"/>
                <w:szCs w:val="18"/>
                <w:color w:val="0000FF"/>
              </w:rPr>
              <w:t>Equity Securities</w:t>
            </w:r>
          </w:p>
        </w:tc>
        <w:tc>
          <w:tcPr>
            <w:tcW w:w="2020" w:type="dxa"/>
            <w:vAlign w:val="bottom"/>
            <w:tcBorders>
              <w:right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33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auto"/>
              </w:rPr>
              <w:t>[Reserved]</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vMerge w:val="restart"/>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vMerge w:val="restart"/>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r>
              <w:rPr>
                <w:rFonts w:ascii="Times New Roman" w:cs="Times New Roman" w:eastAsia="Times New Roman" w:hAnsi="Times New Roman"/>
                <w:sz w:val="18"/>
                <w:szCs w:val="18"/>
                <w:color w:val="000000"/>
              </w:rPr>
              <w:t>, PCAOB ID: 248</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9A.</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9B.</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9C.</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4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20" w:type="dxa"/>
            <w:vAlign w:val="bottom"/>
            <w:shd w:val="clear" w:color="auto" w:fill="CCEEFF"/>
          </w:tcPr>
          <w:p>
            <w:pPr>
              <w:jc w:val="center"/>
              <w:ind w:left="1611"/>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20" w:type="dxa"/>
            <w:vAlign w:val="bottom"/>
            <w:shd w:val="clear" w:color="auto" w:fill="CCEEFF"/>
          </w:tcPr>
          <w:p>
            <w:pPr>
              <w:ind w:left="860"/>
              <w:spacing w:after="0" w:line="17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8420" w:type="dxa"/>
            <w:vAlign w:val="bottom"/>
            <w:shd w:val="clear" w:color="auto" w:fill="CCEEFF"/>
          </w:tcPr>
          <w:p>
            <w:pPr>
              <w:ind w:left="860"/>
              <w:spacing w:after="0" w:line="202" w:lineRule="exact"/>
              <w:rPr>
                <w:sz w:val="20"/>
                <w:szCs w:val="20"/>
                <w:color w:val="auto"/>
              </w:rPr>
            </w:pPr>
            <w:r>
              <w:rPr>
                <w:rFonts w:ascii="Times New Roman" w:cs="Times New Roman" w:eastAsia="Times New Roman" w:hAnsi="Times New Roman"/>
                <w:sz w:val="18"/>
                <w:szCs w:val="18"/>
                <w:color w:val="0000FF"/>
              </w:rPr>
              <w:t>Matters</w:t>
            </w:r>
          </w:p>
        </w:tc>
        <w:tc>
          <w:tcPr>
            <w:tcW w:w="2020" w:type="dxa"/>
            <w:vAlign w:val="bottom"/>
            <w:tcBorders>
              <w:right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76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vMerge w:val="restart"/>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vMerge w:val="continue"/>
          </w:tcPr>
          <w:p>
            <w:pPr>
              <w:spacing w:after="0"/>
              <w:rPr>
                <w:sz w:val="18"/>
                <w:szCs w:val="18"/>
                <w:color w:val="auto"/>
              </w:rPr>
            </w:pPr>
          </w:p>
        </w:tc>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26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420" w:type="dxa"/>
            <w:vAlign w:val="bottom"/>
            <w:tcBorders>
              <w:top w:val="single" w:sz="8" w:color="CCEEFF"/>
            </w:tcBorders>
          </w:tcPr>
          <w:p>
            <w:pPr>
              <w:jc w:val="center"/>
              <w:ind w:left="1611"/>
              <w:spacing w:after="0"/>
              <w:rPr>
                <w:sz w:val="20"/>
                <w:szCs w:val="20"/>
                <w:color w:val="auto"/>
              </w:rPr>
            </w:pPr>
            <w:r>
              <w:rPr>
                <w:rFonts w:ascii="Times New Roman" w:cs="Times New Roman" w:eastAsia="Times New Roman" w:hAnsi="Times New Roman"/>
                <w:sz w:val="18"/>
                <w:szCs w:val="18"/>
                <w:color w:val="auto"/>
                <w:w w:val="88"/>
              </w:rPr>
              <w:t>3</w:t>
            </w:r>
          </w:p>
        </w:tc>
        <w:tc>
          <w:tcPr>
            <w:tcW w:w="182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260" w:type="dxa"/>
        <w:tblCellMar>
          <w:top w:w="0" w:type="dxa"/>
          <w:left w:w="0" w:type="dxa"/>
          <w:bottom w:w="0" w:type="dxa"/>
          <w:right w:w="0" w:type="dxa"/>
        </w:tblCellMar>
      </w:tblPr>
      <w:tr>
        <w:trPr>
          <w:trHeight w:val="227"/>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14</w:t>
            </w:r>
          </w:p>
        </w:tc>
        <w:tc>
          <w:tcPr>
            <w:tcW w:w="76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77</w:t>
            </w:r>
          </w:p>
        </w:tc>
      </w:tr>
      <w:tr>
        <w:trPr>
          <w:trHeight w:val="432"/>
        </w:trPr>
        <w:tc>
          <w:tcPr>
            <w:tcW w:w="380" w:type="dxa"/>
            <w:vAlign w:val="bottom"/>
            <w:tcBorders>
              <w:top w:val="single" w:sz="8" w:color="CCEEFF"/>
            </w:tcBorders>
          </w:tcPr>
          <w:p>
            <w:pPr>
              <w:spacing w:after="0"/>
              <w:rPr>
                <w:sz w:val="24"/>
                <w:szCs w:val="24"/>
                <w:color w:val="auto"/>
              </w:rPr>
            </w:pPr>
          </w:p>
        </w:tc>
        <w:tc>
          <w:tcPr>
            <w:tcW w:w="7620" w:type="dxa"/>
            <w:vAlign w:val="bottom"/>
            <w:tcBorders>
              <w:top w:val="single" w:sz="8" w:color="CCEEFF"/>
            </w:tcBorders>
          </w:tcPr>
          <w:p>
            <w:pPr>
              <w:ind w:left="3860"/>
              <w:spacing w:after="0"/>
              <w:rPr>
                <w:sz w:val="20"/>
                <w:szCs w:val="20"/>
                <w:color w:val="auto"/>
              </w:rPr>
            </w:pPr>
            <w:r>
              <w:rPr>
                <w:rFonts w:ascii="Times New Roman" w:cs="Times New Roman" w:eastAsia="Times New Roman" w:hAnsi="Times New Roman"/>
                <w:sz w:val="18"/>
                <w:szCs w:val="18"/>
                <w:b w:val="1"/>
                <w:bCs w:val="1"/>
                <w:color w:val="auto"/>
              </w:rPr>
              <w:t>CONTENTS (CONTINUED)</w:t>
            </w:r>
          </w:p>
        </w:tc>
        <w:tc>
          <w:tcPr>
            <w:tcW w:w="254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345"/>
        </w:trPr>
        <w:tc>
          <w:tcPr>
            <w:tcW w:w="3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Item</w:t>
            </w:r>
          </w:p>
        </w:tc>
        <w:tc>
          <w:tcPr>
            <w:tcW w:w="274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4"/>
                <w:szCs w:val="14"/>
                <w:color w:val="auto"/>
              </w:rPr>
              <w:t>Page</w:t>
            </w:r>
          </w:p>
        </w:tc>
      </w:tr>
      <w:tr>
        <w:trPr>
          <w:trHeight w:val="229"/>
        </w:trPr>
        <w:tc>
          <w:tcPr>
            <w:tcW w:w="380" w:type="dxa"/>
            <w:vAlign w:val="bottom"/>
            <w:shd w:val="clear" w:color="auto" w:fill="CCEEFF"/>
          </w:tcPr>
          <w:p>
            <w:pPr>
              <w:spacing w:after="0"/>
              <w:rPr>
                <w:sz w:val="19"/>
                <w:szCs w:val="19"/>
                <w:color w:val="auto"/>
              </w:rPr>
            </w:pPr>
          </w:p>
        </w:tc>
        <w:tc>
          <w:tcPr>
            <w:tcW w:w="7620" w:type="dxa"/>
            <w:vAlign w:val="bottom"/>
            <w:shd w:val="clear" w:color="auto" w:fill="CCEEFF"/>
          </w:tcPr>
          <w:p>
            <w:pPr>
              <w:ind w:left="462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2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3"/>
        </w:trPr>
        <w:tc>
          <w:tcPr>
            <w:tcW w:w="38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2740" w:type="dxa"/>
            <w:vAlign w:val="bottom"/>
            <w:gridSpan w:val="3"/>
          </w:tcPr>
          <w:p>
            <w:pPr>
              <w:spacing w:after="0"/>
              <w:rPr>
                <w:sz w:val="17"/>
                <w:szCs w:val="17"/>
                <w:color w:val="auto"/>
              </w:rPr>
            </w:pPr>
          </w:p>
        </w:tc>
      </w:tr>
      <w:tr>
        <w:trPr>
          <w:trHeight w:val="209"/>
        </w:trPr>
        <w:tc>
          <w:tcPr>
            <w:tcW w:w="38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99"/>
              </w:rPr>
              <w:t>15</w:t>
            </w:r>
          </w:p>
        </w:tc>
        <w:tc>
          <w:tcPr>
            <w:tcW w:w="7620" w:type="dxa"/>
            <w:vAlign w:val="bottom"/>
            <w:shd w:val="clear" w:color="auto" w:fill="CCEEFF"/>
          </w:tcPr>
          <w:p>
            <w:pPr>
              <w:ind w:left="78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w:t>
            </w:r>
          </w:p>
        </w:tc>
        <w:tc>
          <w:tcPr>
            <w:tcW w:w="274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78</w:t>
            </w:r>
          </w:p>
        </w:tc>
      </w:tr>
      <w:tr>
        <w:trPr>
          <w:trHeight w:val="230"/>
        </w:trPr>
        <w:tc>
          <w:tcPr>
            <w:tcW w:w="380" w:type="dxa"/>
            <w:vAlign w:val="bottom"/>
            <w:tcBorders>
              <w:top w:val="single" w:sz="8" w:color="CCEEFF"/>
            </w:tcBorders>
          </w:tcPr>
          <w:p>
            <w:pPr>
              <w:spacing w:after="0"/>
              <w:rPr>
                <w:sz w:val="19"/>
                <w:szCs w:val="19"/>
                <w:color w:val="auto"/>
              </w:rPr>
            </w:pPr>
          </w:p>
        </w:tc>
        <w:tc>
          <w:tcPr>
            <w:tcW w:w="7620" w:type="dxa"/>
            <w:vAlign w:val="bottom"/>
            <w:tcBorders>
              <w:top w:val="single" w:sz="8" w:color="CCEEFF"/>
            </w:tcBorders>
          </w:tcPr>
          <w:p>
            <w:pPr>
              <w:spacing w:after="0"/>
              <w:rPr>
                <w:sz w:val="19"/>
                <w:szCs w:val="19"/>
                <w:color w:val="auto"/>
              </w:rPr>
            </w:pPr>
          </w:p>
        </w:tc>
        <w:tc>
          <w:tcPr>
            <w:tcW w:w="25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380" w:type="dxa"/>
            <w:vAlign w:val="bottom"/>
            <w:shd w:val="clear" w:color="auto" w:fill="CCEEFF"/>
          </w:tcPr>
          <w:p>
            <w:pPr>
              <w:spacing w:after="0"/>
              <w:rPr>
                <w:sz w:val="18"/>
                <w:szCs w:val="18"/>
                <w:color w:val="auto"/>
              </w:rPr>
            </w:pPr>
          </w:p>
        </w:tc>
        <w:tc>
          <w:tcPr>
            <w:tcW w:w="7620" w:type="dxa"/>
            <w:vAlign w:val="bottom"/>
            <w:shd w:val="clear" w:color="auto" w:fill="CCEEFF"/>
          </w:tcPr>
          <w:p>
            <w:pPr>
              <w:ind w:left="78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74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84</w:t>
            </w:r>
          </w:p>
        </w:tc>
      </w:tr>
      <w:tr>
        <w:trPr>
          <w:trHeight w:val="229"/>
        </w:trPr>
        <w:tc>
          <w:tcPr>
            <w:tcW w:w="380" w:type="dxa"/>
            <w:vAlign w:val="bottom"/>
            <w:tcBorders>
              <w:top w:val="single" w:sz="8" w:color="CCEEFF"/>
            </w:tcBorders>
          </w:tcPr>
          <w:p>
            <w:pPr>
              <w:spacing w:after="0"/>
              <w:rPr>
                <w:sz w:val="19"/>
                <w:szCs w:val="19"/>
                <w:color w:val="auto"/>
              </w:rPr>
            </w:pPr>
          </w:p>
        </w:tc>
        <w:tc>
          <w:tcPr>
            <w:tcW w:w="7620" w:type="dxa"/>
            <w:vAlign w:val="bottom"/>
            <w:tcBorders>
              <w:top w:val="single" w:sz="8" w:color="CCEEFF"/>
            </w:tcBorders>
          </w:tcPr>
          <w:p>
            <w:pPr>
              <w:spacing w:after="0"/>
              <w:rPr>
                <w:sz w:val="19"/>
                <w:szCs w:val="19"/>
                <w:color w:val="auto"/>
              </w:rPr>
            </w:pPr>
          </w:p>
        </w:tc>
        <w:tc>
          <w:tcPr>
            <w:tcW w:w="25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380" w:type="dxa"/>
            <w:vAlign w:val="bottom"/>
            <w:shd w:val="clear" w:color="auto" w:fill="CCEEFF"/>
          </w:tcPr>
          <w:p>
            <w:pPr>
              <w:spacing w:after="0"/>
              <w:rPr>
                <w:sz w:val="16"/>
                <w:szCs w:val="16"/>
                <w:color w:val="auto"/>
              </w:rPr>
            </w:pPr>
          </w:p>
        </w:tc>
        <w:tc>
          <w:tcPr>
            <w:tcW w:w="7620" w:type="dxa"/>
            <w:vAlign w:val="bottom"/>
            <w:shd w:val="clear" w:color="auto" w:fill="CCEEFF"/>
          </w:tcPr>
          <w:p>
            <w:pPr>
              <w:ind w:left="780"/>
              <w:spacing w:after="0" w:line="189" w:lineRule="exact"/>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274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86</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70" w:lineRule="exact"/>
        <w:rPr>
          <w:sz w:val="20"/>
          <w:szCs w:val="20"/>
          <w:color w:val="auto"/>
        </w:rPr>
      </w:pPr>
    </w:p>
    <w:p>
      <w:pPr>
        <w:jc w:val="both"/>
        <w:ind w:firstLine="229"/>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those under the heading “Management’s Discussion and Analysis of Financial Condition and Results of Operations” and those statements elsewhere in this report and other documents we file with the SEC, contain forward-looking statements, within the meaning of the safe harbor provisions of the U.S. Private Securities Litigation Reform Act of 1995,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“foresee,” “predict,” “possible,” “commit,” “design,” “strive,” and variations of such works and similar references to future periods.</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but not limited to, those described in Item 1A “Risk Factors” below and from time to time in our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70" w:lineRule="exact"/>
        <w:rPr>
          <w:sz w:val="20"/>
          <w:szCs w:val="20"/>
          <w:color w:val="auto"/>
        </w:rPr>
      </w:pPr>
    </w:p>
    <w:p>
      <w:pPr>
        <w:jc w:val="both"/>
        <w:ind w:firstLine="297"/>
        <w:spacing w:after="0" w:line="261" w:lineRule="auto"/>
        <w:rPr>
          <w:sz w:val="20"/>
          <w:szCs w:val="20"/>
          <w:color w:val="auto"/>
        </w:rPr>
      </w:pPr>
      <w:r>
        <w:rPr>
          <w:rFonts w:ascii="Times New Roman" w:cs="Times New Roman" w:eastAsia="Times New Roman" w:hAnsi="Times New Roman"/>
          <w:sz w:val="18"/>
          <w:szCs w:val="18"/>
          <w:color w:val="auto"/>
        </w:rPr>
        <w:t>Agsorb, Ambio, Amlan, Calibrin, Cat’s Pride, Flo-Fre, Jonny Cat, KatKit, Litter Pearls, MD-09, Metal-X, Metal-Z, NeoPrime, Oil-Dri, Pel-Unite, Perform, Pro Mound, Pro's Choice Sports Field Products, Pure-Flo, Rapid Dry, Saular, Select, Sorbiam, Ultra, Ultra-Clear, Varium and Verge, as well as other registered or common law trade names, trademarks or service marks appearing in this Annual Report on Form 10-K are the property of Oil-Dri Corporation of America or of its subsidiaries. Fresh Step is a registered trademark of The Clorox Pet Products Company.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USINESS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to “Oil-Dri,” the “Company,” “we,” “us” or “our” refer to Oil-Dri Corporation of America and its subsidiaries.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our “minerals,” or “Fuller's Earth.” We surface mine our clay on leased or owned land near our manufacturing facilities in Mississippi, Georgia, Illinois and California. We produce both absorbent and adsorbent products from our clay.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include Ultra-Clear, Pure-Flo, Supreme, Perform, Select, Metal-X and Metal-Z which act as purification mediums for edible and non-edible oils. We also sell nonclay-based products, such as our Oil-Dri synthetic sorbents used for automotive, industrial and marine cleanup, silica gel-based crystal cat litter, and plastic cat litter box liners. Our principal products are described in more detail below.</w:t>
      </w:r>
    </w:p>
    <w:p>
      <w:pPr>
        <w:spacing w:after="0" w:line="221" w:lineRule="exact"/>
        <w:rPr>
          <w:sz w:val="20"/>
          <w:szCs w:val="20"/>
          <w:color w:val="auto"/>
        </w:rPr>
      </w:pPr>
    </w:p>
    <w:p>
      <w:pPr>
        <w:jc w:val="both"/>
        <w:ind w:firstLine="219"/>
        <w:spacing w:after="0" w:line="261" w:lineRule="auto"/>
        <w:rPr>
          <w:sz w:val="20"/>
          <w:szCs w:val="20"/>
          <w:color w:val="auto"/>
        </w:rPr>
      </w:pPr>
      <w:r>
        <w:rPr>
          <w:rFonts w:ascii="Times New Roman" w:cs="Times New Roman" w:eastAsia="Times New Roman" w:hAnsi="Times New Roman"/>
          <w:sz w:val="18"/>
          <w:szCs w:val="18"/>
          <w:color w:val="auto"/>
        </w:rPr>
        <w:t>Oil-Dri Corporation of America was incorporated in Delaware in 1969 as the successor to an Illinois corporation incorporated in 1946 (which was the successor to a partnership that commenced business in 1941). For additional information on recent business developments including the acquisition of Ultra Pet Company Inc., see “Management’s Discussion and Analysis of Financial Condition and Results of Operations,” in Part II, Item 7, incorporated herein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Agricultural and Horticultural Products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produce a wide range of granules and powders used to enhance agricultural and horticultural products. Our mineral-based absorbent products serve as carriers for biological and chemical active ingredients, drying agents, and growing media. Our brands include: Agsorb, an agricultural and horticultural carrier and drying agent; Verge, an engineered granule used as a carrier and drying agent; and Flo-Fre, a highly absorbent microgranule used as a flowability aid.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Agsorb and Verge carriers are used in products that are alternatives to liquid sprays. These products are sold for lawn and garden and row crop applications. The clay granules absorb active ingredients and are then delivered directly into, or on top of the ground, providing a more precise application than liquid sprays. Verge carriers are spherical, uniform-sized granules with very low dust. Agsorb drying agent is blended into fertilizer-pesticide blends applied to absorb moisture and improve flowability. Flo-Fre microgranules are used by grain processors and other large handlers of bulk products to soak up excess moisture, which prevents caking. These products are sold primarily in the United States by our technical sales force.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Animal Health and Nutrition Solutions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produce, or use contract processors to produce, Amlan brand name and private label products that support good health and productivity of species in livestock industries. For example, our products, including our Calibrin, Varium and NeoPrime products in our international markets, and Sorbiam, Ambio P and Ambio S products to customers in North America, provide a number of solutions for swine, poultry and dairy cattle livestock production. In addition, our MD-09 moisture manager product is a feed additive for the reduction of wet droppings in poultry and our Pel-Unite and Pel-Unite Plus products are specialized animal feed pellet binders.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animal health and nutrition products are sold both directly and through a network of distributors to livestock producers, feed mill operators, nutritionists and veterinarians in the United States, Latin America, Africa, Mexico, the Middle East and Asia. The sales force for our subsidiaries located in China, Mexico and Indonesia also sells these products, as further described in Foreign Operations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Fluids Purification Products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produce an array of adsorbent products for bleaching, purification and filtration applications that are used around the world by edible oil processors, as well as by refiners of renewable diesel, jet fuel and other petroleum-based products. Bleaching clays are used by edible oil processors to adsorb soluble contaminants that promote oxidation problems. Our Pure-Flo and Perform bleaching clays remove impurities, such as trace metals, chlorophyll and color bodies, in various types of edible oils. Perform products provide increased activity for hard-to-bleach oils. Our Select adsorbents are used in a pre-treatment process to remove metals and trace soap in vegetable oil processing. Our Select adsorbents can also be used to pre-treat oil in the processing of biodiesel. Metal-X and Metal-Z are highly efficient adsorbents for the renewable diesel market.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Cat Litter Products</w:t>
      </w:r>
    </w:p>
    <w:p>
      <w:pPr>
        <w:spacing w:after="0" w:line="252" w:lineRule="exact"/>
        <w:rPr>
          <w:sz w:val="20"/>
          <w:szCs w:val="20"/>
          <w:color w:val="auto"/>
        </w:rPr>
      </w:pPr>
    </w:p>
    <w:p>
      <w:pPr>
        <w:jc w:val="both"/>
        <w:ind w:firstLine="181"/>
        <w:spacing w:after="0" w:line="261" w:lineRule="auto"/>
        <w:rPr>
          <w:sz w:val="20"/>
          <w:szCs w:val="20"/>
          <w:color w:val="auto"/>
        </w:rPr>
      </w:pPr>
      <w:r>
        <w:rPr>
          <w:rFonts w:ascii="Times New Roman" w:cs="Times New Roman" w:eastAsia="Times New Roman" w:hAnsi="Times New Roman"/>
          <w:sz w:val="18"/>
          <w:szCs w:val="18"/>
          <w:color w:val="auto"/>
        </w:rPr>
        <w:t>We produce two types of mineral-based cat litter products, scoopable and coarse non-clumping litters, both of which have absorbent and odor controlling characteristics. Scoopable litters have the additional characteristic of clumping when exposed to moisture, allowing the consumer to selectively dispose of the used portion of the litter. Scoopable litter products are further differentiated between lightweight and heavyweight. Lightweight scoopable litters offer high performance with the added convenience of being lighter to carry and pour.</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Branded products</w:t>
      </w:r>
      <w:r>
        <w:rPr>
          <w:rFonts w:ascii="Times New Roman" w:cs="Times New Roman" w:eastAsia="Times New Roman" w:hAnsi="Times New Roman"/>
          <w:sz w:val="18"/>
          <w:szCs w:val="18"/>
          <w:color w:val="auto"/>
        </w:rPr>
        <w:t>. Our scoopable and non-clumping litters are sold under our Cat’s Pride and Jonny Cat brand names. Our Cat's Pride litters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the lightweight segment of the scoopable litter market. In fiscal year 2023, we launched Cat’s Pride Antibacterial Clumping Litter which is the first and only Environmental Protection Agency (“EPA”) approved antibacterial cat litter in the United States. In addition, we offer our non-clumping litter in a pre-packaged, disposable tray under the Cat’s Pride KatKit brand. Moreover, we offer litter box liners under the Cat's Pride and Jonny Cat product lines. These products are sold through independent food brokers and by our sales force to major grocery, drug, dollar store, mass-merchandiser, farm &amp; fleet, and pet outlets, as well as through online retailers.</w:t>
      </w:r>
    </w:p>
    <w:p>
      <w:pPr>
        <w:spacing w:after="0" w:line="20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Private label products. </w:t>
      </w:r>
      <w:r>
        <w:rPr>
          <w:rFonts w:ascii="Times New Roman" w:cs="Times New Roman" w:eastAsia="Times New Roman" w:hAnsi="Times New Roman"/>
          <w:sz w:val="18"/>
          <w:szCs w:val="18"/>
          <w:color w:val="auto"/>
        </w:rPr>
        <w:t>We produce private label scoopable and non-clumping cat litters. Our lightweight scoopable litters lead our private label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 litter offerings.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Co-packaged products. </w:t>
      </w:r>
      <w:r>
        <w:rPr>
          <w:rFonts w:ascii="Times New Roman" w:cs="Times New Roman" w:eastAsia="Times New Roman" w:hAnsi="Times New Roman"/>
          <w:sz w:val="18"/>
          <w:szCs w:val="18"/>
          <w:color w:val="auto"/>
        </w:rPr>
        <w:t>We have a long-term supply arrangement with A&amp;M Products Manufacturing Company, a subsidiary of The Clorox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("Clorox"), under which we manufacture branded non-clumping litters. Under this co-manufacturing relationship, the marketer controls all aspects of sales, marketing, and distribution, as well as the odor control formula, and we are responsible for manufacturing. Under the long-term supply agreement with Clorox we have the exclusive right to supply Clorox’s requirements for Fresh Step coarse cat litter up to certain levels.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Crystal litter products. </w:t>
      </w:r>
      <w:r>
        <w:rPr>
          <w:rFonts w:ascii="Times New Roman" w:cs="Times New Roman" w:eastAsia="Times New Roman" w:hAnsi="Times New Roman"/>
          <w:sz w:val="18"/>
          <w:szCs w:val="18"/>
          <w:color w:val="auto"/>
        </w:rPr>
        <w:t>Additionally, effective May 1, 2024, as a result of the acquisition of Ultra Pet Company Inc. ("Ultra Pet") we began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crystal cat litter made of synthetic silica-gel granules. Similar to Oil-Dri’s clay-based lightweight litter, Ultra Pet’s crystal litter products are lightweight with superior odor control. Crystals are 99.9% dust free and absorb up to 90% of their weight in liquid. The product portfolio includes brands such as Ultra, Litter Pearls, and Cat's Pride, as well as many private label offerings. These products are sold to consumers both domestically and internationally through e-commerce and brick and mortar retail stores.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Industrial and Automotive Products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manufacture and/or sell products made from clay, polypropylene and recycled materials that absorb oil, acid, paint, ink, water and other liquids. These products have industrial, automotive, marine and home applications. Our clay-based sorbent products, such as Oil-Dri branded and private label floor absorbents,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recycled products are sold in various forms, such as pads, rolls, socks, booms and spill kits.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Industrial and automotive sorbent products are sold through distribution networks that includes industrial, auto parts, safety, sanitary supply, chemical and paper distributors. These products are also sold through environmental service companies, mass-merchandisers, catalogs and through e-commerce.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Sports Products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manufacture and sell both branded and private label sports products. Pro’s Choice Sports Field Products are used on baseball, softball, football, cricket, and soccer fields. Pro’s Choice soil conditioners are used in field construction or as top dressing to improve drainage, suppress dust and improve field performance. Pro Mound packing clay is used to construct pitcher’s mounds, catcher's stations and batter’s boxes. Rapid Dry drying agent is used to wick away excess water from the infield. Sports products are used at all levels of play, including professional, college and high school and on municipal fields. These products are sold through distributors of sport turf materials as well as to sports field product users.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EGMENTS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two reportable operating segments for financial reporting derived from the different characteristics of our two major customer groups: the Retail and Wholesale Products Group and the Business to Business Products Group. The Retail and Wholesale Products Group customers include mass merchandisers, the farm &amp; fleet channel, drugstore chains, pet specialty retail outlets, dollar stores, retail grocery stores, online retailers, co-packaged products customers, distributors of industrial cleanup and automotive products, environmental service companies and users of sports field products and sports turf materials. The Business to Business Products Group customers include processors and refiners of edible oils, renewable diesel, petroleum-based oils and biodiesel fuel; manufacturers of animal feed and agricultural chemicals; and distributors of animal health and nutrition products. Certain financial information on both segments is contained in Note 3 of the Notes to the Consolidated Financial Statements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foreign operations located in Canada and the Netherlands are included in the Retail and Wholesale Products Group, while operations in the United Kingdom, China, Switzerland, Mexico and Indonesia are included in the Business to Business Products Group.</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Oil-Dri Canada ULC, located in Canada,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wholly-owned subsidiary, MBA Pet BV, located in the Netherlands, which was acquired on May 1, 2024 as part of the acquisition of Ultra Pet, is a distributor of silica gel-based cat litter to the Europe region.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Oil-Dri (U.K.) Limited, located in the United Kingdom, is a manufacturer, distributor and marketer of bleaching earth, industrial floor absorbents and cat litter. These products are marketed in the United Kingdom and Western Europe. Oil-Dri (U.K.) Limited also sells synthetic polypropylene sorbent materials and plastic containment products.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Amlan Trading (Shenzhen) Company, Ltd., located in China, is dedicated to animal health and provides natural disease management solutions for livestock. This subsidiary sells animal health and nutrition products under our Amlan brand name and under private label arrangements.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wholly-owned subsidiary, PT Amlan Perdagangan Internasional, located in Indonesia, also distributes our animal health and nutrition products.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wholly-owned subsidiary, Oil-Dri SARL, located in Switzerland, performs various management, customer service and administrative functions for some of the international customers of our domestic operations.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wholly-owned subsidiary, Agromex Importaciones, S.A de C.V, located in Mexico, sells our international animal health and nutrition products.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foreign operations are subject to the normal risks of doing business in non-U.S. countries, such as currency fluctuations, restrictions on the transfer of funds and import/export duties; however, historically our operating results have not been materially impacted by these factors. Incorporated herein by reference are Item 1A "Risk Factors," which describes other risks that could impact our foreign operations, and Note 3 of the Notes to the Consolidated Financial Statements, which contains certain financial information about our foreign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USTOMERS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to Walmart Inc. (“Walmart”) and its affiliates accounted for approximately 20% and 19% of our total net sales for fiscal years 2024 and 2023, respectively. Sales to Walmart are comprised of a variety of products including but not limited to, multiple scoopable and coarse cat litter items and accessories. Walmart is a customer in our Retail and Wholesale Products Group with whom we have a long term relationship. There are no customers in the Business to Business Products Group with sales equal to or greater than 10% of our total sales. The degree of margin contribution of our significant customers in the Business to Business Products Group varies, with certain customers having a greater effect on our operating results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The loss of any customer other than those described in this paragraph would not be expected to have a material adverse effect on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OMPETITION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substantially greater financial resources or market presence than we do and have established brands. These competitors may be able to spend more aggressively on advertising and promotional activities, introduce competing products more quickly and respond more effectively to changing business and economic conditions than us.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six principal competitors in our Retail and Wholesale Products Group, one of which is also our customer. Two of the principal competitors relate to our Industrial and Sports products while the other four relate to our cat litter products. The overall cat litter market has grown in recent years, with market share of scoopable cat litter, coarse non-clumping, and crystal litter increasing in fiscal year 2024. The overwhelming majority of all cat litter is mineral based, including both scoopable and coarse non-clumping litter. Through our acquisition of Ultra Pet, we have expanded our footprint into the silica gel-based cat litter market, which is a growing cat litter market. Cat litters based on other alternatives, such as paper and various agricultural waste products, have niche positions. Scoopable products have a majority of the cat litter market share followed by coarse non-clumping litters.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significant competition to attract cat litter consumers across multi-outlet channels, including grocery, mass-merchandiser, dollar, pet and drug stores, as well as through online retailers. Competition for the scoopable litter market continues to be impacted by new product offerings and increased advertising and promotions by our competitors and by us. We provide our customers with product innovation, a nation-wide distribution network and strong customer service. Our exceptional sales and research and development teams, as well as our being vertically integrated, gives us a further advantage over smaller and regional manufacturers. With the acquisition of Ultra Pet and our subsequent entrance into the crystal cat litter market we continue to expand our customer offerings.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have nine principal competitors in our Business to Business Products Group compared to six reported in fiscal year 2023. This increase was due to a re-assessment of principal competitors, reflecting the growing areas of our business. None of these competitors were new to the market. Our bleaching clay and fluid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EVELOPMENT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develop new products and applications and improve existing products at our research and development center in Vernon Hills, Illinois. The center includes a pilot plant that simulates the production processes of our customers and our manufacturing plants. In addition, our microbiology lab is within walking distance of our existing research and development center and is dedicated primarily to the development of our animal health products. Our staff (and various consultants they engage from time to time) have experience in disciplines such as biology, microbiology, chemistry, physics, mathematics, geological and earth science, material science, geochemistry, physical catalysis, animal nutrition, and the animal sciences. In the past several years, our research efforts have resulted in a number of new sorbent products and processes. The research and development center produces prototype samples and tests new products for customer trial and evaluation. No significant research and development was customer sponsored, and all research and development costs are expensed in the period in which</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incurred. See Note 1 of the Notes to the Consolidated Financial Statements for further information about research and development expenses.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ACKLOG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EASONALITY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July 31, 2024 and 2023, the value of our backlog of orders were approximately $1.8 million and $3.6 million respectively. Certain customers place orders for a full year of orders with future requested ship dates. Accordingly, we define backlog as purchase orders that we have received from customers and that we have accepted, but that have not shipped by the customers’ requested ship dates. This value was determined by the number of tons on backlog order and the net selling prices. We have continued to monitor and maintain backlog at low and healthy levels reflecting mostly customer pick up delays and typical rollover orders.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consider our business, taken as a whole, to be moderately seasonal; however, business activities of certain customers (such as agricultural chemical manufacturers and edible oil producers) are subject to such seasonal factors as crop acreage planted, product formulation cycles and weather conditions.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FFECTS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NFLATION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for further discussion of these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obtained or applied for patents for certain of our processes and products sold to customers in both the Retail and Wholesale Products Group and the Business to Business Products Group. U.S. patents are currently granted for a term of 20 years from the date the patent application is filed and durations of patents issued outside of the United States vary from country to country. Our patents, particularly our U.S. patents, are highly important to our business and we assert our patent rights and vigorously protect our patents from apparent infringement where appropriate, although no single patent is considered material to the business as a whole. The risks associated with our patents (and intellectual property, generally), are discussed in Item 1A "Risk Factors."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Reserves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mine our clay on leased or owned land near our manufacturing facilities in Mississippi, Georgia, Illinois and California and we also have reserves in Nevada and Tennessee. We estimate that our proven mineral reserves as of July 31, 2024 were approximately 91.8 million tons in aggregate and our probable mineral reserves were approximately 132.5 million tons in aggregate, for a total of 224.3 million tons of mineral reserves. Based on our rate of consumption during fiscal year 2024, and without regard to any of our reserves in Nevada or Tennessee, we consider our proven and probable reserves adequate to supply our needs for over forty years. Although we consider these reserves to be extremely valuable to our business, only a small portion of the reserves, those which were acquired in acquisitions, are reflected at cost on our balance sheet.</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our policy to attempt to maintain a minimum of forty years of proven and probable reserves of each type of clay at each location. We have an ongoing program of exploration for additional reserves but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2024, we utilized these reserves to produce substantially all of the sorbent products that we sold.</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who estimate and evaluate existing and potential reserves in terms of quality, quantity and availability.</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Mining Operations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continuously conducted mining operations in Ripley, Mississippi since 1963, in Ochlocknee, Georgia since 1968, in Blue Mountain, Mississippi since 1989, in Mounds, Illinois since 1998 and in Taft, California since 2002. Our clay is surface mined on a year-round basis, using large earth moving scrapers, bulldozers, or excavators and off-road trucks to strip off overburden (non-usable material atop desired clay). The desired clay is then loaded into dump trucks and transported to the processing facilities. The stripping, mining and hauling of our clay is performed in-house as well as by independent contractors. Our current operating mines range in distance from immediately adjacent to approximately eleven miles from the related processing plants. Processing facilities are generally accessed from the mining areas by private and public roads and in some instances by public highways. Each of our processing facilities maintains inventories of unprocessed clay of approximately one week of production requirements. All key permits have either been obtained by us, or approval is expected to be received in the normal course of business. See Item 2 “Properties” below for additional information regarding our mining properties and operations.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schedule summarizes the net book value of land and other plant and equipment for each of our manufacturing facilities as of July 31, 2024 (in thousands). Of the mining assets, $0.9 million relates to mineral rights. Mineral rights as of July 31, 2024 were $0.4 million and $0.5 million for our properties in Illinois and California, respectively.</w:t>
      </w:r>
    </w:p>
    <w:p>
      <w:pPr>
        <w:spacing w:after="0" w:line="200" w:lineRule="exact"/>
        <w:rPr>
          <w:sz w:val="20"/>
          <w:szCs w:val="20"/>
          <w:color w:val="auto"/>
        </w:rPr>
      </w:pPr>
    </w:p>
    <w:p>
      <w:pPr>
        <w:spacing w:after="0" w:line="35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Land</w:t>
            </w:r>
          </w:p>
        </w:tc>
        <w:tc>
          <w:tcPr>
            <w:tcW w:w="140" w:type="dxa"/>
            <w:vAlign w:val="bottom"/>
          </w:tcPr>
          <w:p>
            <w:pPr>
              <w:spacing w:after="0"/>
              <w:rPr>
                <w:sz w:val="17"/>
                <w:szCs w:val="17"/>
                <w:color w:val="auto"/>
              </w:rPr>
            </w:pPr>
          </w:p>
        </w:tc>
        <w:tc>
          <w:tcPr>
            <w:tcW w:w="1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Mining Assets, Net</w:t>
            </w:r>
          </w:p>
        </w:tc>
        <w:tc>
          <w:tcPr>
            <w:tcW w:w="200" w:type="dxa"/>
            <w:vAlign w:val="bottom"/>
          </w:tcPr>
          <w:p>
            <w:pPr>
              <w:spacing w:after="0"/>
              <w:rPr>
                <w:sz w:val="17"/>
                <w:szCs w:val="17"/>
                <w:color w:val="auto"/>
              </w:rPr>
            </w:pP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Plant and</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 Net</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46,709</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Mountain, Mississippi</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Energy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primarily use natural gas in the processing kilns to dry our clay products. We monitor gas market trends and we may contract for a portion of our anticipated fuel needs using forward purchase contracts to mitigate the volatility of our kiln fuel prices. During fiscal years 2024 and 2023, we purchased several forward fuel contracts in Georgia and California which will cover a portion of our needs through fiscal year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UMAN CAPITAL MANAGEMENT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efforts to drive continued growth and increased profitability, we are keenly focused on building an organization that attracts and retains top talent and develops the skills necessary to drive differentiation for our business. As of July 31, 2024, we had approximately 949 employees globally, who we refer to as our teammates, of which 892 are based in the U.S and 57 are located internationally. We believe our corporate offices, research and development center and manufacturing facilities are currently adequately staffed but there is no guarantee that this will always be possible. Approximately 58 of our teammates in the U.S. and approximately 15 of our teammates in Canada are represented by labor unions, with whom we have entered into separate collective bargaining agreements. We consider our employee relations to be satisfactory.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Culture</w:t>
      </w:r>
    </w:p>
    <w:p>
      <w:pPr>
        <w:spacing w:after="0" w:line="2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Oil-Dri’s culture and values, along with its teammates, are our most valuable assets. We take pride in building a culture that emphasizes high moral and ethical values and conducts business with honesty, integrity and a passion for excellence. Our approach is centered on collaboration, communication, and transparency, and we believe in the value of an open and accessible corporate structure. We expect all our teammates to conduct business in an ethical and fair manner using our “WE CARE” values framework.</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Oil-Dri's culture and the objectives that we focus on in managing our business are based on our “WE CARE” values. “WE CARE” is an acronym for remembering our core values, which is the moral standard that we endeavor to apply to our teammates, customers, vendors, and other stakeholders. We continuously work to reinforce these values through leading by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example, training, and rewarding positive behaviors. We use “WE CARE” values as a moral compass to constantly strive for continuous improvement. These values are embedded into everything we do and are reflected in our Code of Ethics and Business Conduct, formal policies and procedures, continuous training including training on workplace harassment, and a strong governance structure. Our "WE CARE" values are also the basis of our formal teammate recognition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142875</wp:posOffset>
            </wp:positionV>
            <wp:extent cx="4277360" cy="3068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736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Code of Ethics and Business Conduct details how we act in accordance with these fundamental standards. The first “E” in "WE CARE" represents Ethics. Oil-Dri’s ethical culture is one of our greatest strengths and areas of emphasis by our Board of Directors and management team. Our CEO is asked to speak on this topic at local business schools, including the Kellogg School of Management at Northwestern and Marquette University. Our CEO’s continued messaging to all Oil-Dri teammates about the importance of our ethical culture helps maintain a strong tone at the top for our entire organization.</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codified our compliance and ethics requirements through our Code of Ethics and Business Conduct, the Human Rights Policy, Supplier Code of Conduct and Whistleblower Response Policy.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direction of the Compliance Director, the Company’s compliance program ensures adherence to the highest ethical standards and regulatory requirements, including but not limited to the Foreign Corrupt Practices Act (FCPA), the Company’s Code of Ethics and Business Conduct, Whistleblower Protection, and other applicable public company standards. As part of the focus on addressing potential risks and ensuring a global understanding of the various applicable policies and requirements, we have also translated our Code of Ethics and Business Conduct and our Supplier Code of Conduct into French, Mandarin and Spanish. Our Board of Directors also annually attests to Oil-Dri’s Code of Ethics and Business Conduct. The Compliance Director also conducts a thorough Third-Party Due Diligence process for new third-parties that includes the use of compliance software. In addition, our distributor and agent agreements include a mandatory anti-corruption regulatory compliance section.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Oil-Dri has strong policies and procedures in place for anti-corruption and conflicts of interest. This includes training and attestation requirements where appropriate. Oil-Dri is committed to whistleblower protection and uses a third-party anonymous hotline available on our website, where teammates or third parties across the globe can reach out via phone or internet with any concerns they may have and be ensured of anonymity in reporting if they so desire. The Company has documented and implemented procedures to ensure the protection of whistleblowers' employment status as well as protection from harassment in the workplace. Our anti-corruption training emphasizes the necessity of whistleblower procedures, protection, and zero tolerance for retaliation. This training is given within the first few months of hire to new teammates with sales and/or leadership roles that interact with customers and/or teammates outside the U.S. Additionally, anti-corruption training is repeated annually at our Global Sales Meeting for all attending teammates; including sales teams across the globe as well as all Oil-Dri leadership personnel and other teammates in roles that support sales.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individual hotline cases are investigated, the Company's Compliance Director works with Human Resources and any other teammates involved in the investigation to ensure confidentiality is maintained and whistleblowers are protected; our compliance training emphasizes that this is not only required by law, but clearly fits with our "WE CARE" values. All cases are investigated to conclusion, with follow up provided, where possible, on an anonymous basis back to the whistleblower through the anonymous third-party hotline.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Equity and Inclusion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CARE" for all.</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strength as a company comes from leveraging the uniqueness of all teammates and those in our communities. We strive to promote a diverse and inclusive workforce for all. </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fostering a safe, collaborative, supporting and respectful environment that values diverse perspectives, mitigates unconscious bias and enables a culture where teammates can bring their authentic self to work. We believe that Oil-Dri’s success is enhanced by endeavoring to attract and retain a workforce that reflects the diversity of the communities and countries in which we live and work. We embrace all people, regardless of race, sex, gender identity, age, religion, nationality, physical ability or sexual orientation. We are committed to cultivating and preserving a culture of inclusion.</w:t>
      </w:r>
    </w:p>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is why we created a Diversity, Equity and Inclusion ("DEI") team to help us live up to our "WE CARE" core values. This team represents a diverse group of colleagues across locations, functions and communities who are the Company’s champions for our diversity, equity, and inclusion initiatives. The DEI team strives to bring awareness and understanding of human diversity as a corporate imperative by engaging teammates in pertinent conversation, training, and education through a variety of ongoing initiatives.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w:t>
      </w:r>
    </w:p>
    <w:p>
      <w:pPr>
        <w:spacing w:after="0" w:line="2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our success largely depends upon our continued ability to attract and retain highly skilled teammates. We have demonstrated a history of investing in our teammates by providing market competitive salaries and bonuses at all levels of the Company that are consistent with similar roles, skill levels, experience, knowledge and geographic locations where we operate. Our executive compensation programs include a deferred compensation plan and executive deferred bonuses, as well as opportunities for equity ownership through our restricted stock program under our long-term incentive plan. We believe this aligns the interests of our executives with those of our shareholders. We also provide access to training and development and an attractive employment package that promotes well-being, including health care, retirement plans, and paid time off. In the U.S., we support our teammates’ desire to save for retirement by providing a 401(k) savings plan in which we contribute 100% of every employee dollar contributed, up to six percent (6%) of earnings and for which employees are fully vested after two (2) years of employment. Outside of the U.S., employees are eligible for a variety of supplemental benefits based on local market practices. The competitive compensation and benefit package have been key to the strong retention of our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Teammate Health and Wellness</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teammates. As such, the health and wellness of our teammates is a top priority. We offer robust and generous benefit programs to those who qualify, which include, but are not limited to, health, prescription drug, dental, life insurance and disability insurance. We also offer wellness programs to those who qualify, to help our teammates live healthy lives. Smoking cessation programs are offered to teammates at no cost. We also offer gym and weight loss reimbursement in order to encourage a healthy lifestyle. Our employee assistance program provides face-to-face, telephonic and online counseling services for a variety of potential needs that our teammates may have. Our commitment to the wellness of our teammates is further evidenced by our paid time off and sick days program, which are part of the work/life balance component of our "WE CARE" values framework.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Workplace Flexibility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year 2024, Oil-Dri continued a hybrid work environment for non-manufacturing teammates with the option for some positions to be 100% remote. Oil-Dri offers a wide range of employment opportunities including full and part-time positions which support our Work/Life Balance values. By providing these flexible work options, among other initiatives, we are able to attract and retain diverse talent throughout the Company.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Continuous Teammate Development</w:t>
      </w:r>
    </w:p>
    <w:p>
      <w:pPr>
        <w:spacing w:after="0" w:line="2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encourage our teammates to reach their potential with continuous learning and improvement. All teammates have access to our online training and development library for on-demand courses, webinars, books and podcasts. Teammates may attend conferences and programs and/or obtain certifications that relate to their positions at no cost. For teammates looking to further their education, we offer varying levels of tuition reimbursement programs after one year of employment. This is designed to provide financial support to help teammates reach their educational goals, while also providing a way to support academic activities that directly relate to the organization’s identified knowledge, skills, and behaviors which support the mission, vision, and values of the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Teammate Engagement</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Oil-Dri maintains an open-door policy that encourages conversations between teammates at all levels. Communication goes both ways - ideas are shared and feedback is encouraged. We engage with teammates on a regular basis through newsletters, townhalls, video announcements, meetings, and new hire luncheons with our CEO. On occasion, anonymous online surveys are issued to solicit feedback on various work-related topics. We come together to celebrate work anniversaries, birthdays, retirements and other special occasions.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safety must be the first and foremost consideration in the decisions made by and on behalf of the Company. We believe safety is everyone’s responsibility - from senior management to frontline workers. As part of our company-wide safety policies, it is expected that all teammates identify safety risks and take action by implementing interim controls, ensuring that controls are maintained, and recommending permanent solutions. Additionally, as part of our annual budget and capital planning process, our businesses identify additional safety investments required for training, education, equipment, and processes. We are committed to operating in a manner that protects the health and safety of our workforce and our communities and ensures decisions are consistent with a long-term view of sustainability and stewardship.</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our corporate safety department, we implemented a safety auditing program for adherence to local, state and federal safety standards and regulations including those of the Mine Safety and Health Administration ("MSHA") and the Occupational Safety and Health Administration ("OSHA"). These audits are conducted annually for global operations by third-party consultants enforcing a rigorous assessment of regulatory standards, internal procedures and program performance. Audit assessments and inspections are scored and are currently indicating high levels of compliance in our operations. The auditing program confirms the Company’s commitment to best management practices and principles. We continually increase the rigor and level of scrutiny to drive continuous improvement in our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OVERNMENT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NVIRONMENTAL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EGULATION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OMPLIANCE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a variety of federal, state, local and foreign laws and regulatory requirements relating to the environment and to health and safety matters. In particular, our mining and manufacturing operations and facilities in Georgia, Mississippi, California and Illinois are required to comply with state surface mining and environmental protection statutes as well as the workplace safety requirements of the MSHA. These domestic locations and our Canadian operations are subject to various federal, state, provincial and local statutes, regulations, ordinances, building codes, and permitting and licensing requirements which govern the discharge, storage and disposal of materials, water and waste into the environment, maintenance of our locations or otherwise regulate our operations. In recent years, regulation and enforcement have grown increasingly stringent, a trend that we expect will continue. We endeavor to be in compliance at all times and in all material respects with all applicable environmental, health and safety controls and regulations. As a result, compliance with the various statutes, regulations, ordinances, codes, and other requirements have required continuing management efforts and the expenditures relating to such compliance have varied over the years; however, these expenditures have not had a material adverse effect on our capital expenditures, earnings, or competitive position. As part of our ongoing environmental compliance activities, we incur expenses in connection with reclaiming mining sites. Historically, reclamation expenses have not had a material effect on our cost of goods sold.</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environmental, health and safety requirements related to our mining and manufacturing operations and facilities, there has been increased federal, state and international regulation with respect to the content, labeling, use, packaging, registration, trade compliance, advertising, and disposal of products that we sell. For example, in the United States, some of our operations, products, product claims, labeling and advertising are regulated by the Food and Drug Administration ("FDA"), the Consumer Product Safety Commission ("CPSC"), OSHA, MSHA, EPA and the Federal Trade Commission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("FTC").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 We endeavor to be in compliance at all times and in all material respects with those regulations and to assist our customers in that compliance.</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assure that, despite all commercially reasonable efforts, we will always be in compliance in all material respects with all applicable environmental laws and requirements nor can we assure that from time to time enforcement of such requirements will not have a material adverse effect on our business. The imposition of more stringent standards or requirements under such regulations could result in increased expenditures. Additionally, we could be required to alter our operations in order to comply with any new standards or requirements under environmental laws or regulations. See Item 1A “Risk Factors - Risks Related to Regulatory Compliance” below for a discussion of the impact of government regulations on our business and other risks to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VAILABLE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as well as our Quarterly Reports on Form 10-Q, Current Reports on Form 8-K and any amendments to all of the foregoing reports, are made available free of charge on or through the “Investors” section of our website at www.oildri.com as soon as reasonably practicable after such reports are electronically filed with or furnished to the SEC. 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“Investors” section of our website at www.oildri.com. The information on our website in not included as a part of, nor incorporated by reference into, this Annual Report on Form 10-K.</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 The risks described below are not the only risks we face. Our business operations could also be affected by additional factors that are not presently known to us or that we currently consider to be immaterial in our operations.</w:t>
      </w: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financial performance are meaningfully impacted by successful new product introductions.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portion of our net sales comes from the sale of products in mature categories, some of which have, at times, experienced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contractual and intellectual property rights of others, launch and production difficulties, customer rejection and unexpectedly short product life cycles as well as other factors and events beyond our control may occur even after substantial effort and expense on our part. We may, at times, experience limitations on our ability to conduct plant tests with customers, which may impact our sales. Further, new product lines acquired as a result of business combinations may not produce the boost in profitability we initially expected. Even in the case of a successful launch of a new product, the ultimate benefit we realize may be uncertain if the new product “cannibalizes” sales of our existing products beyond expected levels. See “</w:t>
      </w:r>
      <w:r>
        <w:rPr>
          <w:rFonts w:ascii="Times New Roman" w:cs="Times New Roman" w:eastAsia="Times New Roman" w:hAnsi="Times New Roman"/>
          <w:sz w:val="18"/>
          <w:szCs w:val="18"/>
          <w:i w:val="1"/>
          <w:iCs w:val="1"/>
          <w:color w:val="auto"/>
        </w:rPr>
        <w:t>Government regulation imposes significant costs on us,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future regulatory changes (or related customer responses to regulatory changes) could increase those costs or limit our ability to produce and sell our products</w:t>
      </w:r>
      <w:r>
        <w:rPr>
          <w:rFonts w:ascii="Times New Roman" w:cs="Times New Roman" w:eastAsia="Times New Roman" w:hAnsi="Times New Roman"/>
          <w:sz w:val="18"/>
          <w:szCs w:val="18"/>
          <w:color w:val="auto"/>
        </w:rPr>
        <w:t>” for a discussion of additional risks associated with new product development and launches.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We also face competition for some of our products from alternative products that we offer. The competition in the future may, in some cases, lead to price reductions, increased promotional spending, or loss of market share or product distribution, any of which could materially and adversely affect our operating results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periodic results may be volatile.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The Company has experienced growth in recent periods, which may not be sustainable or indicative of future growth. Factors that may affect our quarterly operating results include but are not limited to:</w:t>
      </w:r>
    </w:p>
    <w:p>
      <w:pPr>
        <w:spacing w:after="0" w:line="214"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demand for our products and services;</w:t>
      </w:r>
    </w:p>
    <w:p>
      <w:pPr>
        <w:spacing w:after="0" w:line="4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timing of sales of our products and services;</w:t>
      </w:r>
    </w:p>
    <w:p>
      <w:pPr>
        <w:spacing w:after="0" w:line="4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with varying profitability sold in a given quarter;</w:t>
      </w:r>
    </w:p>
    <w:p>
      <w:pPr>
        <w:spacing w:after="0" w:line="4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adapt to rapidly changing conditions;</w:t>
      </w:r>
    </w:p>
    <w:p>
      <w:pPr>
        <w:spacing w:after="0" w:line="63" w:lineRule="exact"/>
        <w:rPr>
          <w:rFonts w:ascii="Times New Roman" w:cs="Times New Roman" w:eastAsia="Times New Roman" w:hAnsi="Times New Roman"/>
          <w:sz w:val="18"/>
          <w:szCs w:val="18"/>
          <w:color w:val="auto"/>
        </w:rPr>
      </w:pPr>
    </w:p>
    <w:p>
      <w:pPr>
        <w:ind w:left="180" w:right="60" w:hanging="172"/>
        <w:spacing w:after="0" w:line="273"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price increases and surcharges, particularly in a timely manner that corresponds with cost increases, as well as other changes in our pricing policies;</w:t>
      </w:r>
    </w:p>
    <w:p>
      <w:pPr>
        <w:spacing w:after="0" w:line="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purchasing patterns by our customers, including due to weather conditions, inventory planning, or other factors outside of our control;</w:t>
      </w:r>
    </w:p>
    <w:p>
      <w:pPr>
        <w:spacing w:after="0" w:line="4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major customers and other debtors to meet their obligations to us as they come due;</w:t>
      </w:r>
    </w:p>
    <w:p>
      <w:pPr>
        <w:spacing w:after="0" w:line="4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restructuring, impairment or other charges; and</w:t>
      </w:r>
    </w:p>
    <w:p>
      <w:pPr>
        <w:spacing w:after="0" w:line="4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specific economic conditions in our industry and the industries of our customers.</w:t>
      </w:r>
    </w:p>
    <w:p>
      <w:pPr>
        <w:spacing w:after="0" w:line="26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To the extent these factors slow or change, consumer demand for our products may not be sustained or may reverse, and our results could be adversely affected. Accordingly, we believe that quarter-to-quarter comparisons of our operating results are not necessarily meaningful. Investors should not rely on the results of one quarter as an indication of our future performance.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economic conditions and their impact on consumer spending patterns could adversely impact our business, financial condition, and results of operations.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United States has from time to time experienced challenging economic conditions and the global financial markets have recently undergone and may continue to experience significant volatility and disruption. Our business, financial condition and results of operations may be materially adversely affected by changes in consumer confidence, levels of unemployment, inflation, interest rates, tax rates and general uncertainty regarding the overall future economic environment. The keeping of pets and the purchase of pet-related products may constitute discretionary spending for some consumers and any material decline in the amount of consumer discretionary spending may reduce overall levels of pet ownership or spending on pets. As a result, a recession or slowdown in the economy may cause a decline in demand for our products. If economic conditions result in decreased spending on pets and have a negative impact on our retail customers and suppliers, our business, financial condition and results of operations may be materially adversely affected.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involve a number of risks, any of which could cause us not to realize the anticipated benefits.</w:t>
      </w:r>
    </w:p>
    <w:p>
      <w:pPr>
        <w:spacing w:after="0" w:line="243" w:lineRule="exact"/>
        <w:rPr>
          <w:sz w:val="20"/>
          <w:szCs w:val="20"/>
          <w:color w:val="auto"/>
        </w:rPr>
      </w:pPr>
    </w:p>
    <w:p>
      <w:pPr>
        <w:ind w:right="180" w:firstLine="729"/>
        <w:spacing w:after="0" w:line="242" w:lineRule="auto"/>
        <w:rPr>
          <w:sz w:val="20"/>
          <w:szCs w:val="20"/>
          <w:color w:val="auto"/>
        </w:rPr>
      </w:pPr>
      <w:r>
        <w:rPr>
          <w:rFonts w:ascii="Times New Roman" w:cs="Times New Roman" w:eastAsia="Times New Roman" w:hAnsi="Times New Roman"/>
          <w:sz w:val="18"/>
          <w:szCs w:val="18"/>
          <w:color w:val="auto"/>
        </w:rPr>
        <w:t>As part of our business strategy we have recently completed the Ultra Pet acquisition and intend, from time to time, to strategically explore potential additional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 but not limited to:</w:t>
      </w:r>
    </w:p>
    <w:p>
      <w:pPr>
        <w:spacing w:after="0" w:line="266" w:lineRule="exact"/>
        <w:rPr>
          <w:sz w:val="20"/>
          <w:szCs w:val="20"/>
          <w:color w:val="auto"/>
        </w:rPr>
      </w:pPr>
    </w:p>
    <w:p>
      <w:pPr>
        <w:ind w:left="180" w:right="200" w:hanging="172"/>
        <w:spacing w:after="0" w:line="273"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spacing w:after="0" w:line="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customers, suppliers, management and employees of an acquired business;</w:t>
      </w:r>
    </w:p>
    <w:p>
      <w:pPr>
        <w:spacing w:after="0" w:line="4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identified operating and financial synergies anticipated to result from an acquisition;</w:t>
      </w:r>
    </w:p>
    <w:p>
      <w:pPr>
        <w:spacing w:after="0" w:line="2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other significant charges, such as impairment of goodwill or other intangible assets, asset devaluation or restructuring charges;</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encountered in operating in new geographic areas or other new markets;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that could arise from the integration of the acquired business, its management or other unanticipated problems or liabilities;</w:t>
      </w:r>
    </w:p>
    <w:p>
      <w:pPr>
        <w:spacing w:after="0" w:line="9" w:lineRule="exact"/>
        <w:rPr>
          <w:rFonts w:ascii="Times New Roman" w:cs="Times New Roman" w:eastAsia="Times New Roman" w:hAnsi="Times New Roman"/>
          <w:sz w:val="18"/>
          <w:szCs w:val="18"/>
          <w:color w:val="auto"/>
        </w:rPr>
      </w:pPr>
    </w:p>
    <w:p>
      <w:pPr>
        <w:ind w:left="180" w:right="760" w:hanging="172"/>
        <w:spacing w:after="0" w:line="250" w:lineRule="auto"/>
        <w:tabs>
          <w:tab w:leader="none" w:pos="1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business, industry or general economic conditions that affect the assumptions underlying our rationale for pursuing the acquisition; and</w:t>
      </w: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cash outflows or additional indebtedness required to complete acquisitions, which could raise liquidity concerns.</w:t>
      </w:r>
    </w:p>
    <w:p>
      <w:pPr>
        <w:spacing w:after="0" w:line="23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use a significant portion of our available cash, incur indebtedness, seek equity capital or a combination of these options and there can be no assurances that we can obtain indebtedness or equity capital on terms acceptable to the Company. Using available cash and incurring indebtedness would result in a corresponding decrease in our liquidity. Increased borrowings would correspondingly increase the Company's financial leverage and could result in lower credit ratings and increased future borrowing costs. These risks could also reduce the Company's flexibility to respond to changes in its industry or in general economic conditions. In addition, future acquisitions could result in our assuming more long-term liabilities relative to the value of the acquired assets than we have assumed in our previous acquisitions.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for a large portion of our net sales.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limited number of customers account for a large percentage of our net sales, as described in Item 1 “Business” above. The loss of, or a substantial decrease in the volume of, purchases by Walmart, or any of our other top customers could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or trade concessions, or the failure to make them to retain customers, could adversely affect our sales and profitability.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products we sell are subject to significant price competition and the price may fluctuate for a variety of reasons. From time to time, we may need to reduce the prices for some of our products to respond to competitive and customer pressures and to maintain market share. These pressures are often exacerbated during an economic downturn. Additionally, we have, from time to time, experienced customer-driven price deductions on our products as a result of delayed shipments of products.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deductions,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energy, commodity, transportation, labor and other costs would increase our operating costs, and we may be unable to pass all these increases on to our customers in the form of higher prices and surcharges.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energy, commodity, transportation, labor and/or other costs increase disproportionately to our net sales, our earnings could be significantly reduced. Increases in our operating costs may reduce our profitability if we are unable to pass them on to our customers through price increases or surcharges. Sustained price increases, surcharges or price inflation (or inflation pressure generally), in turn, may lead to declines in volume, and while we seek to project tradeoffs between price increases, surcharges and inflation, on the one hand, and volume, on the other, there can be no assurance that our projections will prove to be accurate.</w:t>
      </w:r>
    </w:p>
    <w:p>
      <w:pPr>
        <w:spacing w:after="0" w:line="19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are subject to volatility in the price and availability of natural gas, as well as other sources of energy. Such volatility could be intensified by geopolitical tensions, including war and terrorism, as well as other disruptions and market reactions to such events. In fiscal year 2024 and 2023 we purchased several forward fuel contracts to cover a portion of our fuel needs in Georgia and California and from time to time, we may use additional forward purchase contracts or financial instruments to moderate the volatility of a portion of our energy costs. The success or failure of any such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prices of other commodities such as paper, plastic resins, synthetic rubber, lumber, and steel significantly influence the costs of packaging, replacement parts and equipment we use in the manufacture of our products and the maintenance of our facilities. Prices of other non-commodity materials purchased also influence our costs of goods sold.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Increasingly competitive labor markets, changes in the availability of our workers, and labor shortages in our supply chain, could result in increased costs, such as increased wage rates to attract and retain employees, and could negatively affect our ability to efficiently operate our facilities and overall business.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Fluctuations in the availability of transportation options within the United States and internationally, including trucking and ocean freight, could increase costs. These could be exacerbated by volatile oil and gas markets as well as other global factors which could impact both the availability and cost of transportation. Additionally, issues in transportation could result in delayed customer shipments and increased customer deductions for late shipments, ultimately impacting our profitability.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experience increased costs in any of these areas, we may increase our prices, pass the increases along to customers, or otherwise take actions to offset the impact. However, competitive pressures and other factors may limit our ability to quickly raise prices in response to increased costs. Accordingly, we may not be able to timely offset increased costs fully or at all, and there can be no assurances that increasing prices will fully mitigate the impact of these increases, which could adversely impact our 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supply, capacity, labor, information technology, logistics and other disruptions or the costs incurred to avoid these disruptions.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Supply, capacity, information technology and logistics disruptions (which may be caused by a variety of factors, including public health crises such as outbreaks of diseases or illnesses, weather conditions, governmental controls, tariffs, national emergencies, natural or man-made disasters, other force majeure events, abrupt political change or other political, civil or social unrest or instability, mass or other physical violence (or threats thereof),</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including terrorist activity and armed conflict, or other similar events) or our failure to mitigate such disruptions could adversely affect our ability to manufacture, package or transport our products or require additional resources to maintain or restore our supply chain. Some of our products require raw materials and/or packaging that are provided by a limited number of suppliers and/or service providers, are demanded by other industries or are simply not available at times. The loss of any of these suppliers and/or service providers, or problems or delays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experienced by these suppliers and/or service providers as a result of labor shortages or other events could lead to shortages in our production capacity, which could impact our ability to meet customer demand. In addition, as we grow or experience increased customer demand, our existing suppliers and/or service providers may not be able to meet our increasing demand, and we may need to find additional suppliers and/or service providers. We may not be able to secure suppliers and/or service providers who provide materials at, or services to, the specification, quantity and quality levels that we demand (or at all) or be able to negotiate acceptable fees and terms of services with any such suppliers and/or service providers. Additionally, such disruptions have resulted in challenges in addressing our backlogs and further backlog could develop in the event of continued disruptions. Disruptions arising from the foregoing or other events could adversely impact our results.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some of our products are manufactured on equipment at or near its capacity thus limiting our ability to sell additional volumes of such products until more capacity is obtained. As with all manufacturing facilities, equipment and infrastructure age and become subject to increasing maintenance and repair costs which may be significant. We have experienced increased costs and shortages in repair parts. Our ability to procure components to repair equipment essential for our manufacturing processes could be negatively impacted by various restrictions or disruptions in supply chains. See “</w:t>
      </w:r>
      <w:r>
        <w:rPr>
          <w:rFonts w:ascii="Times New Roman" w:cs="Times New Roman" w:eastAsia="Times New Roman" w:hAnsi="Times New Roman"/>
          <w:sz w:val="18"/>
          <w:szCs w:val="18"/>
          <w:i w:val="1"/>
          <w:iCs w:val="1"/>
          <w:color w:val="auto"/>
        </w:rPr>
        <w:t>Increases in energy, commodity, transportation, labor and other costs would increase our operating costs, and we may be unable to pass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these increases on to our customers in the form of higher prices and surcharges</w:t>
      </w:r>
      <w:r>
        <w:rPr>
          <w:rFonts w:ascii="Times New Roman" w:cs="Times New Roman" w:eastAsia="Times New Roman" w:hAnsi="Times New Roman"/>
          <w:sz w:val="18"/>
          <w:szCs w:val="18"/>
          <w:color w:val="auto"/>
        </w:rPr>
        <w:t>” for additional risks related to increased transportation costs and logistics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mining operations for a majority of our supply of sorbent minerals.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events and natural disasters, power outages, equipment failures and other unexpected maintenance problems, variations in the amount of rock and soil overlying our reserves, variations in geological conditions, fires and other accidents, fluctuations in the price or availability of supplies, landowner disputes, permit requirements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are impacted by the clay quality in our mines. Although we use drilling and surveying to assess the expected composition of our clay, we cannot always predict with certainty the clay quality. Poor quality or unexpected differences in our clay composition could increase our processing costs, reduce production, or impact product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acquiring adequate additional reserves in the future.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by others to be used either for mining or other uses,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or other regulatory compliance may restrict exploration or use of lands that might otherwise be utilized as a source of reserves.</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of our products.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the marketplace, which could diminish the value that consumers associate with our brands and harm our sales. Accordingly, we have taken and may need to continue to take legal action in the future to protect our patents, trade secrets or know-how or to assert them against claimed infringement by others. Any legal action of that type could be costly and time consuming and no assurances can be made that any lawsuit will be successful. The failure to perfect or successfully assert our intellectual property rights could make us less competitive and could have a material adverse effect on our business, operating results, and financial condition.</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Similarly, we have asserted that products sold by our competitors infringe patents owned or licensed by us.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loss of any key member of our senior management team and other key personnel may impede the implementation of our business plans in a timely manner.</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execution of our business plans depends in part upon the continued service of our senior management team and other key personnel, who possess unique and extensive industry knowledge and experience. Competition for management and key personnel is intense, and the pool of qualified candidates is limited. The loss or other unavailability of one or more of the key members of our senior management team or other key personnel could adversely impact our ability to manage our operations effectively, pursue our business strategy and/or lead to higher labor costs or the use of less-qualified personnel. Our operations also rely on skilled laborers using modern techniques and equipment to mine efficiently. We may be unable to train or attract the necessary number of skilled laborers to maintain our operating costs. No Company-owned life insurance coverage has been obtained on current team members.</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 matters create potential compliance and other liability risks.</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in the environment, and the effects that mining has on air or groundwater quality and water availability. These laws and regulations have had, and will continue to have, a significant effect on our business. We believe we have obtained all material permits and licenses required to conduct our present operations. However, we will need additional permits and renewals of permits in the future.</w:t>
      </w:r>
    </w:p>
    <w:p>
      <w:pPr>
        <w:spacing w:after="0" w:line="18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along with management focus and efforts, in complying with environmental, health and safety laws and regulations. Environmental requirements and the interpretation and enforcement of these requirements, change frequently and, in recent years, there has been an increase in regulation and enforcement of environmental, health and safety matters, a trend that we expect will continue. Substantial penalties and other costs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site modification (such as the modification to address capacity issues at our sole landfill located in Ochlocknee, Georgia), and liens, the issuance of injunctions to limit or cease operations, the suspension or revocation of permits and other enforcement measures that could have the effect of limiting our operations or otherwise requiring a change to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Furthermore, our reputation could be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adversely impacted by the failure (or perceived failure) to maintain high environmental, health and safety practices for operations or negative perceptions of these practices in our industry or for our operations or products. There can be no assurance that future events, including changes in any environmental requirements and the costs associated with complying with such requirements, will not have a material adverse effect on us.</w:t>
      </w: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FDA, CPSC, OSHA, MSHA, EPA and FTC.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Further, if applicable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we will be able to obtain or renew required governmental permits</w:t>
      </w:r>
    </w:p>
    <w:p>
      <w:pPr>
        <w:spacing w:after="0" w:line="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registrations in the future. Further, there can be no assurance that current or future governmental regulation or other rule-making (including proposals regarding increased disclosure on climate-related matters) will not have a material adverse effect on our business. Our efforts to comply with new requirements and regulations could result in increased general and administrative expenses and a diversion of substantial management time and attention from revenue-generating activities to compliance activities.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certifications or other requirements that are different from, and more onerous than, applicable laws and regulations. As a result, the failure of our products to meet these additional requirements may result in the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to our domestic and international sales and business operations due to political, regulatory, economic and other conditions.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Unstable economic, political, regulatory and other conditions could adversely affect demand for our products or disrupt our operations in the</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States and in international markets. The international nature of our operations subjects the Company to numerous risks, including political, civil and/or instability (including acts of terrorism, civil or social unrest, labor unrest, violence in connection with political or social events, and outbreaks of war and pandemics or other disease outbreaks). Specifically, our reliance on certain suppliers based in China has resulted in additional risks concerning the</w:t>
      </w:r>
    </w:p>
    <w:p>
      <w:pPr>
        <w:jc w:val="both"/>
        <w:spacing w:after="0" w:line="254" w:lineRule="auto"/>
        <w:rPr>
          <w:sz w:val="20"/>
          <w:szCs w:val="20"/>
          <w:color w:val="auto"/>
        </w:rPr>
      </w:pPr>
      <w:r>
        <w:rPr>
          <w:rFonts w:ascii="Times New Roman" w:cs="Times New Roman" w:eastAsia="Times New Roman" w:hAnsi="Times New Roman"/>
          <w:sz w:val="18"/>
          <w:szCs w:val="18"/>
          <w:color w:val="auto"/>
        </w:rPr>
        <w:t>country's current trade relations with the U.S. Both international and domestic operations are also subject to regulatory requirements and issues, including with respect to environmental matters. Any of these matters could result in sudden, and potentially prolonged, changes in domestic and international demand for our products. Further, ongoing developments in U.S. politics and government have introduced greater uncertainty with respect to tax policies, trade relations, tariffs and government regulations affecting trade between the U.S. and other countries. For instance domestic sales may be impacted by changes in government issued incentives, such as tax rebates and credits, for renewable diesel producers. In addition to considerations around U.S. politics and government, geopolitical concerns may also impact our business; for instance, international conflicts could increase the cost of raw and packaging materials and commodities (including the prices of oil and natural gas), supply chain and logistics challenges and foreign currency volatility, and it is not possible to predict the broader or longer-term consequences of such</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conflicts. These developments, as well as the risks outlined above, could have a material adverse effect on the Company’s business,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international sales and operations are subject to various economic-related risks. Our international sales and operations are, among other factors, subject to currency exchange fluctuations, fund transfer and trade restrictions and import/export duties. In some cases, we may have difficulty enforcing agreements and collecting accounts receivable through a foreign country’s legal system. Further, an increase in inflation rates could affect the Company’s profitability and cash flows, due to higher employment costs, higher operating costs, higher financing costs, and/or higher supplier prices. Inflation may also adversely affect foreign exchange rates. The Company may be unable to pass along such higher costs to its customers. In addition, inflation may adversely affect customers’ operations.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adverse safety events or product liability claims that may be costly, create adverse publicity and may add further governmental regulation.</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long-lived, and other intangible assets recorded as a result of our acquisitions could become impaired.</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review goodwill, long-lived assets, including property, plant and equipment and identifiable amortizing intangible assets, for impairment whenever changes in circumstances or events may indicate that the carrying amounts are not recoverable. Factors which may cause an impairment of long-lived assets include lower share trading prices and the adverse impact of rising costs and additional expenses to mitigate supply chain disruptions, among other factors. We assess all existing goodwill at least annually for impairment on a reporting unit basis. The techniques used in our qualitative assessment and goodwill impairment tests incorporate a number of estimates and assumptions that are subject to change. Although we believe these estimates and assumptions are reasonable and reflect market conditions forecasted at the assessment date, any changes to these assumptions and estimates due to market conditions or otherwise may lead to an outcome where impairment charges would be required in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subjected to increased taxes or fluctuating tax rates, which could adversely affect our results of operations and/or cash flows.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corporation operating in various jurisdictions around the world, we are subject to income and other taxes based upon the jurisdictions in which we operate and where our sales and profits are determined to be earned and taxed. Federal, state, and foreign statutory tax rates and taxing regimes have been subject to significant change and continue to evolve. Further, significant uncertainties exist with respect to the application of the various taxes to the businesses in which we engage, often requiring that we make judgments in determining our tax liabilities and worldwide provision for income taxes.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interpretation of current tax laws and their applicability to our business, as well as any changes to existing laws, can significantly impact our effective tax rate. In particular, the U.S. as well as jurisdictions around the world are considering or have enacted changes in relevant tax regulations and interpretations. Changes in income tax laws and regulations, or their interpretation, could result in higher or lower income tax rates assessed or changes in</w:t>
      </w:r>
    </w:p>
    <w:p>
      <w:pPr>
        <w:jc w:val="both"/>
        <w:spacing w:after="0" w:line="256" w:lineRule="auto"/>
        <w:rPr>
          <w:sz w:val="20"/>
          <w:szCs w:val="20"/>
          <w:color w:val="auto"/>
        </w:rPr>
      </w:pPr>
      <w:r>
        <w:rPr>
          <w:rFonts w:ascii="Times New Roman" w:cs="Times New Roman" w:eastAsia="Times New Roman" w:hAnsi="Times New Roman"/>
          <w:sz w:val="18"/>
          <w:szCs w:val="18"/>
          <w:color w:val="auto"/>
        </w:rPr>
        <w:t>the taxability of certain revenues or the deductibility of certain expenses, thereby affecting our income tax expense and profitability. In the U.S., various proposals, if enacted, could raise the U.S. corporate tax rate and increase the tax on non-U.S. income. Such unfavorable tax legislation could create the potential for added volatility in our quarterly provision for income taxes and could have a significant adverse impact on our future income tax provision and tax rate. Further, a number of factors may cause our effective tax rate to fluctuate, including: changes in tax rates in various jurisdictions, unanticipated changes in the amount of profit in jurisdictions in which the statutory tax rates may be higher or lower than the U.S. tax rate, changes in the valuation of our deferred tax assets and liabilities, adjustments to income taxes upon finalization of various tax returns, increases in expenses not deductible for tax</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purposes, and changes in available tax credits or our ability to utilize foreign tax credits. The U.S. presidential election in November 2024 adds further uncertainty regarding the potential effects of U.S. corporate tax rates we may be subject to in the future. We could experience an effective tax rate significantly different from that of prior periods or current expectations, which could have an adverse effect on our results of operations or cash flows.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also subject to potential reviews, examinations, and audits by the Internal Revenue Service and other taxing authorities with respect to taxes within and outside of the U.S. Although we believe our tax estimates are reasonable, unfavorable resolution of any tax audits and controversies could cause our tax liabilities to increase (including interest and penalties) and may have a significant adverse impact on our provision for income taxes and tax rate. Our effective tax rate is also influenced by the geography, timing, nature, and magnitude of transactions, such as acquisitions and divestitures, restructuring activities, and impairment charges.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that our share repurchases will enhance long-term shareholder value.</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previously authorized a share repurchase program. Under these authorizations, the Company has authority to repurchase both shares of our Common Stock and our Class B Stock. The Company has undertaken repurchases of Common Stock on the open market (including pursuant to a 10b5-1 plan or otherwise) and is also authorized to undertake repurchases in private, negotiated transactions. The Company has no obligations to repurchase any specific dollar amount or to acquire any specific number of shares. The timing, number and manner of share repurchases is determined by management and may depend upon a number of factors, including the trading price, market conditions, and the Company’s liquidity needs and management of its spending. Further, the Company’s share repurchases may be limited, suspended or discontinued at any time without prior notice (subject to the terms and conditions of the repurchase plan(s) in place at such time). The existence of a share repurchase program could cause our stock price to be higher than it would be in the absence of such a program and could potentially reduce the market liquidity for our stock or otherwise affect stock price and/or volatility. Additionally, our share repurchase program could diminish our cash reserves, which may impact our ability to otherwise deploy such cash. There can be no assurance that these share repurchases will enhance shareholder value.</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Daniel S. Jaffee, our President, Chief Executive Officer and Chairman of the Board of Directors)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 It is possible that the interests of our principal stockholders may in some circumstances conflict with our interests and the interests of our other stockholders. For example, the principal stockholders may have different tax positions or other differing incentives from other stockholders that could influence their decisions regarding whether and when to cause us to dispose of assets, incur new or refinance existing indebtedness, issue additional stock, or take other actions. Additionally, the holders of our Class B Stock may cause us to make strategic decisions or pursue acquisitions that could involve risks to holders of our Common Stock or may not be in the best interests of holders of our Common Stock.</w:t>
      </w: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“controlled company” under the New York Stock Exchange Corporate Governance Standards. As a controlled company, we may from time to time rely on exemptions from certain NYSE corporate governance requirements that otherwise would be applicable, including the requirements: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left="160" w:hanging="152"/>
        <w:spacing w:after="0"/>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the board of directors consists of independent directors;</w:t>
      </w:r>
    </w:p>
    <w:p>
      <w:pPr>
        <w:spacing w:after="0" w:line="27" w:lineRule="exact"/>
        <w:rPr>
          <w:rFonts w:ascii="Times New Roman" w:cs="Times New Roman" w:eastAsia="Times New Roman" w:hAnsi="Times New Roman"/>
          <w:sz w:val="18"/>
          <w:szCs w:val="18"/>
          <w:color w:val="auto"/>
        </w:rPr>
      </w:pPr>
    </w:p>
    <w:p>
      <w:pPr>
        <w:ind w:left="180" w:right="420" w:hanging="172"/>
        <w:spacing w:after="0" w:line="250" w:lineRule="auto"/>
        <w:tabs>
          <w:tab w:leader="none" w:pos="1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nominating and governance committee comprised entirely of independent directors with a written charter addressing the committee’s purpose and responsibilities; and</w:t>
      </w:r>
    </w:p>
    <w:p>
      <w:pPr>
        <w:ind w:left="180" w:right="500" w:hanging="172"/>
        <w:spacing w:after="0" w:line="260" w:lineRule="auto"/>
        <w:tabs>
          <w:tab w:leader="none" w:pos="1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comprised entirely of independent directors with a written charter addressing the committee’s purpose and responsibilities.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previously relied on these exemptions (although we are not currently relying on the first exemption listed above), and we intend to continue to rely on them in the future, as applicable. As a result, our stockholders do not have the same protections afforded stockholders of NYSE-listed companies that are subject to all of the NYSE corporate governance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w:t>
      </w:r>
    </w:p>
    <w:p>
      <w:pPr>
        <w:spacing w:after="0" w:line="2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could fluctuate substantially in the future in response to a number of factors, including, but not limited to, the following:</w:t>
      </w:r>
    </w:p>
    <w:p>
      <w:pPr>
        <w:spacing w:after="0" w:line="189"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operating results or the operating results of our competitors;</w:t>
      </w:r>
    </w:p>
    <w:p>
      <w:pPr>
        <w:spacing w:after="0" w:line="2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conditions in the economy, the financial markets, or the industries in which we operate;</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alliances or joint ventures by us, our customers, suppliers or competitors;</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officers or directors or unaffiliated third-party investors;</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energy sources and other raw materials;</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key management;</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 and</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developments affecting us, our industries, customers or competitors.</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may experience extreme price and volume fluctuations that have a significant effect on the market prices of securities issued by many companies, including the Company, for reasons unrelated to their operating performance. These broad market fluctuations may materially adversely affect our Common Stock price, regardless of our operating results. Given its relatively small public float, number of stockholders and average daily trading volume, our Common Stock may be relatively more susceptible to volatility arising from any of these factors. If we experience significant fluctuations in our stock price, we may be exposed to securities class action lawsuits, which could negatively affect our business. There can be no assurance that the price of our Common Stock will increase in the future or be maintained at its recent levels.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could depress its market price.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in response to recent public focus on dual class capital structures, certain stock index providers are implementing limitations on the inclusion of dual class share structures in their indices. If these restrictions increase, they may impact who buys and holds our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dividends on our Common Stock may be restricted or eliminated.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are declared at the discretion of our Board of Directors, and future dividends will depend on our future earnings, cash flow, financial requirements and other factors, including market and economic conditions. We are not obligated to continue a dividend for any fixed period, and the payment of dividends could be suspended or discontinued at any time at our discretion and without prior notice. There can be no assurance that we will continue to pay dividends. The amount and timing of any future dividends may vary, and the payment of any dividend does not assure that we will pay dividends in the future.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3" w:name="page24"/>
    <w:bookmarkEnd w:id="23"/>
    <w:p>
      <w:pPr>
        <w:ind w:left="50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Technology failures or cyber security breaches or other unauthorized access to our information technology systems or sensitive or proprietary information could have an adverse effect on the Company's business and operations.</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store, and protect electronic information. For example, a significant portion of the communications between the Company's personnel, customers, suppliers and vendors depends on information technology and we rely on access to such information systems for our operations. Additionally, we rely on third-party service vendors to execute certain business processes and maintain certain information technology systems and infrastructure. We cannot guarantee that the security measures in place will prevent disruptions, failures, computer viruses or other malicious codes, malware or ransomware incidents, unauthorized access attempts, theft of intellectual property, trade secrets, or other</w:t>
      </w:r>
    </w:p>
    <w:p>
      <w:pPr>
        <w:spacing w:after="0" w:line="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corporate assets, denial of service attacks, phishing, hacking by common hackers, criminal groups or nation-state organizations or social activist (“hacktivist”) organizations, and other cyber-attacks or other privacy or security breaches in the information technology, phone systems or other systems (whether due to third-party action, bugs or vulnerabilities, physical break-ins, employee error, malfeasance or otherwise) of the Company, our customers or third parties, which could adversely affect our communications and business operations. Further, events such as natural disasters, fires, power outages, systems failures, telecommunications failures, error or malfeasance of our employees, vendors, or other third parties, or other catastrophic events could similarly cause interruptions, disruptions or shutdowns, or exacerbate the risk of the failures described above. These risks may be increased as more employees work from home. We may not have the resources or technical sophistication to anticipate, prevent or detect rapidly-evolving types of cyber-attacks and other security risks. Attacks may be targeted at us, our customers, suppliers or vendors, or others who have entrusted us with information. Our co-packaged litter sales were impacted by a cyberattack on our customer which prevented it from placing and receiving orders during the first quarter of fiscal year 2024. To date, the Company has not experienced any material impacts to our business or operations resulting from that cyberattack or any other information or cybersecurity attacks. Because of the frequently changing attack techniques, including through the use of artificial intelligence, along with the increased volume, persistence and sophistication of the attacks, there is the potential for the Company to be adversely impacted. Because such techniques change frequently or may be designed to remain dormant until a predetermined event and often are not recognized until launched against a target, we may be unable to anticipate these techniques or implement sufficient control measures to defend against these techniques. Once a security incident is identified, we may be unable to remediate or otherwise respond to such an incident in a timely manner. While the Company has implemented a cybersecurity framework of policies, procedures, and tools, and has documented plans for incident response, disaster recovery, and business continuity to prevent or mitigate the effects of these potential disruptions or breaches, security breaches and other disruptions to information technology systems could interfere with our operations. Any failure to maintain, or disruption to, our information technology systems, whether as a result of cybersecurity attacks or otherwise, could damage our brands or reputation, subject the Company to legal claims and proceedings or remedial actions, create risks of violations of data privacy laws and regulations, and cause us to incur substantial additional costs. There can be no assurance that existing or emerging threats will not have an adverse impact on our systems or communications networks and, further, technological enhancements to prevent business interruptions could require increased spending. Furthermore, security breaches pose a risk to confidential data and intellectual property, which could result in damage to our competitiveness, brands and reputation. There can be no assurance that the costs, potential monetary damages, and operational consequences of responding</w:t>
      </w:r>
    </w:p>
    <w:p>
      <w:pPr>
        <w:spacing w:after="0" w:line="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cyber incidents and implementing remediation measures would be covered by any insurance that we may carry from time to time. We cannot predict the degree of any impact that increased monitoring, assessing, or reporting of cybersecurity matters would have on operations, financial conditions and results.</w:t>
      </w:r>
    </w:p>
    <w:p>
      <w:pPr>
        <w:spacing w:after="0" w:line="17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Additionally, in connection with our global operations, we, from time to time, transmit data across national borders to conduct our business and, consequently, are subject to a variety of laws and regulations regarding privacy, data protection, and data security, including those related to the collection, processing, storage, handling, use, disclosure, transfer, and security of personal data, including the European Union General Data Protection Regulation, Canadian Personal Information Protection and Electronic Documents Act, Quebec Private Sector Act, Personal Information Protection Law in China and similar regulations in states within the United States and in countries around the world. Our efforts to comply with privacy and data protection laws may impose significant costs and challenges that are likely to increase over time.</w:t>
      </w: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enterprise resource planning system (“ERP”) is designed to accurately maintain our books and records and provide information important to the operation of our business. Any potential disruptions with the ERP system could affect our ability to process orders, ship product and send invoices. These difficulties could, in turn, negatively impact our financial results including sales, earnings and cash flow. Further development and maintenance of</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ERP system will continue to require investment in human and financial resources, which may cause increased costs and other difficulties. In addition, from time to time, we may implement new technology systems or replace and/or upgrade our current information technology systems. These upgrades or replacements may not improve our productivity to the levels anticipated and may subject us to inherent costs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Technology failures or cyber security breaches or other unauthorized access to information technology systems of our customers, suppliers or vendors could have an adverse effect on the Company's business and operations.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rely on direct electronic interfaces with some of our key customers, suppliers and vendors. Cyber security breaches or technology failures at our customers could result in changes to timing and volume of orders. Additionally cyber security breaches or technology failures at our suppliers or vendors could impact the timing or availability of key materials that could negatively impact our ability to deliver products. We work closely with our key customers, suppliers and vendors to manage and mitigate the impact of any known threats once identified.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a widespread threat to public health.</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Public health crises may create significant uncertainty on our business and could negatively affect our costs, customer orders, and collection of accounts receivable, which may be material. In addition, a public health crisis could result in the deterioration of worldwide economic conditions and impact the proper functioning of financial and capital markets, foreign currency exchange rates, and commodity and energy prices, as well as demand for our products.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response to widespread public health threats, such as pandemics, countries and local governments may again implement quarantine or similar orders that restrict workforce and/or require closures of “non-essential” businesses along with restrictions on travel. Such restrictions could create significant volatility, uncertainty, and economic disruption to our business. There can be no assurances that we will not have to close facilities or experience other disruption in the future due to concerns over the health and well-being of our employees, or as a result of government directives. While historically widespread threats to public health had limited disruption and impact to our third party business partners, suppliers, service providers, and customers, no assurances can be made that future threats to public health will not have a more significant impact on our operations or results.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legal and regulatory proceedings, including litigation in the ordinary course of business, which may adversely impact our business, financial condition and results of operations.</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subject to various legal and regulatory proceedings, which may include but are not limited to those involving antitrust, tax, trade, environmental, intellectual property, data privacy and other matters, including general commercial litigation. Such claims and litigation are frequently expensive and time consuming (and could divert management’s attention and resources) to resolve and may result in substantial liability to us, which liability and related costs and expenses may not be recoverable through insurance or any other forms of reimbursement and could also</w:t>
      </w:r>
    </w:p>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 in higher insurance costs, the loss of insurance coverage, or the inability to obtain insurance at an acceptable cost. Additionally, the outcome of legal and regulatory proceedings may differ from our expectations because the outcomes of these proceedings are often difficult to predict reliably. Various factors and developments can lead to changes in our estimates of liabilities. A future adverse ruling, settlement or unfavorable development could result in charges that could have a material adverse effect on our results of operations in any particular period.</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2024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 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be negatively impacted.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 level of corporate social responsibility could damage our reputation and could adversely affect our business, financial condition or results of operations.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light of evolving expectations around corporate social responsibility, our reputation or brand could be adversely impacted by a failure (or perceived failure) to maintain a level of corporate responsibility. In today’s environment, an allegation or perception regarding quality, safety, or corporate social responsibility can negatively impact our reputation. This may include, without limitation: failure to maintain certain ethical, social and environmental practices for our operations and activities, or failure to require our suppliers or other third parties to do so; our environmental impact, including our mining operations and their impact on the environment; the practices of our employees, agents, customers, suppliers, or other third parties (including others in our industry) with respect to any of the foregoing, actual or perceived; the failure to be perceived as appropriately addressing matters of social responsibility; consumer perception of statements made by us, our employees and executives, agents, customers, suppliers, or other third parties (including others in our industry); or our responses to any of the foregoing. Further, we may be subject to rulemaking regarding corporate social responsibility and/or disclosure, as public awareness and focus on social and environmental issues has led to legislative and regulatory efforts to impose</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increased regulations and require further disclosure. As a result, we may become subject to new or more stringent regulations, legislation or other governmental requirements, customer requirements or industry standards and/or an increased demand to meet voluntary criteria related to such matters. Increased regulations, customer requirements or industry standards including around climate change concerns, could subject us to additional costs and restrictions and require us to make certain changes to our manufacturing practices and/or product designs, which could negatively impact our business, results of operations, financial condition and competitive position.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labor disputes and an inability to renew collective bargaining agreements at acceptable terms.</w:t>
      </w:r>
    </w:p>
    <w:p>
      <w:pPr>
        <w:spacing w:after="0" w:line="27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 portion of our teammates in the U.S. and Canada are represented by labor unions, with whom we have entered into separate collective bargaining agreements. See “Item 1 – Business – Human Capital Management – Overview” above. We may experience labor disputes in the future, including protests and strikes, which could disrupt our business operations, increase wage rates and other costs of labor and have an adverse effect on our business and results of operation. We may also be unable to renegotiate collective bargaining agreements at acceptable terms or we may be unable to maintain a satisfactory working relationship with our employees in the future. We may also be adversely affected by strikes and other labor disputes by the employees of our suppliers, customers, and other parties.</w:t>
      </w:r>
    </w:p>
    <w:p>
      <w:pPr>
        <w:spacing w:after="0" w:line="2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 longer qualify as a "smaller reporting company" and, commencing with our Quarterly Report on Form 10-Q for the period ending October 31, 2024, we may no longer take advantage of reduced disclosure and reporting requirements applicable to smaller reporting companies.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qualify as a "smaller reporting company" as defined by the SEC and have been able to take advantage of reduced disclosure and reporting requirements applicable to smaller reporting companies. However, management performed the annual public float test as of the last business day of the Company's second fiscal quarter ended January 31, 2024 and determined that the Company no longer qualifies as a smaller reporting company due to its public float exceeding $250 million. The Company will continue to use the scaled disclosures permitted for a smaller reporting company through the filing of this Annual Report on Form 10-K. Beginning with our Quarterly Report on Form 10-Q for the period ending October 31, 2024, the Company will no longer be eligible to rely on the reduced disclosure and reporting requirements applicable to smaller reporting companies. The resulting increased disclosure and reporting requirements could have a material adverse effect on our business, financial condition and results of operations if we are unable to comply on a timely basis or if the attention of our management and personnel is diverted from other business concerns.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 We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have implemented cybersecurity processes, technologies, and controls to aid in our efforts to assess, identify, and manage such material risks.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risk areas. We have also implemented a specific cybersecurity program which adopts a risk management approach to information security, requiring the identification, assessment, and appropriate mitigation of vulnerabilities and threats that can adversely impact our information assets. Our cybersecurity program includes:</w:t>
      </w:r>
    </w:p>
    <w:p>
      <w:pPr>
        <w:spacing w:after="0" w:line="207" w:lineRule="exact"/>
        <w:rPr>
          <w:sz w:val="20"/>
          <w:szCs w:val="20"/>
          <w:color w:val="auto"/>
        </w:rPr>
      </w:pPr>
    </w:p>
    <w:p>
      <w:pPr>
        <w:ind w:left="660" w:right="380" w:hanging="328"/>
        <w:spacing w:after="0" w:line="25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assessment process designed to help identify material cybersecurity risks to our critical systems, information, services, and our broader enterprise IT environment;</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information security team principally responsible for managing (1) our cybersecurity risk assessment processes, (2) our security controls, and</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(3) our response to cybersecurity incidents;</w:t>
      </w:r>
    </w:p>
    <w:p>
      <w:pPr>
        <w:spacing w:after="0" w:line="1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third-party risk management process for customers, service providers, suppliers, and vendors.</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evaluating the risks identified as a part of the annual assessment process, the Company’s information security team considers the likelihood and severity of the respective risk and the potential impact of the risk on the Company, its customers, and its employees. These risks are then prioritized and monitored by the information security team.</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conducts periodic testing of software, hardware, defensive capabilities, and other information security systems to assess its cybersecurity readiness and maturity of the cybersecurity program. Tests are conducted by the information security team and reputable third-party consultants and auditors. In developing and evaluating the testing procedures, the Company considers both its individual risks and industry standards.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cybersecurity program includes an incident response plan with a cross-functional team comprised of designated members of the information technology department, senior management, and other appropriate individuals. The team is responsible for assessing and managing the cybersecurity incident response process, as outlined within the incident response plan, and taking necessary corrective actions to mitigate and eliminate the issue.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report, the Company is not aware of any cybersecurity incidents that have materially affected or are reasonably likely to materially affect the Company, including its business strategy, results of operations, or financial condition that are required to be reported in this Form 10-K. For further discussion of the risks associated with cybersecurity incidents and potential impact to the Company, see the cybersecurity risk factors within “Item 1A. Risk Factors”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and management. Our Audit Committee is responsible for the oversight of risks from cybersecurity threats. Members of the Audit Committee receive updates on a quarterly basis from management, including leaders from our information security and legal teams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spacing w:after="0" w:line="21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cybersecurity risk management and strategy processes are overseen by leaders from our information security team, such as our Chief Information Officer, Director, Applications Delivery, and our Director of Information Technology. Such individuals have nearly 40, over 30, and over 20 years of experience, respectively, in various roles involving information technology, including infrastructure and operations, security, auditing, compliance, and application development.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to the Audit Committee on any appropriate items.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corporate headquarters are located at 410 N. Michigan Avenue, Suite 400, Chicago, Illinois 60611. The lease for this location expires in 2036. In addition to our corporate headquarters, we operate two research and development facilities in Vernon Hills, IL, one of which we own and the other of which we lease with a term expiring in 2026. We operate clay manufacturing and non-clay production facilities on the properties listed in “Mining Properties and Operations” below. We have no mortgages on any of the real property we own. We consider our properties to generally be in good condition, well maintained and suitable and adequate to carry on our business. As used in this Form 10-K, the terms “mineral resource,” “mineral reserve,” “proven mineral reserve” and “probable mineral reserve” are defined and used in accordance with Item 1300 of Regulation 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Properties and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Facility Locations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operate clay manufacturing and non-clay production facilities on property owned or leased by us as shown on the map and listed in the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5715</wp:posOffset>
            </wp:positionV>
            <wp:extent cx="3789045" cy="3154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8904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7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Owned/Leased</w:t>
            </w:r>
          </w:p>
        </w:tc>
        <w:tc>
          <w:tcPr>
            <w:tcW w:w="60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Function</w:t>
            </w:r>
          </w:p>
        </w:tc>
      </w:tr>
      <w:tr>
        <w:trPr>
          <w:trHeight w:val="27"/>
        </w:trPr>
        <w:tc>
          <w:tcPr>
            <w:tcW w:w="84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r>
      <w:tr>
        <w:trPr>
          <w:trHeight w:val="228"/>
        </w:trPr>
        <w:tc>
          <w:tcPr>
            <w:tcW w:w="84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Mountain, Mississippi</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Owned</w:t>
            </w: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2"/>
        </w:trPr>
        <w:tc>
          <w:tcPr>
            <w:tcW w:w="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36"/>
        </w:trPr>
        <w:tc>
          <w:tcPr>
            <w:tcW w:w="84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Laval, Quebec, Canada</w:t>
            </w:r>
          </w:p>
        </w:tc>
        <w:tc>
          <w:tcPr>
            <w:tcW w:w="176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Owned</w:t>
            </w:r>
          </w:p>
        </w:tc>
        <w:tc>
          <w:tcPr>
            <w:tcW w:w="6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Non-clay manufacturing and clay and non-clay packaging, sales</w:t>
            </w:r>
          </w:p>
        </w:tc>
      </w:tr>
      <w:tr>
        <w:trPr>
          <w:trHeight w:val="234"/>
        </w:trPr>
        <w:tc>
          <w:tcPr>
            <w:tcW w:w="84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Owned</w:t>
            </w: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2"/>
        </w:trPr>
        <w:tc>
          <w:tcPr>
            <w:tcW w:w="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36"/>
        </w:trPr>
        <w:tc>
          <w:tcPr>
            <w:tcW w:w="84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176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Owned</w:t>
            </w:r>
          </w:p>
        </w:tc>
        <w:tc>
          <w:tcPr>
            <w:tcW w:w="6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34"/>
        </w:trPr>
        <w:tc>
          <w:tcPr>
            <w:tcW w:w="84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Owned</w:t>
            </w: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2"/>
        </w:trPr>
        <w:tc>
          <w:tcPr>
            <w:tcW w:w="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76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Owned</w:t>
            </w:r>
          </w:p>
        </w:tc>
        <w:tc>
          <w:tcPr>
            <w:tcW w:w="6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198"/>
        </w:trPr>
        <w:tc>
          <w:tcPr>
            <w:tcW w:w="840" w:type="dxa"/>
            <w:vAlign w:val="bottom"/>
          </w:tcPr>
          <w:p>
            <w:pPr>
              <w:spacing w:after="0"/>
              <w:rPr>
                <w:sz w:val="17"/>
                <w:szCs w:val="17"/>
                <w:color w:val="auto"/>
              </w:rPr>
            </w:pPr>
          </w:p>
        </w:tc>
        <w:tc>
          <w:tcPr>
            <w:tcW w:w="2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Wisbech, United Kingdom</w:t>
            </w:r>
          </w:p>
        </w:tc>
        <w:tc>
          <w:tcPr>
            <w:tcW w:w="1760" w:type="dxa"/>
            <w:vAlign w:val="bottom"/>
          </w:tcPr>
          <w:p>
            <w:pPr>
              <w:jc w:val="center"/>
              <w:ind w:left="170"/>
              <w:spacing w:after="0" w:line="198" w:lineRule="exact"/>
              <w:rPr>
                <w:sz w:val="20"/>
                <w:szCs w:val="20"/>
                <w:color w:val="auto"/>
              </w:rPr>
            </w:pPr>
            <w:r>
              <w:rPr>
                <w:rFonts w:ascii="Times New Roman" w:cs="Times New Roman" w:eastAsia="Times New Roman" w:hAnsi="Times New Roman"/>
                <w:sz w:val="17"/>
                <w:szCs w:val="17"/>
                <w:color w:val="auto"/>
              </w:rPr>
              <w:t>Leased</w:t>
            </w:r>
            <w:r>
              <w:rPr>
                <w:rFonts w:ascii="Times New Roman" w:cs="Times New Roman" w:eastAsia="Times New Roman" w:hAnsi="Times New Roman"/>
                <w:sz w:val="22"/>
                <w:szCs w:val="22"/>
                <w:color w:val="auto"/>
                <w:vertAlign w:val="superscript"/>
              </w:rPr>
              <w:t>*</w:t>
            </w:r>
          </w:p>
        </w:tc>
        <w:tc>
          <w:tcPr>
            <w:tcW w:w="6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Non-clay manufacturing and clay and non-clay packaging, sales, customer</w:t>
            </w:r>
          </w:p>
        </w:tc>
      </w:tr>
      <w:tr>
        <w:trPr>
          <w:trHeight w:val="234"/>
        </w:trPr>
        <w:tc>
          <w:tcPr>
            <w:tcW w:w="8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w:t>
            </w:r>
          </w:p>
        </w:tc>
      </w:tr>
      <w:tr>
        <w:trPr>
          <w:trHeight w:val="32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The Wisbech lease expires in 2032.</w:t>
            </w:r>
          </w:p>
        </w:tc>
        <w:tc>
          <w:tcPr>
            <w:tcW w:w="1760" w:type="dxa"/>
            <w:vAlign w:val="bottom"/>
          </w:tcPr>
          <w:p>
            <w:pPr>
              <w:spacing w:after="0"/>
              <w:rPr>
                <w:sz w:val="24"/>
                <w:szCs w:val="24"/>
                <w:color w:val="auto"/>
              </w:rPr>
            </w:pPr>
          </w:p>
        </w:tc>
        <w:tc>
          <w:tcPr>
            <w:tcW w:w="60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Overview of Mining Properties and Operations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CLAY RESOURCES AND RESERVES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real property holdings and tons produced for each of the three fiscal years ended July 31, are as follows:</w:t>
      </w:r>
    </w:p>
    <w:p>
      <w:pPr>
        <w:spacing w:after="0" w:line="37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Real Property Holdings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Tons Produced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Land</w:t>
            </w:r>
          </w:p>
        </w:tc>
        <w:tc>
          <w:tcPr>
            <w:tcW w:w="9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Land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rPr>
              <w:t>Land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Area</w:t>
            </w:r>
          </w:p>
        </w:tc>
        <w:tc>
          <w:tcPr>
            <w:tcW w:w="9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Unpatented</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1"/>
        </w:trPr>
        <w:tc>
          <w:tcPr>
            <w:tcW w:w="1840" w:type="dxa"/>
            <w:vAlign w:val="bottom"/>
            <w:vMerge w:val="continue"/>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10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8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(acres)</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560" w:type="dxa"/>
            <w:vAlign w:val="bottom"/>
            <w:tcBorders>
              <w:bottom w:val="single" w:sz="8" w:color="auto"/>
            </w:tcBorders>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(thousands of tons)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18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the exception of our research and development center in Illinois, all of the properties that we own contain clay mineral reserves or are used in the processing of our clay. We mine sorbent minerals primarily consisting of calcium bentonite, attapulgite and diatomaceous shale which we refer to in the aggregate as “clay,” “minerals,” or “Fuller’s Earth.” We use certified professional geologists and mineral specialists who prepared the estimated reserves of these minerals in the table above. See also Item 1 “Business” above for further information about our reserves. We, or our wholly owned subsidiaries, are the sole operators of our mines. We have active properties in all stages of operation (exploration, development and production). Our properties in production, located in Mississippi, Georgia, California and Illinois, collectively produced approximately 793 thousand and 807 thousand tons of finished product in fiscal years 2024, and 2023, respectively. Parcels of such land are also sites of manufacturing facilities operated by us. In addition, we own approximately one acre of land in Laval, Quebec, Canada, which is the site of the processing, packaging and distribution facility for our Canadian subsidiary. While we have reserves in Nevada and Tennessee, we are not actively mining these properties.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mining operations are conducted on both owned and leased land.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2122.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Summary of Mineral Resources and Mineral Reserves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a number of mines concentrated near our production facilities in California, Georgia, Illinois and Mississippi, although we have proven reserves in other states. Based upon the quantitative and qualitative factors applicable, we do not consider any of our mines to be individually material to our business or financial condition. As a result, we are only required to disclose summary information related to our mineral reserves. Our summary of mineral reserves as of July 31, 2024, have been prepared and certified by a certified professional geologist who qualifies as a "qualified person" as such term is defined in Item 1300 of Regulation S-K. Item 1303 of Regulation S-K requires the disclosure of mineral resources; however, we have no mineral resource estimates as all mineral accumulations of economic interest and with reasonable prospects for eventual economic extraction are either currently on production or subject to an economically viable future development plan and are classified as mineral reserves. Our summary of proven and probable reserves as of July 31, 2024, is as follows:</w:t>
      </w:r>
    </w:p>
    <w:p>
      <w:pPr>
        <w:spacing w:after="0" w:line="269" w:lineRule="exact"/>
        <w:rPr>
          <w:sz w:val="20"/>
          <w:szCs w:val="20"/>
          <w:color w:val="auto"/>
        </w:rPr>
      </w:pPr>
    </w:p>
    <w:tbl>
      <w:tblPr>
        <w:tblLayout w:type="fixed"/>
        <w:tblInd w:w="310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Mineral Reserves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Proven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Probable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Mineral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Mineral</w:t>
            </w:r>
          </w:p>
        </w:tc>
        <w:tc>
          <w:tcPr>
            <w:tcW w:w="10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40" w:type="dxa"/>
            <w:vAlign w:val="bottom"/>
            <w:tcBorders>
              <w:bottom w:val="single" w:sz="8" w:color="CCEEFF"/>
            </w:tcBorders>
          </w:tcPr>
          <w:p>
            <w:pPr>
              <w:spacing w:after="0"/>
              <w:rPr>
                <w:sz w:val="20"/>
                <w:szCs w:val="20"/>
                <w:color w:val="auto"/>
              </w:rPr>
            </w:pPr>
          </w:p>
        </w:tc>
        <w:tc>
          <w:tcPr>
            <w:tcW w:w="2640" w:type="dxa"/>
            <w:vAlign w:val="bottom"/>
            <w:tcBorders>
              <w:bottom w:val="single" w:sz="8" w:color="auto"/>
            </w:tcBorders>
            <w:gridSpan w:val="5"/>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(thousands of tons)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25,768</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97,824</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132,125</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48"/>
        </w:trPr>
        <w:tc>
          <w:tcPr>
            <w:tcW w:w="20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224,323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rate of consumption during fiscal year 2024, and without regard to any of our reserves in Nevada and Tennessee, where we do not actively mine, we consider our proven and probable reserves adequate to supply our needs for over forty years. Although we consider these reserves to be extremely valuable to our business, only a small portion of the reserves, those which were acquired in acquisitions, are reflected at cost on our balance sheet.</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our policy to attempt to maintain a minimum of forty years of proven and probable reserves of each type of clay at each location. We have an ongoing program of exploration for additional reserves but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2024, we utilized these reserves to produce substantially all of the sorbent products that we sold.</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Proven reserves means the economically mineable part of a measured resource and can only result from conversion of a measured mineral resource. Further, 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to estimate and evaluate existing and potential reserves in terms of quality, quantity and availability.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Internal Controls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internal controls for reviewing and documenting the information supporting the mineral reserve estimates and ensuring the validity of the estimates. Information that is utilized to compile mineral reserves is prepared and certified by a qualified person and is subject to internal review by our management.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also assesses risks inherent in mineral resource and reserve estimates, such as the accuracy of geological data that is used to support mine planning, identify hazards and inform operations of the presence of mineable deposits. Also,</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aware of risks associated with potential gaps in assessing the completeness of mineral extraction licenses, entitlements or rights, or changes in laws or regulations that could directly impact the ability to assess mineral resources and reserves or impact production levels. Risks inherent in overestimated reserves can impact financial performance when revealed, such as changes in amortization that are based on life of mine estimates. Our analysis of risks related to our reserves is integrated into our overall enterprise risk management program, and shares common methodologies, reporting channels and governance processes that apply across the enterprise risk management program to other risk areas. Refer to Item 1A “Risk Factors” for further discussion of risks associated with mineral reserves.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INING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ANUFACTURING</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ETHODS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Mining and Hauling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eleven miles.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Processing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LVM Clay: RVM clay is fed from storage tanks into the LVM kiln where the moisture content is further reduced. The clay then proceeds to a screening circuit which separates the clay into the desired particle sizes.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Packaging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Once the clay has been dried to the desired level it will be sized and packaged. Our products have various package sizes and types ranging from bags, boxes, pails,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229" w:lineRule="exact"/>
        <w:rPr>
          <w:sz w:val="20"/>
          <w:szCs w:val="20"/>
          <w:color w:val="auto"/>
        </w:rPr>
      </w:pPr>
    </w:p>
    <w:p>
      <w:pPr>
        <w:jc w:val="both"/>
        <w:ind w:firstLine="261"/>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w:t>
      </w:r>
    </w:p>
    <w:p>
      <w:pPr>
        <w:spacing w:after="0" w:line="256"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 EQUITY SECURITIES</w:t>
      </w:r>
    </w:p>
    <w:p>
      <w:pPr>
        <w:spacing w:after="0" w:line="14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Common Stock is traded on the NYSE under the symbol ODC. There is no established trading market for our Class B Stock. There are no shares of Class A Common Stock currently outstanding. See Exhibit 4.1 to this Annual Report on Form 10-K for a description of our Common Stock, Class B Stock and Class A Common Stock. The number of holders of record of Common Stock and Class B Stock on September 30, 2024 were 732 and 24, respectively, as reported by our transfer agent. In the last three years, we have not sold any securities which were not registered under the Securities Act of 1933, as amended (the “Securities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firstLine="213"/>
        <w:spacing w:after="0" w:line="256" w:lineRule="auto"/>
        <w:rPr>
          <w:sz w:val="20"/>
          <w:szCs w:val="20"/>
          <w:color w:val="auto"/>
        </w:rPr>
      </w:pPr>
      <w:r>
        <w:rPr>
          <w:rFonts w:ascii="Times New Roman" w:cs="Times New Roman" w:eastAsia="Times New Roman" w:hAnsi="Times New Roman"/>
          <w:sz w:val="18"/>
          <w:szCs w:val="18"/>
          <w:color w:val="auto"/>
        </w:rPr>
        <w:t>Our Board of Directors determines the timing and amount of any dividends. Our Board of Directors may change its dividend practice at 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BMO Harris Bank N.A. (“BMO Harris”) and our Amended Note Agreement with Prudential requires that we maintain a maximum debt to earnings ratio and a minimum fixed charge coverage ratio. To the extent that these balances are not attained, our ability to pay dividends may be impaired. See Note 4 of the Notes to the Consolidated Financial Statements for further information about our debt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256" w:lineRule="exact"/>
        <w:rPr>
          <w:sz w:val="20"/>
          <w:szCs w:val="20"/>
          <w:color w:val="auto"/>
        </w:rPr>
      </w:pPr>
    </w:p>
    <w:p>
      <w:pPr>
        <w:jc w:val="both"/>
        <w:ind w:firstLine="24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2024, we did not sell any securities which were not registered under the Securities Act. The following chart summarizes our Common Stock purchases during this period.</w:t>
      </w:r>
    </w:p>
    <w:p>
      <w:pPr>
        <w:spacing w:after="0" w:line="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23"/>
          <w:szCs w:val="23"/>
          <w:b w:val="1"/>
          <w:bCs w:val="1"/>
          <w:color w:val="auto"/>
          <w:vertAlign w:val="superscript"/>
        </w:rPr>
        <w:t>1,2</w:t>
      </w:r>
    </w:p>
    <w:tbl>
      <w:tblPr>
        <w:tblLayout w:type="fixed"/>
        <w:tblInd w:w="0" w:type="dxa"/>
        <w:tblCellMar>
          <w:top w:w="0" w:type="dxa"/>
          <w:left w:w="0" w:type="dxa"/>
          <w:bottom w:w="0" w:type="dxa"/>
          <w:right w:w="0" w:type="dxa"/>
        </w:tblCellMar>
      </w:tblPr>
      <w:tr>
        <w:trPr>
          <w:trHeight w:val="214"/>
        </w:trPr>
        <w:tc>
          <w:tcPr>
            <w:tcW w:w="1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84"/>
        </w:trPr>
        <w:tc>
          <w:tcPr>
            <w:tcW w:w="2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36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1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08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236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Plans or</w:t>
            </w:r>
          </w:p>
        </w:tc>
        <w:tc>
          <w:tcPr>
            <w:tcW w:w="0" w:type="dxa"/>
            <w:vAlign w:val="bottom"/>
          </w:tcPr>
          <w:p>
            <w:pPr>
              <w:spacing w:after="0"/>
              <w:rPr>
                <w:sz w:val="1"/>
                <w:szCs w:val="1"/>
                <w:color w:val="auto"/>
              </w:rPr>
            </w:pPr>
          </w:p>
        </w:tc>
      </w:tr>
      <w:tr>
        <w:trPr>
          <w:trHeight w:val="230"/>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Ended July 31, 2024</w:t>
            </w:r>
          </w:p>
        </w:tc>
        <w:tc>
          <w:tcPr>
            <w:tcW w:w="228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18"/>
                <w:szCs w:val="18"/>
                <w:b w:val="1"/>
                <w:bCs w:val="1"/>
                <w:color w:val="auto"/>
                <w:w w:val="99"/>
              </w:rPr>
              <w:t>Purchased</w:t>
            </w:r>
            <w:r>
              <w:rPr>
                <w:rFonts w:ascii="Times New Roman" w:cs="Times New Roman" w:eastAsia="Times New Roman" w:hAnsi="Times New Roman"/>
                <w:sz w:val="23"/>
                <w:szCs w:val="23"/>
                <w:b w:val="1"/>
                <w:bCs w:val="1"/>
                <w:color w:val="auto"/>
                <w:w w:val="99"/>
                <w:vertAlign w:val="superscript"/>
              </w:rPr>
              <w:t>3</w:t>
            </w: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1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4</w:t>
            </w:r>
          </w:p>
        </w:tc>
        <w:tc>
          <w:tcPr>
            <w:tcW w:w="0" w:type="dxa"/>
            <w:vAlign w:val="bottom"/>
          </w:tcPr>
          <w:p>
            <w:pPr>
              <w:spacing w:after="0"/>
              <w:rPr>
                <w:sz w:val="1"/>
                <w:szCs w:val="1"/>
                <w:color w:val="auto"/>
              </w:rPr>
            </w:pPr>
          </w:p>
        </w:tc>
      </w:tr>
      <w:tr>
        <w:trPr>
          <w:trHeight w:val="178"/>
        </w:trPr>
        <w:tc>
          <w:tcPr>
            <w:tcW w:w="19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May, 1 2024 to May 31,</w:t>
            </w:r>
          </w:p>
        </w:tc>
        <w:tc>
          <w:tcPr>
            <w:tcW w:w="16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380,753</w:t>
            </w:r>
          </w:p>
        </w:tc>
        <w:tc>
          <w:tcPr>
            <w:tcW w:w="0" w:type="dxa"/>
            <w:vAlign w:val="bottom"/>
          </w:tcPr>
          <w:p>
            <w:pPr>
              <w:spacing w:after="0"/>
              <w:rPr>
                <w:sz w:val="1"/>
                <w:szCs w:val="1"/>
                <w:color w:val="auto"/>
              </w:rPr>
            </w:pPr>
          </w:p>
        </w:tc>
      </w:tr>
      <w:tr>
        <w:trPr>
          <w:trHeight w:val="184"/>
        </w:trPr>
        <w:tc>
          <w:tcPr>
            <w:tcW w:w="2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1, 2024 to June 30,</w:t>
            </w: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$75.99</w:t>
            </w:r>
          </w:p>
        </w:tc>
        <w:tc>
          <w:tcPr>
            <w:tcW w:w="200" w:type="dxa"/>
            <w:vAlign w:val="bottom"/>
          </w:tcPr>
          <w:p>
            <w:pPr>
              <w:spacing w:after="0"/>
              <w:rPr>
                <w:sz w:val="20"/>
                <w:szCs w:val="20"/>
                <w:color w:val="auto"/>
              </w:rPr>
            </w:pP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380,204</w:t>
            </w:r>
          </w:p>
        </w:tc>
        <w:tc>
          <w:tcPr>
            <w:tcW w:w="0" w:type="dxa"/>
            <w:vAlign w:val="bottom"/>
          </w:tcPr>
          <w:p>
            <w:pPr>
              <w:spacing w:after="0"/>
              <w:rPr>
                <w:sz w:val="1"/>
                <w:szCs w:val="1"/>
                <w:color w:val="auto"/>
              </w:rPr>
            </w:pPr>
          </w:p>
        </w:tc>
      </w:tr>
      <w:tr>
        <w:trPr>
          <w:trHeight w:val="184"/>
        </w:trPr>
        <w:tc>
          <w:tcPr>
            <w:tcW w:w="20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July 1, 2024 to July 31,</w:t>
            </w:r>
          </w:p>
        </w:tc>
        <w:tc>
          <w:tcPr>
            <w:tcW w:w="2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$62.29</w:t>
            </w:r>
          </w:p>
        </w:tc>
        <w:tc>
          <w:tcPr>
            <w:tcW w:w="20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379,925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8"/>
        <w:spacing w:after="0" w:line="241" w:lineRule="auto"/>
        <w:tabs>
          <w:tab w:leader="none" w:pos="1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Our Board of Directors authorized the repurchase of 300,000 shares of Class B Stock on March 21, 2018, however, there have been no repurchases of Class B Stock for the three months ended July 31, 2024 and the authorized Class B Stock is not included in the table above. 262,092 shares of Class B Stock remain authorized for repurchases as of July 31, 2024. No shares of our Class A Common Stock are currently outstanding. Descriptions of our Common Stock, Class B Stock and Class A Common Stock are contained in Exhibit 4.1 of this Annual Report on Form 10-K for the fiscal year ended July 31, 2024.</w:t>
      </w:r>
    </w:p>
    <w:p>
      <w:pPr>
        <w:spacing w:after="0" w:line="226" w:lineRule="exact"/>
        <w:rPr>
          <w:sz w:val="20"/>
          <w:szCs w:val="20"/>
          <w:color w:val="auto"/>
        </w:rPr>
      </w:pPr>
    </w:p>
    <w:p>
      <w:pPr>
        <w:ind w:firstLine="8"/>
        <w:spacing w:after="0" w:line="229" w:lineRule="auto"/>
        <w:tabs>
          <w:tab w:leader="none" w:pos="8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figures in the table reflect transactions according to the settlement dates. For purposes of our consolidated financial statements included in this Form 10-K, the impact of these repurchases is recorded according to the settlement dates.</w:t>
      </w:r>
    </w:p>
    <w:p>
      <w:pPr>
        <w:spacing w:after="0" w:line="195" w:lineRule="exact"/>
        <w:rPr>
          <w:sz w:val="20"/>
          <w:szCs w:val="20"/>
          <w:color w:val="auto"/>
        </w:rPr>
      </w:pPr>
    </w:p>
    <w:p>
      <w:pPr>
        <w:ind w:left="100" w:hanging="92"/>
        <w:spacing w:after="0"/>
        <w:tabs>
          <w:tab w:leader="none" w:pos="1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shares of Common Stock were surrendered by employees to pay taxes related to restricted stock awards.</w:t>
      </w:r>
    </w:p>
    <w:p>
      <w:pPr>
        <w:spacing w:after="0" w:line="225" w:lineRule="exact"/>
        <w:rPr>
          <w:sz w:val="20"/>
          <w:szCs w:val="20"/>
          <w:color w:val="auto"/>
        </w:rPr>
      </w:pPr>
    </w:p>
    <w:p>
      <w:pPr>
        <w:jc w:val="both"/>
        <w:ind w:firstLine="8"/>
        <w:spacing w:after="0" w:line="239" w:lineRule="auto"/>
        <w:tabs>
          <w:tab w:leader="none" w:pos="115"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Board of Directors authorized the repurchase of 750,000 shares on March 11, 2019. These authorizations do not have a stated expiration date. The share numbers in this column indicate the number of shares of Common Stock that may yet be repurchased under these authorizations. Repurchases may be made on the open market (pursuant to Rule 10b5-1 plans or otherwise) or in negotiated transactions. The timing and number of shares repurchased will be determined by our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w:t>
      </w:r>
    </w:p>
    <w:p>
      <w:pPr>
        <w:sectPr>
          <w:pgSz w:w="11900" w:h="16838" w:orient="portrait"/>
          <w:cols w:equalWidth="0" w:num="1">
            <w:col w:w="11240"/>
          </w:cols>
          <w:pgMar w:left="320" w:top="887"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7 – MANAGEMENT’S DISCUSSION AND ANALYSIS OF FINANCIAL CONDITION AND RESULTS OF OPERATIONS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and the Business to Business Products Group. Each operating segment is discussed individually below. Additional detailed descriptions of the operating segments are included in Item 1 “Business”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p>
    <w:p>
      <w:pPr>
        <w:spacing w:after="0" w:line="2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Oil-Dri experienced another record-breaking year with consolidated net sales, gross profit and net income reaching an all-time high. Record revenues were achieved across both operating segments driven primarily by cat litter sales within the Retail and Wholesale Product Group segment and fluid purification product sales in our Business to Business Product Group segment. Within the Retail and Wholesale group growth from our existing products due to higher prices was further supplemented with the acquisition of Ultra Pet in the fourth quarter and the sales of silica-gel crystal cat litter. Within the Business to Business Products Group, revenue growth was driven by higher prices coupled with increased volumes of our fluid purification products. Despite higher per ton cost of goods sold and SG&amp;A expenses our gross margin and consolidated income from operations increased in fiscal year 2024 when compared to fiscal year 2023.</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Consolidated net income for fiscal year 2024 was $39.4 million, or $5.43 per diluted common share, a 33% increase compared to $29.6 million, or $4.13 per diluted common share in fiscal year 2023. Driven primarily by the increase in operating income as well as fewer non-recurring transactions when compared to fiscal year 2023, offset by higher tax expense. Fiscal year 2023 was impacted by the $2.5 million reserve for the Georgia landfill modification costs and the $4.7 million charge in connection with the termination of the Company's pension plan. Refer to Notes 9 and 12 of the Consolidated Financial Statements for additional details.</w:t>
      </w:r>
    </w:p>
    <w:p>
      <w:pPr>
        <w:spacing w:after="0" w:line="21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Consolidated Balance Sheets as of July 31, 2024, and our Consolidated Statements of Cash Flows for the fiscal year 2024 show an decrease in total cash and cash equivalents from fiscal year-end 2023. The decrease is mainly due to cash used in the acquisition of Ultra Pet, net of cash proceeds for financing the acquisition, and capital expenditures, off-set by improved net income. Refer to the "Liquidity and Capital Resources" section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ESULTS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EAR</w:t>
      </w:r>
      <w:r>
        <w:rPr>
          <w:rFonts w:ascii="Times New Roman" w:cs="Times New Roman" w:eastAsia="Times New Roman" w:hAnsi="Times New Roman"/>
          <w:sz w:val="18"/>
          <w:szCs w:val="18"/>
          <w:b w:val="1"/>
          <w:bCs w:val="1"/>
          <w:color w:val="auto"/>
        </w:rPr>
        <w:t xml:space="preserve"> 2024 C</w:t>
      </w:r>
      <w:r>
        <w:rPr>
          <w:rFonts w:ascii="Times New Roman" w:cs="Times New Roman" w:eastAsia="Times New Roman" w:hAnsi="Times New Roman"/>
          <w:sz w:val="14"/>
          <w:szCs w:val="14"/>
          <w:b w:val="1"/>
          <w:bCs w:val="1"/>
          <w:color w:val="auto"/>
        </w:rPr>
        <w:t>OMPARED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EAR</w:t>
      </w:r>
      <w:r>
        <w:rPr>
          <w:rFonts w:ascii="Times New Roman" w:cs="Times New Roman" w:eastAsia="Times New Roman" w:hAnsi="Times New Roman"/>
          <w:sz w:val="18"/>
          <w:szCs w:val="18"/>
          <w:b w:val="1"/>
          <w:bCs w:val="1"/>
          <w:color w:val="auto"/>
        </w:rPr>
        <w:t xml:space="preserve"> 2023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Consolidated net sales in fiscal year 2024 reached an all-time high of $437.6 million, a 6% increase from net sales of $413.0 million in fiscal year 2023. Net sales increased for both our Retail and Wholesale and Business to Business Products Groups, primarily due to higher price increases implemented across both product groups, stronger sales volumes of fluid purification products, and new business from the Ultra Pet acquisition.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Consolidated gross profit in fiscal year 2024 was $125.1 million, an increase of $21.9 million, or 21%, from gross profit of $103.2 million in the prior fiscal year. Our gross margin (defined as gross profit as a percentage of net sales) in fiscal year 2024 increased to 29% from 25% in fiscal year 2023. Our domestic cost of goods sold per ton increased 6%, driven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primarily by per ton increases in non-fuel manufacturing and freight, offset by lower per ton natural gas and packaging costs. Non-fuel manufacturing costs per ton increased 8% during fiscal year 2024 compared to fiscal year 2023, mainly due to higher per ton costs of labor and depreciation. Domestic freight costs per ton increased approximately 10% in fiscal year 2024 compared to fiscal year 2023, driven primarily by the impact of a significant customer in our cat litter business that altered shipping terms in January 2023 from collect to delivered as well as the higher per ton freight cost of our crystal cat litter products. Excluding the impact of these two factors, per ton domestic freight costs would have remained flat year over year. Ocean freight costs have also decreased due to both lower rates and export fees. However, our overall freight costs can vary between periods depending on the mix of products sold and the geographic distribution of our customers. Per ton cost of natural gas decreased 28% in fiscal year 2024 compared to fiscal year 2023 due to natural gas prices. Packaging costs per ton decreased by approximately 1% in fiscal year 2024 compared to fiscal year 2023 due to lower commodity costs, particularly as it relates to resin and pallet costs. Many of our contracts for packaging purchases are subject to periodic price adjustments, which trail changes in underlying commodity prices.</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selling, general and administrative expenses ("SG&amp;A") increased 18% in fiscal year 2024 compared to fiscal year 2023. Unallocated corporate expenses increased by $7.3 million, or 24%, driven by mainly by higher anticipated compensation costs including increased performance-based incentives and acquisition and integration related expenses incurred in the current year. Additional expenses related to the integration of Ultra Pet are expected to be incurred in the first quarter of fiscal year 2025. The discussion of the segments' operating incomes below describes the changes in SG&amp;A expenses that were allocated to the operating segments.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other expenses, net were $2.0 million for fiscal year 2024, down $4.4 million compared to $6.4 million in fiscal year 2023. This was mostly driven by higher non-recurring transactions in fiscal year 2023 due to the $4.7 million loss on pension termination and the $2.5 million reserve recorded for anticipated landfill capacity modification costs, offset by higher foreign exchange losses in fiscal year 2024.</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Tax expense for fiscal year 2024 was $10.2 million with an effective tax rate of 21% compared to $5.2 million with an effective tax rate of 15% in fiscal year 2023. The increase in tax expense was driven by higher book income. See Note 6 of the Notes to the Consolidated Financial Statements for additional information about our income taxes.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sales of the Business to Business Products Group for fiscal year 2024 were $150.5 million, an increase of $8.1 million, or 6%, from net sales of $142.4 million in fiscal year 2023, driven by sales of our fluid purification products. Net sales of fluids purification products increased approximately $14.8 million or 19% in fiscal year 2024 compared with the prior year. The increase was primarily driven by new customers in the renewable diesel business in North America, as well as continued demand for our products used in the filtration of edible oil and jet-fuel, and to a lesser extent higher prices. Net sales increased in North America, our subsidiary in the UK, the Asia and the Europe, Middle East and Africa ("EMEA") regions, partially offset by a decrease in Latin America. Net sales of our animal health and nutrition products remained flat in fiscal year 2024 compared to the fiscal year 2023. Higher net sales in Latin America and North America were offset by softer sales in Asia and by our subsidiary in Mexico. Latin America sales grew due to stronger demand while North American sales rose due to a combination of higher prices and favorable mix. Net sales of our agricultural and horticultural chemical carrier products decreased approximately $6.7 million, or 17%, for fiscal year 2024 compared to fiscal year 2023 as a result of softer volumes offset partially by higher prices. This decline in volume was primarily due to reduced demand from a key customer that was still working through inventory from last year. See “Foreign Operations” below for a discussion of net sales for our foreign operations that sell our fluid purification and animal health and nutrition products.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SG&amp;A expenses for the Business to Business Products Group increased approximately $0.3 million, or 2%, for fiscal year 2024 compared to the prior fiscal year. The majority of the increase relates to higher compensation related expenses and research and development costs, offset by a reduction in technical service support costs from the research and development center and Microbiology Lab.</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fiscal year 2024 was $45.6 million, an increase of $7.9 million, or 21%, from operating income of $37.7 million for fiscal year 2023. The increase in operating income was mostly driven by higher net sales of our fluid purification products as discussed above.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sales of the Retail and Wholesale Products Group for fiscal year 2024 were $287.1 million, an increase of $16.5 million, or 6%, from net sales of $270.6 million in fiscal year 2023 driven by increases of both our cat litter and industrial and sport products. Total cat litter net sales increased $15.5 million, or 7%, compared to the prior fiscal year driven mostly by higher prices. Domestic cat litter net sales were $212.8 million, an increase of $16.4 million from fiscal year 2023 due primarily to higher prices and the incremental sales of crystal cat litter in the fourth quarter. This was supplemented by increases in organic volume growth of both our branded lightweight and branded coarse litters offset by softer volumes of our private label clay-based offerings. Net sales of co-packaged products decreased by approximately $0.7 million compared to fiscal year 2023, mainly due to softer volumes which were partially driven by the cyberattack on one of our customers in the first quarter of fiscal year 2024. Net sales of our global industrial and sports products increased by approximately $0.9 million, or 2%, compared to fiscal year 2023, primarily driven by higher prices implemented to continue to rebuild margins. Net sales by our subsidiary in Canada increased period over period, as discussed in "Foreign Operations" below.</w:t>
      </w:r>
    </w:p>
    <w:p>
      <w:pPr>
        <w:spacing w:after="0" w:line="21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were $3.5 million, or 21%, higher during fiscal year 2024 compared to fiscal year 2023 due primarily to higher advertising costs, compensation, and the amortization of the customer list acquired through the purchase of Ultra Pet. Advertising spend is expected to be lower in fiscal year 2025 compared to fiscal year 2024.</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Retail and Wholesale Products Group’s segment operating income for fiscal year 2024 was $43.8 million, an increase of $10.0 million or 30%, from operating income of $33.8 million in fiscal year 2023. This was driven primarily by the increase in gross margins due to higher price on existing products and incremental sales of crystal cat litter, partially offset by higher cost of goods sold.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SUBSIDIARIES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Foreign operations include our subsidiary in Canada and Netherlands, which is included in the Retail and Wholesale Products Group, and our subsidiaries in the United Kingdom, China, Mexico and Indonesia, which are included in the Business to Business Products Group. Net sales by our foreign subsidiaries during fiscal year 2024 were $21.0 million, a decrease of $1.1 million, or 5%, from net sales of $22.1 million during fiscal year 2023. The decrease in net sales was driven mainly by our subsidiaries in China, Mexico, and Indonesia, offset by increases in UK and Canada. Net sales of our subsidiary in China decreased $1.0 million, or 38%, during fiscal year 2024 compared to fiscal year 2023 primarily due to the sale of all existing inventory to the new master distributor, which occurred in the first quarter of fiscal year 2024. Beginning January 2023, sales to China went directly through the Company and not through our subsidiary in China. Net sales of our subsidiary in Mexico decreased $0.8 million, or 32% during fiscal year 2024 compared to fiscal year 2023. Net sales of our subsidiary in the United Kingdom in fiscal year 2024 increased by $0.7 million, or 26%, compared to net sales in fiscal year 2023. The increase is driven by an increase in both volume and prices. Total net sales of our subsidiary in Canada during fiscal year 2024 increased by $0.2 million, or 1%, compared to fiscal year 2023, driven by higher prices in our industrial product sales offset by softer cat litter sales. Net sales by our foreign subsidiaries represented 5% of our consolidated net sales in fiscal years 2024 and 2023.</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fiscal year 2024, our foreign subsidiaries reported a pre-tax net income of $0.7 million, compared to $1.0 million in fiscal year 2023. The decrease in 2024 was mainly driven by lower sales in China as we moved to selling to a master distributor directly through the Company and not through our subsidiary, offset by higher income in Canada and the UK as discussed above.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Identifiable assets of our foreign subsidiaries as of July 31, 2024, were $8.7 million compared to $14.6 million as of July 31,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IQUIDITY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short and long-term capital requirements include: funding working capital needs; purchasing and upgrading equipment, facilities, information systems, and real estate; supporting new product development; spending on marketing and advertising costs; investing in infrastructure; repurchasing stock; paying dividends; and, from time to time, business acquisitions. During fiscal year 2024, we principally funded these short and long-term capital requirements using cash from current operations and additional debt to fund a portion of the acquisition of Ultra Pet.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totaled $23.5 million and $31.8 million as of July 31, 2024 and 2023,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both"/>
        <w:ind w:firstLine="179"/>
        <w:spacing w:after="0" w:line="266" w:lineRule="auto"/>
        <w:rPr>
          <w:sz w:val="20"/>
          <w:szCs w:val="20"/>
          <w:color w:val="auto"/>
        </w:rPr>
      </w:pPr>
      <w:r>
        <w:rPr>
          <w:rFonts w:ascii="Times New Roman" w:cs="Times New Roman" w:eastAsia="Times New Roman" w:hAnsi="Times New Roman"/>
          <w:sz w:val="18"/>
          <w:szCs w:val="18"/>
          <w:color w:val="auto"/>
        </w:rPr>
        <w:t>We currently anticipate cash flows from operations and our available sources of liquidity will be sufficient to meet our cash requirements. In addition, we are actively monitoring the timing and collection of our accounts receivable. Given the current inflationary environment and impacts of supply chain disruption on our business, we continuously assess our liquidity needs and to actively manage our spending.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elements of our Consolidated Statements of Cash Flows for the fiscal year (in thousands):</w:t>
      </w:r>
    </w:p>
    <w:p>
      <w:pPr>
        <w:spacing w:after="0" w:line="140" w:lineRule="exact"/>
        <w:rPr>
          <w:sz w:val="20"/>
          <w:szCs w:val="20"/>
          <w:color w:val="auto"/>
        </w:rPr>
      </w:pPr>
    </w:p>
    <w:tbl>
      <w:tblPr>
        <w:tblLayout w:type="fixed"/>
        <w:tblInd w:w="166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60,313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49,764</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(24,567)</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15,456</w:t>
            </w: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right="20" w:firstLine="292"/>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 for fiscal year 2024 were as follows: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Excluding the impact of accounts receivable acquired through the purchase of Ultra Pet, accounts receivables, less allowance for credit losses and cash discounts, were $1.5 million lower at fiscal year-end 2024 compared to fiscal year-end 2023. The variation in accounts receivable balances reflects differences in the level and timing of collections as well as the payment terms provided to various customers.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Excluding the impact of inventory acquired through the purchase of Ultra Pet, inventories were $4.7 million higher at fiscal year-end 2024 compared to fiscal year-end 2023. The increase is primarily due to rising costs and building inventory levels to meet expected future demand. During fiscal year 2024 we have continued to manage inventory balances primarily focusing on building finished goods inventory offset by decreases in packaging and other through strategic supply chain management. See Note 1 of the Notes to the Consolidated Financial Statements for further information regarding our inventory.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Excluding the impact of prepaid assets acquired through the purchase of Ultra Pet, prepaid expenses were $2.4 million higher at fiscal year-end 2024 compared to fiscal year-end 2023 driven primarily by an increase in prepaid tax and insurance expenses.</w:t>
      </w:r>
    </w:p>
    <w:p>
      <w:pPr>
        <w:spacing w:after="0" w:line="189" w:lineRule="exact"/>
        <w:rPr>
          <w:sz w:val="20"/>
          <w:szCs w:val="20"/>
          <w:color w:val="auto"/>
        </w:rPr>
      </w:pPr>
    </w:p>
    <w:p>
      <w:pPr>
        <w:jc w:val="both"/>
        <w:ind w:firstLine="203"/>
        <w:spacing w:after="0" w:line="263" w:lineRule="auto"/>
        <w:rPr>
          <w:sz w:val="20"/>
          <w:szCs w:val="20"/>
          <w:color w:val="auto"/>
        </w:rPr>
      </w:pPr>
      <w:r>
        <w:rPr>
          <w:rFonts w:ascii="Times New Roman" w:cs="Times New Roman" w:eastAsia="Times New Roman" w:hAnsi="Times New Roman"/>
          <w:sz w:val="18"/>
          <w:szCs w:val="18"/>
          <w:color w:val="auto"/>
        </w:rPr>
        <w:t>Excluding the impact of accounts payable acquired through the purchase of Ultra Pet, accounts payable were $2.8 million lower at fiscal year-end 2024 compared to fiscal year-end 2023. The decrease is due to higher trade payables mainly due to timing. Changes in trade accounts payable in all periods are subject to normal fluctuations in the timing of payments, the cost of goods and services we purchased, production volume levels and vendor payment terms.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Excluding the impact of accrued expenses acquired through the purchase of Ultra Pet, accrued expenses were $2.4 million higher at fiscal year-end 2024 compared to fiscal year-end 2023. The increase in accrued expenses during the fiscal year 2024 was driven by higher compensation-related expenses, higher advertising expense accruals, and accrued payables.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$76.1 million in fiscal year 2024. Cash used in investing activities primarily related to the acquisition of Ultra Pet and capital expenditures to expand our plant equipment and improve our facilities in order to support increased demand for our products.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Cash provided by financing activities was $8.3 million in fiscal year 2024, which was driven by a $10 million advance under the Credit Agreement, and the issuance of $10 million in aggregate principal amount Series D Senior Notes. This increase in cash was offset by payments for dividends, stock repurchases and debt repayments. See Note </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auto"/>
        </w:rPr>
        <w:t xml:space="preserve"> of the Notes to the Consolidated Financial Statements for further information regarding debt.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cash and investment balances held by our foreign subsidiaries as of July 31, 2024 and 2023 were $4.5 and $5.2 million, respectively. See further discussion in the “Foreign Operations” section above.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July 31, 2024, we had remaining authority to repurchase 379,925 shares of Common Stock and 262,092 shares of Class B Stock under a repurchase plan approved by our Board of Directors. Repurchases may be made on the open market (pursuant to Rule 10b5-1 plans or otherwise) or in negotiated transactions. The timing and number of shares repurchased will be determined by our management pursuant to the repurchase plan approved by our Board of Directors. In fiscal years 2024 and 2023, we made repurchases of stock as further discussed in Item 5 "Market for Registrant's Common Equity, Related Stockholders Matters and Issuer Purchases of Equity Securities."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revolving credit facility, current cash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 As of July 31, 2024 and 2023, we were in compliance with all debt covenants.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FF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ALANCE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HEET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RRANGEMENTS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have any unconsolidated special purpose entities. As of July 31, 2024,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RITICAL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STIMATES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are based upon our Consolidated Financial Statements, which have been prepared in accordance with the generally accepted accounting principles of the United States (“U.S. GAAP”). We review our financial reporting and disclosure practices and accounting policies annually to ensure that our financial reporting and disclosures provide accurate and transparent information relative to the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U.S. GAAP requires management to make estimates and assumptions that affect the reported amounts of assets and liabilities, as well as the reported amounts of revenues and expenses during the reporting period. Significant estimates include income taxes, promotional programs, pension accounting and allowance for credit losses. Actual results could differ from these estimates.</w:t>
      </w:r>
    </w:p>
    <w:p>
      <w:pPr>
        <w:spacing w:after="0" w:line="14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on earnings was based on income, statutory tax rates and tax planning opportunities available to us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in which we operate. Significant judgment was required in determining our effective tax rate and in evaluating our tax positions.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determine our current and deferred taxes in accordance with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valuation allowances of $2.5 million and $1.7 million for the amount of the deferred tax benefit related to our foreign net operating loss carryforwards and certain state net operating loss carryforwards as of July 31, 2024 and 2023, respectively, because we believe it is unlikely we will realize the benefit of these tax attributes in the future.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2024 or 2023. See Note 6 of the Notes to the Consolidated Financial Statements for further discussion.</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Trade Promotions. </w:t>
      </w:r>
      <w:r>
        <w:rPr>
          <w:rFonts w:ascii="Times New Roman" w:cs="Times New Roman" w:eastAsia="Times New Roman" w:hAnsi="Times New Roman"/>
          <w:sz w:val="18"/>
          <w:szCs w:val="18"/>
          <w:color w:val="auto"/>
        </w:rPr>
        <w:t>We routinely commit to one-time or ongoing trade promotion programs in our Retail and Wholesale Products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$2.7 million and $2.3 million for trade promotions as of July 31, 2024 and 2023, respectively.</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Benefit Costs. </w:t>
      </w:r>
      <w:r>
        <w:rPr>
          <w:rFonts w:ascii="Times New Roman" w:cs="Times New Roman" w:eastAsia="Times New Roman" w:hAnsi="Times New Roman"/>
          <w:sz w:val="18"/>
          <w:szCs w:val="18"/>
          <w:color w:val="auto"/>
        </w:rPr>
        <w:t>We calculate our pension and postretirement health benefit obligations and the related effects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both fiscal years 2024 and 2023 was the FTSE Pension Discount Curve (formerly called the Citi Pension Discount Curve).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9 of the Notes to the Consolidated Financial Statements for additional information.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further described in Note 9 of the Notes to the Consolidated Financial Statements, we terminated the pension plan in fiscal year 2023.</w:t>
      </w:r>
    </w:p>
    <w:p>
      <w:pPr>
        <w:spacing w:after="0" w:line="24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control of finished products are transferred to our customers. We record an allowance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credit losses based on our expectations and a periodic review of our accounts receivable, including a review of the overall aging of accounts, consideration of customer credit risk and analysis of facts and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believe our allowance for credit losses is reasonable; however, the unanticipated default by a customer with a material trade receivable could occur. We also record an estimated allowance for cash discounts offered in our payment terms to some customers. We recorded a total allowance for credit losses and cash discounts of $0.9 million and $1.1 million as of July 31, 2024 and 2023, respectively.</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09" w:lineRule="exact"/>
        <w:rPr>
          <w:sz w:val="20"/>
          <w:szCs w:val="20"/>
          <w:color w:val="auto"/>
        </w:rPr>
      </w:pPr>
    </w:p>
    <w:p>
      <w:pPr>
        <w:jc w:val="both"/>
        <w:ind w:firstLine="3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We value inventories at the lower of cost (first-in, first-out) or net realizable value. Inventory costs include the cost of raw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packaging supplies, labor and other overhead costs. We perform a detailed review of our inventory to determine if a reserve adjustment is necessary, giving consideration to obsolescence, inventory levels, product deterioration and other factors. The review also surveys all of our operating facilities and sales divisions to give consideration to historic and new market trends. The inventory reserve value was $3.8 million as of July 31, 2024 and $3.6 million as of July 31, 2023.</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Reclamation. </w:t>
      </w:r>
      <w:r>
        <w:rPr>
          <w:rFonts w:ascii="Times New Roman" w:cs="Times New Roman" w:eastAsia="Times New Roman" w:hAnsi="Times New Roman"/>
          <w:sz w:val="18"/>
          <w:szCs w:val="18"/>
          <w:color w:val="auto"/>
        </w:rPr>
        <w:t>During the normal course of our mining process we remove overburden and perform on-going reclamation activities.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overburden is 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We have recorded an estimated net reclamation asset of $2.2 million, as of both July 31, 2024 and 2023, and a corresponding estimated reclamation liability of $4.8 million as of July 31, 2024 and $4.5 million as of July 31, 2023. These values represent the discounted present value of the estimated future mining reclamation and landfill closure and monitoring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trademarks and other intangible assets. </w:t>
      </w:r>
      <w:r>
        <w:rPr>
          <w:rFonts w:ascii="Times New Roman" w:cs="Times New Roman" w:eastAsia="Times New Roman" w:hAnsi="Times New Roman"/>
          <w:sz w:val="18"/>
          <w:szCs w:val="18"/>
          <w:color w:val="auto"/>
        </w:rPr>
        <w:t>We review carrying values of goodwill, trademarks and other indefinite-lived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intangible assets periodically for possible impairment in accordance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Our impairment review requires significant judgment with respect to factors such as volume, revenue and expenses. Impairment occurs when the carrying value exceeds the fair value. Our impairment analysis is performed in the third quarter of the fiscal year and may be re-performed during the year when indicators such as unexpected adverse economic factors, unanticipated technological changes, competitive activities and acts by governments and courts indicate that an asset may become impaired. No such triggering events or impairment of goodwill was identified in fiscal year 2024 however this could change in the future, as outlined under Item 1A "Risk Factors."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Valuation of acquired goodwill and intangible assets. </w:t>
      </w:r>
      <w:r>
        <w:rPr>
          <w:rFonts w:ascii="Times New Roman" w:cs="Times New Roman" w:eastAsia="Times New Roman" w:hAnsi="Times New Roman"/>
          <w:sz w:val="18"/>
          <w:szCs w:val="18"/>
          <w:color w:val="auto"/>
        </w:rPr>
        <w:t>We account for business combinations using the acquisition method of accounting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identifiable assets acquired and liabilities assumed are recorded at their fair values on the date of acquisition. The difference in the fair value of consideration transferred over the fair values of the assets and liabilities is recorded as goodwill. We make significant estimates and assumptions when determining the fair values of assets and liabilities obtained through a business combination, especially regarding intangible assets. We utilize various approaches to establish the fair value of intangible assets acquired. The Company believes its estimates of the fair value of intangible assets to be reasonable. However, actual financial results may differ from the estimates because of the inherent uncertainty involved.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are currently evaluating the impact that the adoption of this guidance will have on our disclosures.</w:t>
      </w:r>
    </w:p>
    <w:p>
      <w:pPr>
        <w:spacing w:after="0" w:line="1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These amendments primarily require enhanced disclosures about significant segment expenses regularly provided to the chief operating decision maker and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We are currently evaluating the impact that the adoption of this guidance will have on our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new accounting pronouncements adopted in the period.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 FINANCIAL STATEMENTS AND SUPPLEMENTARY DATA</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834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34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23,481</w:t>
            </w:r>
          </w:p>
        </w:tc>
        <w:tc>
          <w:tcPr>
            <w:tcW w:w="4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receivable, less allowance of $934 and $1,087</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62,171</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 2024 and 2023, respectively</w:t>
            </w: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54,236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7,270</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147,158</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13,550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41,648</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192,788</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22,530</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Vehicles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24,617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Mining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parts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7,488</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(195,765)</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137,796</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15,443</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Trademarks, trade names and patents, net of accumulated amortization</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6,662</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 $625 and $578 in 2024 and 2023, respectively</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Customer list, net of accumulated amortization</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20,036</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of $8,149 and $7,763 in 2024 and 2023, respectively</w:t>
            </w: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18,667</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7,306</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69,651</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354,605</w:t>
            </w:r>
          </w:p>
        </w:tc>
        <w:tc>
          <w:tcPr>
            <w:tcW w:w="4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center"/>
              <w:ind w:left="2790"/>
              <w:spacing w:after="0"/>
              <w:rPr>
                <w:sz w:val="20"/>
                <w:szCs w:val="20"/>
                <w:color w:val="auto"/>
              </w:rPr>
            </w:pPr>
            <w:r>
              <w:rPr>
                <w:rFonts w:ascii="Times New Roman" w:cs="Times New Roman" w:eastAsia="Times New Roman" w:hAnsi="Times New Roman"/>
                <w:sz w:val="18"/>
                <w:szCs w:val="18"/>
                <w:color w:val="auto"/>
                <w:w w:val="99"/>
              </w:rPr>
              <w:t>42</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83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15,009</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4,556</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44,016</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66,677</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net of unamortized debt issuance costs of $226 and $173 in 2024 and 2023, respectively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49,774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15,391</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6,508</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77,340</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144,017</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par value $.10 per share, issued 8,843,673 shares in 2024 and 8,750,223 shares in 2023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B Stock, convertible, par value $.10 per share, issued 2,518,056 shares in 2024 and 2,397,056 shares in</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60,877</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232,247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834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Less treasury stock, at cost (3,702,185 Common and 362,649 Class B shares in 2024 and 3,658,989</w:t>
            </w: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(84,441)</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Common and 351,641 Class B shares in 2023)</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210,588</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354,605</w:t>
            </w:r>
          </w:p>
        </w:tc>
        <w:tc>
          <w:tcPr>
            <w:tcW w:w="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380" w:type="dxa"/>
            <w:vAlign w:val="bottom"/>
            <w:gridSpan w:val="2"/>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3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380" w:type="dxa"/>
            <w:vAlign w:val="bottom"/>
            <w:gridSpan w:val="2"/>
          </w:tcPr>
          <w:p>
            <w:pPr>
              <w:jc w:val="right"/>
              <w:ind w:right="257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65"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69"/>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4"/>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 thousands, except for per share</w:t>
            </w:r>
          </w:p>
        </w:tc>
        <w:tc>
          <w:tcPr>
            <w:tcW w:w="0" w:type="dxa"/>
            <w:vAlign w:val="bottom"/>
          </w:tcPr>
          <w:p>
            <w:pPr>
              <w:spacing w:after="0"/>
              <w:rPr>
                <w:sz w:val="1"/>
                <w:szCs w:val="1"/>
                <w:color w:val="auto"/>
              </w:rPr>
            </w:pPr>
          </w:p>
        </w:tc>
      </w:tr>
      <w:tr>
        <w:trPr>
          <w:trHeight w:val="238"/>
        </w:trPr>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437,587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413,021</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(312,493)</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(309,794)</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125,094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103,227</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(73,449)</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(62,187)</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51,645</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41,040</w:t>
            </w: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30"/>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pension termination</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29"/>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49,651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34,678</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(10,225)</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39,426</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39,426</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0" w:type="dxa"/>
            <w:vAlign w:val="bottom"/>
          </w:tcPr>
          <w:p>
            <w:pPr>
              <w:spacing w:after="0"/>
              <w:rPr>
                <w:sz w:val="1"/>
                <w:szCs w:val="1"/>
                <w:color w:val="auto"/>
              </w:rPr>
            </w:pPr>
          </w:p>
        </w:tc>
      </w:tr>
      <w:tr>
        <w:trPr>
          <w:trHeight w:val="304"/>
        </w:trPr>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Common Stock</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Class B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Diluted Common Stock</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5.43</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4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 Class B Stock</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4.40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Common Stock</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Basic Class B Stock</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1,976</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Common Stock</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 Class B Stock</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1,976</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B Stock</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0.887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0.848</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887" w:right="1099" w:bottom="1440" w:gutter="0" w:footer="0" w:header="0"/>
        </w:sectPr>
      </w:pPr>
    </w:p>
    <w:bookmarkStart w:id="44" w:name="page45"/>
    <w:bookmarkEnd w:id="44"/>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65"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Ended July 31,</w:t>
            </w:r>
          </w:p>
        </w:tc>
      </w:tr>
      <w:tr>
        <w:trPr>
          <w:trHeight w:val="223"/>
        </w:trPr>
        <w:tc>
          <w:tcPr>
            <w:tcW w:w="6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2"/>
        </w:trPr>
        <w:tc>
          <w:tcPr>
            <w:tcW w:w="6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20"/>
                <w:szCs w:val="20"/>
                <w:color w:val="auto"/>
              </w:rPr>
            </w:pPr>
          </w:p>
        </w:tc>
      </w:tr>
      <w:tr>
        <w:trPr>
          <w:trHeight w:val="140"/>
        </w:trPr>
        <w:tc>
          <w:tcPr>
            <w:tcW w:w="6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29,551</w:t>
            </w:r>
          </w:p>
        </w:tc>
      </w:tr>
      <w:tr>
        <w:trPr>
          <w:trHeight w:val="270"/>
        </w:trPr>
        <w:tc>
          <w:tcPr>
            <w:tcW w:w="6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 net of tax</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r>
      <w:tr>
        <w:trPr>
          <w:trHeight w:val="230"/>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3"/>
        </w:trPr>
        <w:tc>
          <w:tcPr>
            <w:tcW w:w="6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39,447</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887" w:right="1099" w:bottom="1440" w:gutter="0" w:footer="0" w:header="0"/>
        </w:sectPr>
      </w:pPr>
    </w:p>
    <w:bookmarkStart w:id="45" w:name="page46"/>
    <w:bookmarkEnd w:id="4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18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980" w:type="dxa"/>
            <w:vAlign w:val="bottom"/>
          </w:tcPr>
          <w:p>
            <w:pPr>
              <w:spacing w:after="0"/>
              <w:rPr>
                <w:sz w:val="11"/>
                <w:szCs w:val="11"/>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1"/>
                <w:szCs w:val="11"/>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&amp; Class B</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&amp; Class B</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1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July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11,083,824</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(3,961,579)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1,108</w:t>
            </w: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52,467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178,754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(79,428)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150,349</w:t>
            </w:r>
          </w:p>
        </w:tc>
        <w:tc>
          <w:tcPr>
            <w:tcW w:w="0" w:type="dxa"/>
            <w:vAlign w:val="bottom"/>
          </w:tcPr>
          <w:p>
            <w:pPr>
              <w:spacing w:after="0"/>
              <w:rPr>
                <w:sz w:val="1"/>
                <w:szCs w:val="1"/>
                <w:color w:val="auto"/>
              </w:rPr>
            </w:pPr>
          </w:p>
        </w:tc>
      </w:tr>
      <w:tr>
        <w:trPr>
          <w:trHeight w:val="195"/>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29,483</w:t>
            </w: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2,931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2,931</w:t>
            </w:r>
          </w:p>
        </w:tc>
        <w:tc>
          <w:tcPr>
            <w:tcW w:w="0" w:type="dxa"/>
            <w:vAlign w:val="bottom"/>
          </w:tcPr>
          <w:p>
            <w:pPr>
              <w:spacing w:after="0"/>
              <w:rPr>
                <w:sz w:val="1"/>
                <w:szCs w:val="1"/>
                <w:color w:val="auto"/>
              </w:rPr>
            </w:pPr>
          </w:p>
        </w:tc>
      </w:tr>
      <w:tr>
        <w:trPr>
          <w:trHeight w:val="195"/>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w:t>
            </w: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Net issuance of stock under long-</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63,455</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7"/>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 incentive plans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restricted stock</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3,147</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Contributions from</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1"/>
                <w:szCs w:val="11"/>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03"/>
        </w:trPr>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9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July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11,147,279</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(4,010,630)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1,115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55,624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200,796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(81,207)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748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177,076</w:t>
            </w:r>
          </w:p>
        </w:tc>
        <w:tc>
          <w:tcPr>
            <w:tcW w:w="0" w:type="dxa"/>
            <w:vAlign w:val="bottom"/>
          </w:tcPr>
          <w:p>
            <w:pPr>
              <w:spacing w:after="0"/>
              <w:rPr>
                <w:sz w:val="1"/>
                <w:szCs w:val="1"/>
                <w:color w:val="auto"/>
              </w:rPr>
            </w:pPr>
          </w:p>
        </w:tc>
      </w:tr>
      <w:tr>
        <w:trPr>
          <w:trHeight w:val="195"/>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39,426</w:t>
            </w: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5"/>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(7,975)</w:t>
            </w: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Net issuance of stock under long-</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214,450</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7"/>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 incentive plans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restricted stock</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4,819</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July 31,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11,361,729</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(4,064,834)</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1,136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60,877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232,247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(84,441)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769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210,588</w:t>
            </w: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80" w:top="887" w:right="559" w:bottom="1440" w:gutter="0" w:footer="0" w:header="0"/>
        </w:sectPr>
      </w:pPr>
    </w:p>
    <w:bookmarkStart w:id="46" w:name="page47"/>
    <w:bookmarkEnd w:id="46"/>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Year-Ended July 31,</w:t>
            </w:r>
          </w:p>
        </w:tc>
      </w:tr>
      <w:tr>
        <w:trPr>
          <w:trHeight w:val="223"/>
        </w:trPr>
        <w:tc>
          <w:tcPr>
            <w:tcW w:w="7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80" w:type="dxa"/>
            <w:vAlign w:val="bottom"/>
            <w:gridSpan w:val="4"/>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39,426</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w:t>
            </w:r>
          </w:p>
        </w:tc>
      </w:tr>
      <w:tr>
        <w:trPr>
          <w:trHeight w:val="229"/>
        </w:trPr>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29"/>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Loss on pension termination</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r>
      <w:tr>
        <w:trPr>
          <w:trHeight w:val="230"/>
        </w:trPr>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Deferred income tax expense (provision)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r>
      <w:tr>
        <w:trPr>
          <w:trHeight w:val="229"/>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(decrease) increase to provision for bad debts and cash discounts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Loss on impairment of patent applications</w:t>
            </w:r>
          </w:p>
        </w:tc>
        <w:tc>
          <w:tcPr>
            <w:tcW w:w="2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Accretion for asset retirement obligation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Loss on impairments and disposals of property, plant and equipment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30"/>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(Increase) decrease 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r>
      <w:tr>
        <w:trPr>
          <w:trHeight w:val="229"/>
        </w:trPr>
        <w:tc>
          <w:tcPr>
            <w:tcW w:w="7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30"/>
        </w:trPr>
        <w:tc>
          <w:tcPr>
            <w:tcW w:w="7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7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7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Increase (decrease) 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r>
      <w:tr>
        <w:trPr>
          <w:trHeight w:val="230"/>
        </w:trPr>
        <w:tc>
          <w:tcPr>
            <w:tcW w:w="7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r>
      <w:tr>
        <w:trPr>
          <w:trHeight w:val="229"/>
        </w:trPr>
        <w:tc>
          <w:tcPr>
            <w:tcW w:w="7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23"/>
        </w:trPr>
        <w:tc>
          <w:tcPr>
            <w:tcW w:w="74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Adjustments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20,887</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20,281</w:t>
            </w:r>
          </w:p>
        </w:tc>
      </w:tr>
      <w:tr>
        <w:trPr>
          <w:trHeight w:val="223"/>
        </w:trPr>
        <w:tc>
          <w:tcPr>
            <w:tcW w:w="74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60,313</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49,764</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(32,000)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(24,368)</w:t>
            </w:r>
          </w:p>
        </w:tc>
      </w:tr>
      <w:tr>
        <w:trPr>
          <w:trHeight w:val="230"/>
        </w:trPr>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Acquisition of business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(44,298)</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Acquisition of equity in Agromex</w:t>
            </w:r>
          </w:p>
        </w:tc>
        <w:tc>
          <w:tcPr>
            <w:tcW w:w="2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7460" w:type="dxa"/>
            <w:vAlign w:val="bottom"/>
            <w:tcBorders>
              <w:top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(76,116)</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(24,567)</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30"/>
        </w:trPr>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3"/>
        </w:trPr>
        <w:tc>
          <w:tcPr>
            <w:tcW w:w="74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8,326</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31,754</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24,481</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887" w:right="1019" w:bottom="1440" w:gutter="0" w:footer="0" w:header="0"/>
        </w:sectPr>
      </w:pPr>
    </w:p>
    <w:bookmarkStart w:id="47" w:name="page48"/>
    <w:bookmarkEnd w:id="47"/>
    <w:tbl>
      <w:tblPr>
        <w:tblLayout w:type="fixed"/>
        <w:tblInd w:w="760" w:type="dxa"/>
        <w:tblCellMar>
          <w:top w:w="0" w:type="dxa"/>
          <w:left w:w="0" w:type="dxa"/>
          <w:bottom w:w="0" w:type="dxa"/>
          <w:right w:w="0" w:type="dxa"/>
        </w:tblCellMar>
      </w:tblPr>
      <w:tr>
        <w:trPr>
          <w:trHeight w:val="238"/>
        </w:trPr>
        <w:tc>
          <w:tcPr>
            <w:tcW w:w="7620" w:type="dxa"/>
            <w:vAlign w:val="bottom"/>
            <w:gridSpan w:val="3"/>
          </w:tcPr>
          <w:p>
            <w:pPr>
              <w:ind w:left="21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 CONTINUED</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37"/>
        </w:trPr>
        <w:tc>
          <w:tcPr>
            <w:tcW w:w="7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Year-Ended July 31,</w:t>
            </w:r>
          </w:p>
        </w:tc>
      </w:tr>
      <w:tr>
        <w:trPr>
          <w:trHeight w:val="223"/>
        </w:trPr>
        <w:tc>
          <w:tcPr>
            <w:tcW w:w="7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2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23,481</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31,754</w:t>
            </w:r>
          </w:p>
        </w:tc>
      </w:tr>
      <w:tr>
        <w:trPr>
          <w:trHeight w:val="229"/>
        </w:trPr>
        <w:tc>
          <w:tcPr>
            <w:tcW w:w="73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Restricted cash in prepaid expenses and other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cash flows: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payments, net of amounts capitalized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1,089</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29"/>
        </w:trPr>
        <w:tc>
          <w:tcPr>
            <w:tcW w:w="7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Income tax payments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10,006</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Capital expenditures accrued, but not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7,892</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r>
      <w:tr>
        <w:trPr>
          <w:trHeight w:val="229"/>
        </w:trPr>
        <w:tc>
          <w:tcPr>
            <w:tcW w:w="7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dividends declared and accrued, but not paid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2,096</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887" w:right="107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ATURE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256"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8"/>
          <w:szCs w:val="18"/>
          <w:color w:val="auto"/>
        </w:rPr>
        <w:t>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pre-treatment of renewable diesel, and for purification of petroleum-based oils. We also sell synthetic sorbents, which are used for industrial cleanup and cat litter.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ONSOLIDATION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Oil-Dri Corporation of America and its subsidiaries. All significant intercompany balances and transactions have been eliminated from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ECLASSIFICATION</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immaterial reclassifications had no effect on the previously reported net income or net cash flows.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ANAGEMENT</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SE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disclosure of contingent assets and liabilities as of the date of the financial statements and the reported amounts of revenues and expenses during the reporting period as well as the related disclosures. Estimates and assumptions about future events cannot be made with certainty. All of our estimates and assumptions are revised periodically. Actual results could differ from these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QUIVALENTS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equivalents are highly liquid investments with maturities of three months or less.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of July 31, 2024 and 2023 reported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that sum to the total of the same such amounts shown in the Consolidated Statement of Cash Flows (in thousands):</w:t>
      </w:r>
    </w:p>
    <w:p>
      <w:pPr>
        <w:spacing w:after="0" w:line="261"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23,481</w:t>
            </w:r>
          </w:p>
        </w:tc>
        <w:tc>
          <w:tcPr>
            <w:tcW w:w="1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31,754</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24,481</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31,754</w:t>
            </w: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RADE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ECEIVABLES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 trade receivables when control of finished products are transferred to our customers. We record an allowance for credit 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 We also include an allowance for expected cash discounts to be taken.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inventories was as follows as of July 31 (in thousands):</w:t>
      </w:r>
    </w:p>
    <w:p>
      <w:pPr>
        <w:spacing w:after="0" w:line="46" w:lineRule="exact"/>
        <w:rPr>
          <w:sz w:val="20"/>
          <w:szCs w:val="20"/>
          <w:color w:val="auto"/>
        </w:rPr>
      </w:pPr>
    </w:p>
    <w:tbl>
      <w:tblPr>
        <w:tblLayout w:type="fixed"/>
        <w:tblInd w:w="300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31,772</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21,943</w:t>
            </w: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6,410</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w:t>
            </w: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54,236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42,612</w:t>
            </w:r>
          </w:p>
        </w:tc>
      </w:tr>
      <w:tr>
        <w:trPr>
          <w:trHeight w:val="21"/>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considers specific items, but also takes into consideration the overall value of the inventory as of the balance sheet date. We recorded inventory reserves of approximately $3.8 million as of July 31, 2024, and $3.6 million as of July 31, 2023. The other category of inventories includes a variety of items including clay, additives, fragrances and other supplies. Spare parts in inventory is recorded net of a valuation reserve based on aging.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RANSLATION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URRENCIES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NTANGIBLES AND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OODWILL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intangible assets are mainly comprised of customer lists, patents, trademarks, trade names and goodwill. We amortize customer lists and patents on a straight-line basis over periods ranging from 18 to 20 years. During fiscal year 2024 we recorded additions of intangible assets of $37.4 million related to the acquisition of Ultra Pet, the components of which are customer list of $20.4 million amortized over a useful life of 18 years, $5.2 million of trade name and $11.8 million of goodwill.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amortization was $0.5 million in fiscal year 2024 and $0.3 million in fiscal year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estimated intangible amortization expense for the next five fiscal years is as follows (in thousands):</w:t>
      </w:r>
    </w:p>
    <w:p>
      <w:pPr>
        <w:spacing w:after="0" w:line="54" w:lineRule="exact"/>
        <w:rPr>
          <w:sz w:val="20"/>
          <w:szCs w:val="20"/>
          <w:color w:val="auto"/>
        </w:rPr>
      </w:pPr>
    </w:p>
    <w:tbl>
      <w:tblPr>
        <w:tblLayout w:type="fixed"/>
        <w:tblInd w:w="4360" w:type="dxa"/>
        <w:tblCellMar>
          <w:top w:w="0" w:type="dxa"/>
          <w:left w:w="0" w:type="dxa"/>
          <w:bottom w:w="0" w:type="dxa"/>
          <w:right w:w="0" w:type="dxa"/>
        </w:tblCellMar>
      </w:tblPr>
      <w:tr>
        <w:trPr>
          <w:trHeight w:val="229"/>
        </w:trPr>
        <w:tc>
          <w:tcPr>
            <w:tcW w:w="1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2025</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2026</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1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2027</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2028</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9"/>
        </w:trPr>
        <w:tc>
          <w:tcPr>
            <w:tcW w:w="1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2029</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bl>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remaining weighted average amortization period of our intangibles subject to amortization is as follows (in years):</w:t>
      </w:r>
    </w:p>
    <w:p>
      <w:pPr>
        <w:spacing w:after="0" w:line="50"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Weighted Average</w:t>
      </w:r>
    </w:p>
    <w:p>
      <w:pPr>
        <w:spacing w:after="0" w:line="2"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Amortization Period</w:t>
      </w:r>
    </w:p>
    <w:p>
      <w:pPr>
        <w:spacing w:after="0" w:line="7" w:lineRule="exact"/>
        <w:rPr>
          <w:sz w:val="20"/>
          <w:szCs w:val="20"/>
          <w:color w:val="auto"/>
        </w:rPr>
      </w:pPr>
    </w:p>
    <w:tbl>
      <w:tblPr>
        <w:tblLayout w:type="fixed"/>
        <w:tblInd w:w="2120" w:type="dxa"/>
        <w:tblCellMar>
          <w:top w:w="0" w:type="dxa"/>
          <w:left w:w="0" w:type="dxa"/>
          <w:bottom w:w="0" w:type="dxa"/>
          <w:right w:w="0" w:type="dxa"/>
        </w:tblCellMar>
      </w:tblPr>
      <w:tr>
        <w:trPr>
          <w:trHeight w:val="223"/>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1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w:t>
            </w:r>
          </w:p>
        </w:tc>
        <w:tc>
          <w:tcPr>
            <w:tcW w:w="21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1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17.6</w:t>
            </w:r>
          </w:p>
        </w:tc>
      </w:tr>
    </w:tbl>
    <w:p>
      <w:pPr>
        <w:spacing w:after="0" w:line="3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Trademarks and trade names acquired through acquisition were determined to have indefinite lives. We had $5.6 million and $0.4 million of indefinite life trademarks and trade names as of July 31, 2024 and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tbl>
      <w:tblPr>
        <w:tblLayout w:type="fixed"/>
        <w:tblInd w:w="66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by operating segment was as follows as of July 31 (in thousands):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2"/>
        </w:trPr>
        <w:tc>
          <w:tcPr>
            <w:tcW w:w="26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4"/>
        </w:trPr>
        <w:tc>
          <w:tcPr>
            <w:tcW w:w="266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to Business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30"/>
        </w:trPr>
        <w:tc>
          <w:tcPr>
            <w:tcW w:w="266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and Wholesale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6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15,443</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r>
      <w:tr>
        <w:trPr>
          <w:trHeight w:val="21"/>
        </w:trPr>
        <w:tc>
          <w:tcPr>
            <w:tcW w:w="2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review indefinite-lived intangibles and goodwill to assess for impairment on the first day of our fiscal fourth quarter, or more frequently if an event occurs or circumstances change that would more likely than not reduce the fair value of a reporting unit below its carrying value. We also perform a review for indicators of impairment each quarter to assess whether an interim impairment review is required for any reporting unit. Our review entails a qualitative analysis of triggering events and, if identified, a further analysis is performed based on cash flow considerations and other approaches that require significant judgment with respect to volume, revenue, expenses and allocations. Impairment occurs when the carrying value exceeds the fair value. We performed our impairment assessment and identified no triggering events in that would indicate the need for impairment of indefinite intangible assets or goodwill in either 2024 or 2023.</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LANT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depreciated using the straight-line method over their estimated useful lives which are listed below. Depreciation expense was $18.8 million and $15.3 million in fiscal years 2024 and 2023, respectively. Major improvements and betterments are capitalized, while maintenance and repairs that do not extend the useful life or increase functionality of the applicable assets are expensed as incurred. Interest expense may also be capitalized for assets that require a period of time to get them ready for their intended use. There was no capitalized interest in fiscal years 2024 and 2023.</w:t>
      </w:r>
    </w:p>
    <w:p>
      <w:pPr>
        <w:spacing w:after="0" w:line="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Years</w:t>
      </w:r>
    </w:p>
    <w:p>
      <w:pPr>
        <w:spacing w:after="0" w:line="31" w:lineRule="exact"/>
        <w:rPr>
          <w:sz w:val="20"/>
          <w:szCs w:val="20"/>
          <w:color w:val="auto"/>
        </w:rPr>
      </w:pPr>
    </w:p>
    <w:tbl>
      <w:tblPr>
        <w:tblLayout w:type="fixed"/>
        <w:tblInd w:w="2700" w:type="dxa"/>
        <w:tblCellMar>
          <w:top w:w="0" w:type="dxa"/>
          <w:left w:w="0" w:type="dxa"/>
          <w:bottom w:w="0" w:type="dxa"/>
          <w:right w:w="0" w:type="dxa"/>
        </w:tblCellMar>
      </w:tblP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5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Packaging</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30"/>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Processing</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2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Mining and other</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parts</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bl>
    <w:p>
      <w:pPr>
        <w:spacing w:after="0" w:line="3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carried at cost on the Consolidated Balance Sheets and are reviewed for possible impairment on an annual basis or when circumstances indicate that an asset may be impaired. We take into consideration idle and underutilized equipment and review business plans for possible impairment. When impairment is indicated, an impairment charge is recorded for the difference between the carrying value of the asset and its fair market value. In fiscal year 2024, we recognized $0.1 million in impairment for fixed assets no longer in use, and $0.9 million in fiscal year 2023. Impairment is included in cost of goods sold on the Consolidated Statement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AND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INING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mining assets include mining properties, mineral rights and reclamation asset. We surface mine sorbent minerals on property that we either own or lease. A significant part of our mining cost is incurred during the process of removing the overburden from the mine site, thus exposing the sorbent material used in a majority of our production processes. Pre-production overburden removal costs associated with opening a new mine during the development phase are deferred. There were no capitalized pre-production costs incurred in fiscal year 2024. In fiscal year 2023, $0.1 million of pre-production costs, including overburden removal costs, were capitalized. Capitalized development costs are amortized when the sorbent material is removed from the mine and used to produce product for sale. At the end of fiscal year 2024, the amount of development costs that are being amortized is $4.0 million. Stripping costs incurred during production are treated as a variable inventory production cost and are included in cost of goods sold. Stripping costs included in cost of goods sold were approximately $5.4 million and $4.0 million for fiscal years 2024 and 2023, respectively.</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survey, and real estate fees. The costs of obtaining mineral rights, including legal fees and drilling expenses, are also</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As of both fiscal years ending July 31, 2024 and July 31, 2023 we had $13.6 million of land and $2.2 million of gross mineral rights. Any prepaid royalties that may be offset against future royalties due upon extraction of the mineral are also capitalized. Prepaid royalties included in current prepaid expenses and in non-current other assets on the Consolidated Balance Sheets were approximately $2.3 million as of July 31, 2024 and $2.0 million as of July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ECLAMATION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 it is hauled to previously mined sites and is used to refill the older sites. This process allows us to continuously reclaim older mine sites and dispose of overburden simultaneously, therefore minimizing the costs associated with the reclamation process.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Reclamation assets are depreciated over the estimated useful lives of the various mines. Reclamation liabilities are increased based on a yearly accretion charge over the estimated useful lives of the mines.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an estimated net reclamation asset of $2.2 million as of both July 31, 2024 and 2023, and a corresponding estimated reclamation liability of $4.8 million as of July 31, 2024 and $4.5 million as of July 31, 2023. These values represent the discounted present value of the estimated future mining reclamation and landfill closure costs at the production plants. Additional mining activity, disturbance of land, and higher costs account for a majority of the increase in the reclamation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RADE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ROMOTIONS</w:t>
      </w:r>
    </w:p>
    <w:p>
      <w:pPr>
        <w:spacing w:after="0" w:line="256"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including slotting, discounts based on sales volume, cooperative marketing programs and other arrangements. We rely on our historical experience of trade spending patterns and that of the industry, current trends and forecast data to record estimates of our trade spending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DVERTISING</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Advertising costs for the development of printed materials, television commercials, web-based digital banners, web-based social media and sales videos are deferred and expensed upon the first use of the materials.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 Advertising expenses were approximately $9.1 million and $7.4 million in fiscal years 2024 and 2023,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AIR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ALUE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NSTRUMENTS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Non-derivative financial instruments included in the Consolidated Balance Sheets are cash and cash equivalents, short-term investments, credit facilities, and notes payable. These instruments, except for debt, were carried at amounts approximating fair value as of July 31, 2024 and 2023. See Note 5 of the Notes to the Consolidated Financial Statements for additional information regarding the fair value of our financial instruments, including notes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EVENUE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ECOGNITION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 obligation generally consists of the promise to sell finished products to wholesalers, distributors,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or any related obligations.</w:t>
      </w:r>
    </w:p>
    <w:p>
      <w:pPr>
        <w:spacing w:after="0" w:line="210" w:lineRule="exact"/>
        <w:rPr>
          <w:sz w:val="20"/>
          <w:szCs w:val="20"/>
          <w:color w:val="auto"/>
        </w:rPr>
      </w:pPr>
    </w:p>
    <w:p>
      <w:pPr>
        <w:jc w:val="both"/>
        <w:ind w:firstLine="213"/>
        <w:spacing w:after="0" w:line="282" w:lineRule="auto"/>
        <w:rPr>
          <w:sz w:val="20"/>
          <w:szCs w:val="20"/>
          <w:color w:val="auto"/>
        </w:rPr>
      </w:pPr>
      <w:r>
        <w:rPr>
          <w:rFonts w:ascii="Times New Roman" w:cs="Times New Roman" w:eastAsia="Times New Roman" w:hAnsi="Times New Roman"/>
          <w:sz w:val="18"/>
          <w:szCs w:val="18"/>
          <w:color w:val="auto"/>
        </w:rPr>
        <w:t>We have an unconditional right to consideration under the payment terms specified in the contract upon completion of the performance obligation. We may require certain customers to provide payment in advance of product shipment. We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recorded a liability of $0.2 million as of July 31, 2024 for these advance payments. There is no liability for advance payments as of July 31, 2023. This liability is reported in Other Accrued Expenses on the Consolidated Balance Sheets. There is no revenue recognized during fiscal year 2024 that was included in the liability for advance payments at the beginning of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OST OF</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OODS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OLD</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Cost of goods sold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 Natural gas forward contracts are accounted for as normal purchases.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HIPPING AND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ANDLING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in cost of goods sold and were approximately $59.2 million and $57.4 million for fiscal years 2024 and 2023,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ELLING</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4"/>
          <w:szCs w:val="14"/>
          <w:b w:val="1"/>
          <w:bCs w:val="1"/>
          <w:color w:val="auto"/>
        </w:rPr>
        <w:t>ENERAL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DMINISTRATIVE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EVELOPMENT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of approximately $2.1 million and $1.2 million were charged to expense as incurred for fiscal years 2024 and 2023, respectively, and are recorded in selling,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ENSION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OSTRETIREMENT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historically provided a defined benefit pension plan for eligible salaried and hourly employees and we made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Benefits</w:t>
      </w:r>
      <w:r>
        <w:rPr>
          <w:rFonts w:ascii="Times New Roman" w:cs="Times New Roman" w:eastAsia="Times New Roman" w:hAnsi="Times New Roman"/>
          <w:sz w:val="18"/>
          <w:szCs w:val="18"/>
          <w:color w:val="auto"/>
        </w:rPr>
        <w:t>. The funded status of our defined pension and postretirement health benefit plans are recognized on the Consolidated Balance Sheets.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funded status that arise during the period but are not recognized as components of net periodic benefit cost are recognized within other comprehensive income, net of income tax. In fiscal year 2023 we terminated the pension plan. See Note 9 of the Notes to the Consolidated Financial Statements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stock options and restricted stock issued under our long-term incentive plans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fair value of stock-based compensation is determined at the grant date. The related compensation expense is recognized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vesting period. Forfeitures are recognized as they occur. See Note 8 of the Notes to the Consolidated Financial Statements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NCOME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to existing valuation allowances, we provide for uncertain tax positions, if necessary, when such tax positions do not meet the recognition thresholds or measurement standards prescribed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Amounts for uncertain tax positions are adjusted when new information becomes available or when positions are effectively settled. We recognize interest and penalties accrued related to uncertain tax positions in income tax expense.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6 of the Notes to the Consolidated Financial Statements for additional information about income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ARNINGS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utilize the two-class method to report our earnings per share ("EPS"). The two-class method is an earnings allocation formula that determines earnings per share for each class of common stock according to dividends declared and participation rights in undistributed earnings. Common Stock is entitled to cash dividends equal to at least 133.33% on a per share basis of the cash dividend paid on Class B Stock. In computing earnings per share, the Company has allocated dividends declared to shares of Common Stock and Class B Stock based on amounts actually declared for each class of stock and 33.33% more of the undistributed earnings have been allocated to shares of Common Stock than to shares of Class B Stock on a per share basis. Common Stock is entitled to one vote per share and Class B Stock is entitled to ten votes per share. Common Stock have no conversion rights. Class B Stock is convertible by the holders thereof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common stock. Diluted EPS, for each class of common stock, is computed by dividing net earnings by the weighted-average number of common shares and potential common shares outstanding during the period. Dilution for Common Stock takes into consideration the effect of both unvested restricted shares and convertible shares of Class B Stock, if the effect is dilutive. Dilution for Class B Stock takes into consideration the effect of unvested restricted shares, if the effect is dilutive. Below is a reconciliation of the calculation of basic and diluted EPS.</w:t>
      </w:r>
    </w:p>
    <w:p>
      <w:pPr>
        <w:spacing w:after="0" w:line="8"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For the year ended July 31, 2024</w:t>
            </w:r>
          </w:p>
        </w:tc>
        <w:tc>
          <w:tcPr>
            <w:tcW w:w="1120" w:type="dxa"/>
            <w:vAlign w:val="bottom"/>
            <w:tcBorders>
              <w:bottom w:val="single" w:sz="8" w:color="auto"/>
            </w:tcBorders>
          </w:tcPr>
          <w:p>
            <w:pPr>
              <w:spacing w:after="0"/>
              <w:rPr>
                <w:sz w:val="20"/>
                <w:szCs w:val="20"/>
                <w:color w:val="auto"/>
              </w:rPr>
            </w:pPr>
          </w:p>
        </w:tc>
      </w:tr>
      <w:tr>
        <w:trPr>
          <w:trHeight w:val="214"/>
        </w:trPr>
        <w:tc>
          <w:tcPr>
            <w:tcW w:w="5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8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color w:val="auto"/>
                <w:w w:val="99"/>
              </w:rPr>
              <w:t>(in thousands, except for per share data)</w:t>
            </w:r>
          </w:p>
        </w:tc>
        <w:tc>
          <w:tcPr>
            <w:tcW w:w="1120" w:type="dxa"/>
            <w:vAlign w:val="bottom"/>
          </w:tcPr>
          <w:p>
            <w:pPr>
              <w:spacing w:after="0"/>
              <w:rPr>
                <w:sz w:val="18"/>
                <w:szCs w:val="18"/>
                <w:color w:val="auto"/>
              </w:rPr>
            </w:pPr>
          </w:p>
        </w:tc>
      </w:tr>
      <w:tr>
        <w:trPr>
          <w:trHeight w:val="238"/>
        </w:trPr>
        <w:tc>
          <w:tcPr>
            <w:tcW w:w="5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39,426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Distributed and undistributed earnings on restricted shares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(2,165)</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stockholders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37,261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(Numerator)</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(Denominator)</w:t>
            </w: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Net Income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assuming dilution (Numerator)</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r>
      <w:tr>
        <w:trPr>
          <w:trHeight w:val="257"/>
        </w:trPr>
        <w:tc>
          <w:tcPr>
            <w:tcW w:w="5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Shares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assuming dilution (Denominator)</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r>
    </w:tbl>
    <w:p>
      <w:pPr>
        <w:spacing w:after="0" w:line="13" w:lineRule="exact"/>
        <w:rPr>
          <w:sz w:val="20"/>
          <w:szCs w:val="20"/>
          <w:color w:val="auto"/>
        </w:rPr>
      </w:pPr>
    </w:p>
    <w:p>
      <w:pPr>
        <w:ind w:left="780" w:right="520" w:firstLine="2"/>
        <w:spacing w:after="0" w:line="222" w:lineRule="auto"/>
        <w:tabs>
          <w:tab w:leader="none" w:pos="943"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impact of 158,861 shares of unvested Common Stock and 54,370 shares of unvested Class B Stock, restricted stock was anti-dilutive therefore not included in the calculation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-226695</wp:posOffset>
            </wp:positionV>
            <wp:extent cx="21602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tbl>
      <w:tblPr>
        <w:tblLayout w:type="fixed"/>
        <w:tblInd w:w="44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For the year ended July 31, 2023</w:t>
            </w:r>
          </w:p>
        </w:tc>
        <w:tc>
          <w:tcPr>
            <w:tcW w:w="1120" w:type="dxa"/>
            <w:vAlign w:val="bottom"/>
            <w:tcBorders>
              <w:bottom w:val="single" w:sz="8" w:color="auto"/>
            </w:tcBorders>
          </w:tcPr>
          <w:p>
            <w:pPr>
              <w:spacing w:after="0"/>
              <w:rPr>
                <w:sz w:val="20"/>
                <w:szCs w:val="20"/>
                <w:color w:val="auto"/>
              </w:rPr>
            </w:pPr>
          </w:p>
        </w:tc>
      </w:tr>
      <w:tr>
        <w:trPr>
          <w:trHeight w:val="214"/>
        </w:trPr>
        <w:tc>
          <w:tcPr>
            <w:tcW w:w="5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6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color w:val="auto"/>
              </w:rPr>
              <w:t>(in thousands, except for per share data)</w:t>
            </w:r>
          </w:p>
        </w:tc>
        <w:tc>
          <w:tcPr>
            <w:tcW w:w="1120" w:type="dxa"/>
            <w:vAlign w:val="bottom"/>
          </w:tcPr>
          <w:p>
            <w:pPr>
              <w:spacing w:after="0"/>
              <w:rPr>
                <w:sz w:val="18"/>
                <w:szCs w:val="18"/>
                <w:color w:val="auto"/>
              </w:rPr>
            </w:pPr>
          </w:p>
        </w:tc>
      </w:tr>
      <w:tr>
        <w:trPr>
          <w:trHeight w:val="238"/>
        </w:trPr>
        <w:tc>
          <w:tcPr>
            <w:tcW w:w="5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29,551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Distributed and undistributed earnings on restricted shares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(1,518)</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stockholders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28,033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(Numerator)</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(Denominator)</w:t>
            </w: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Net Income </w:t>
            </w:r>
            <w:r>
              <w:rPr>
                <w:rFonts w:ascii="Times New Roman" w:cs="Times New Roman" w:eastAsia="Times New Roman" w:hAnsi="Times New Roman"/>
                <w:sz w:val="23"/>
                <w:szCs w:val="23"/>
                <w:color w:val="auto"/>
                <w:vertAlign w:val="superscript"/>
              </w:rPr>
              <w:t>(2)</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assuming dilution (Numerator)</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28,033</w:t>
            </w:r>
          </w:p>
        </w:tc>
        <w:tc>
          <w:tcPr>
            <w:tcW w:w="2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56"/>
        </w:trPr>
        <w:tc>
          <w:tcPr>
            <w:tcW w:w="5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Shares </w:t>
            </w:r>
            <w:r>
              <w:rPr>
                <w:rFonts w:ascii="Times New Roman" w:cs="Times New Roman" w:eastAsia="Times New Roman" w:hAnsi="Times New Roman"/>
                <w:sz w:val="23"/>
                <w:szCs w:val="23"/>
                <w:color w:val="auto"/>
                <w:vertAlign w:val="superscript"/>
              </w:rPr>
              <w:t>(2)</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assuming dilution (Denominator)</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r>
    </w:tbl>
    <w:p>
      <w:pPr>
        <w:spacing w:after="0" w:line="13" w:lineRule="exact"/>
        <w:rPr>
          <w:sz w:val="20"/>
          <w:szCs w:val="20"/>
          <w:color w:val="auto"/>
        </w:rPr>
      </w:pPr>
    </w:p>
    <w:p>
      <w:pPr>
        <w:ind w:left="460" w:right="840" w:hanging="2"/>
        <w:spacing w:after="0" w:line="210" w:lineRule="auto"/>
        <w:tabs>
          <w:tab w:leader="none" w:pos="623"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impact of 157,032 shares of unvested Common Stock and 35,695 shares of unvested Class B Stock, restricted stock was anti-dilutive therefore not included in the calculation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-226695</wp:posOffset>
            </wp:positionV>
            <wp:extent cx="2160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are currently evaluating the impact that the adoption of this guidance will have on our disclosures.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These amendments primarily require enhanced disclosures about significant segment expenses regularly provided to the chief operating decision maker and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We are currently evaluating the impact that the adoption of this guidance will have on our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new accounting pronouncements adopted in the period.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Ultra Pet acquisition</w:t>
      </w:r>
    </w:p>
    <w:p>
      <w:pPr>
        <w:spacing w:after="0" w:line="24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On May 1, 2024, pursuant to a Stock Purchase Agreement (the “Purchase Agreement”), dated April 16, 2024, we acquired all of the issued and outstanding shares of capital stock of Ultra Pet, in order to enter into the crystal cat litter segment. Ultra Pet became a wholly owned and consolidated subsidiary of Oil-Dri within the Retail and Wholesale Products Group operating segment, upon the closing of the acquisition on May 1, 2024.</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was financed through cash on hand, a $10 million advance under the Credit Agreement, and the issuance of $10 million in aggregate principal amount of 6.47% Series D Senior Notes due April 30, 2033 pursuant to the shelf facility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provisions of the Note Agreement. Debt issuance costs of $0.1 million were deferred and are being amortized over the life of the note. Refer to Note 4 of the Consolidated Financial Statements for additional details regarding the debt used in funding the acquisition.</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of July 31, 2024, the Company has completed a preliminary assessment to assign fair values to all tangible and intangible assets acquired and liabilities assumed. However, the preliminary purchase price allocation will be subject to further refinement and may change over the measurement period, particularly as it relates to inventory and tax related balances. These changes may relate to the allocation of purchase consideration to all tangible and intangible assets acquired and identified liabilities assumed.</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consideration paid and the assets acquired and liabilities assumed at the acquisition date.</w:t>
      </w:r>
    </w:p>
    <w:p>
      <w:pPr>
        <w:spacing w:after="0" w:line="275" w:lineRule="exact"/>
        <w:rPr>
          <w:sz w:val="20"/>
          <w:szCs w:val="20"/>
          <w:color w:val="auto"/>
        </w:rPr>
      </w:pPr>
    </w:p>
    <w:tbl>
      <w:tblPr>
        <w:tblLayout w:type="fixed"/>
        <w:tblInd w:w="1560" w:type="dxa"/>
        <w:tblCellMar>
          <w:top w:w="0" w:type="dxa"/>
          <w:left w:w="0" w:type="dxa"/>
          <w:bottom w:w="0" w:type="dxa"/>
          <w:right w:w="0" w:type="dxa"/>
        </w:tblCellMar>
      </w:tblP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60" w:type="dxa"/>
            <w:vAlign w:val="bottom"/>
          </w:tcPr>
          <w:p>
            <w:pPr>
              <w:spacing w:after="0"/>
              <w:rPr>
                <w:sz w:val="20"/>
                <w:szCs w:val="20"/>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net of cash acquired and restricted 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44,298</w:t>
            </w:r>
          </w:p>
        </w:tc>
      </w:tr>
      <w:tr>
        <w:trPr>
          <w:trHeight w:val="49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liabilities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liabilities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32,472</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11,826</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44,298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Various fair value methodologies were used for the valuation of identifiable intangibles including the 'excess earnings method' used for the valuation of the customer list and 'relief from royalty' method use for the valuation of the trade name. Our fair value was based on the projected financial information and unobservable inputs including revenue growth rate, weighted average cost of capital, royalty rate, and customer attrition rates. Finished goods inventory was valued using the net realizable value approach and approximate the selling price less disposal costs and allowance for a reasonable profit. The goodwill of $11.8 million arising from the acquisition consists largely of intangible assets that do not qualify for separate recognition and were fully assigned to our Retail and Wholesale Products Group. None of the goodwill recognized is expected to be deductible for income tax purposes.</w:t>
      </w:r>
    </w:p>
    <w:p>
      <w:pPr>
        <w:spacing w:after="0" w:line="20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Ultra Pet contributed net sales of $4.8 million and pre-tax income of $0.2 million for the period from May 1, 2024, to July 31, 2024, net of acquisition adjustments including non-cash inventory fair value step up amortization included in cost of goods sold and customer list amortization included in SG&amp;A. The total fair value step up adjustment to inventory was $0.8 million of which $0.4 million was amortized in fiscal year 2024. The following unaudited pro forma summary presents consolidated information of Oil-Dri as if the business combination had occurred on August 1,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584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Pro forma year ended July 31,</w:t>
            </w:r>
          </w:p>
        </w:tc>
      </w:tr>
      <w:tr>
        <w:trPr>
          <w:trHeight w:val="230"/>
        </w:trPr>
        <w:tc>
          <w:tcPr>
            <w:tcW w:w="204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0" w:type="dxa"/>
            <w:vAlign w:val="bottom"/>
          </w:tcPr>
          <w:p>
            <w:pPr>
              <w:spacing w:after="0"/>
              <w:rPr>
                <w:sz w:val="19"/>
                <w:szCs w:val="19"/>
                <w:color w:val="auto"/>
              </w:rPr>
            </w:pPr>
          </w:p>
        </w:tc>
      </w:tr>
      <w:tr>
        <w:trPr>
          <w:trHeight w:val="223"/>
        </w:trPr>
        <w:tc>
          <w:tcPr>
            <w:tcW w:w="20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$455,139</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$435,093</w:t>
            </w:r>
          </w:p>
        </w:tc>
        <w:tc>
          <w:tcPr>
            <w:tcW w:w="140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Net Income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$52,999</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$35,489</w:t>
            </w:r>
          </w:p>
        </w:tc>
        <w:tc>
          <w:tcPr>
            <w:tcW w:w="1400" w:type="dxa"/>
            <w:vAlign w:val="bottom"/>
          </w:tcPr>
          <w:p>
            <w:pPr>
              <w:spacing w:after="0"/>
              <w:rPr>
                <w:sz w:val="19"/>
                <w:szCs w:val="19"/>
                <w:color w:val="auto"/>
              </w:rPr>
            </w:pPr>
          </w:p>
        </w:tc>
      </w:tr>
      <w:tr>
        <w:trPr>
          <w:trHeight w:val="850"/>
        </w:trPr>
        <w:tc>
          <w:tcPr>
            <w:tcW w:w="2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2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56</w:t>
            </w:r>
          </w:p>
        </w:tc>
        <w:tc>
          <w:tcPr>
            <w:tcW w:w="2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8"/>
        </w:trPr>
        <w:tc>
          <w:tcPr>
            <w:tcW w:w="20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pro forma amounts above have been calculated after applying Oil-Dri’s accounting policies and adjusting the results of Ultra Pet, including the following adjustments:</w:t>
      </w:r>
    </w:p>
    <w:p>
      <w:pPr>
        <w:spacing w:after="0" w:line="225" w:lineRule="exact"/>
        <w:rPr>
          <w:sz w:val="20"/>
          <w:szCs w:val="20"/>
          <w:color w:val="auto"/>
        </w:rPr>
      </w:pPr>
    </w:p>
    <w:tbl>
      <w:tblPr>
        <w:tblLayout w:type="fixed"/>
        <w:tblInd w:w="2040" w:type="dxa"/>
        <w:tblCellMar>
          <w:top w:w="0" w:type="dxa"/>
          <w:left w:w="0" w:type="dxa"/>
          <w:bottom w:w="0" w:type="dxa"/>
          <w:right w:w="0" w:type="dxa"/>
        </w:tblCellMar>
      </w:tblP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444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Pro forma year ended July 31,</w:t>
            </w:r>
          </w:p>
        </w:tc>
      </w:tr>
      <w:tr>
        <w:trPr>
          <w:trHeight w:val="229"/>
        </w:trPr>
        <w:tc>
          <w:tcPr>
            <w:tcW w:w="336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related expenses (a)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$1,172</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(b)</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$(1,158)</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$(1,323)</w:t>
            </w: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 amortization (c)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$(1,133)</w:t>
            </w: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step up adjustment (d)</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$449</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$(783)</w:t>
            </w:r>
          </w:p>
        </w:tc>
      </w:tr>
    </w:tbl>
    <w:p>
      <w:pPr>
        <w:spacing w:after="0" w:line="76" w:lineRule="exact"/>
        <w:rPr>
          <w:sz w:val="20"/>
          <w:szCs w:val="20"/>
          <w:color w:val="auto"/>
        </w:rPr>
      </w:pPr>
    </w:p>
    <w:p>
      <w:pPr>
        <w:ind w:left="260" w:hanging="252"/>
        <w:spacing w:after="0" w:line="261" w:lineRule="auto"/>
        <w:tabs>
          <w:tab w:leader="none" w:pos="2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for acquisition related expenses reflects the reversal of legal and other professional fees and integration costs incurred in fiscal year 2024. These expenses are included in general and administrative expense on Oil-Dri consolidated income statement.</w:t>
      </w:r>
    </w:p>
    <w:p>
      <w:pPr>
        <w:ind w:left="260" w:hanging="252"/>
        <w:spacing w:after="0" w:line="250" w:lineRule="auto"/>
        <w:tabs>
          <w:tab w:leader="none" w:pos="2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adjustments reflects higher interest expense associated with financing the Ultra Pet acquisition assuming financing occurred August 1, 2022.</w:t>
      </w: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list amortization adjustment reflects additional amortization assuming amortization began at August 1, 2022.</w:t>
      </w:r>
    </w:p>
    <w:p>
      <w:pPr>
        <w:spacing w:after="0" w:line="9" w:lineRule="exact"/>
        <w:rPr>
          <w:rFonts w:ascii="Times New Roman" w:cs="Times New Roman" w:eastAsia="Times New Roman" w:hAnsi="Times New Roman"/>
          <w:sz w:val="18"/>
          <w:szCs w:val="18"/>
          <w:color w:val="auto"/>
        </w:rPr>
      </w:pPr>
    </w:p>
    <w:p>
      <w:pPr>
        <w:ind w:left="260" w:hanging="252"/>
        <w:spacing w:after="0" w:line="260" w:lineRule="auto"/>
        <w:tabs>
          <w:tab w:leader="none" w:pos="2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step up adjustment reflects the reversal of the amortization recognized in fiscal year 2024 and recognition of the full step up adjustment in fiscal year 2023.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OPERATING SEGMENTS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Given the similar nature of products and customers, sales of our silica gel based crystal litter are included with our cat litter products and reported as part of the Retail and Wholesale products group segment. The Business to Business Products Group customers include: processors and refiners of edible oils, renewable diesel, petroleum-based oils and biodiesel fuel; manufacturers of animal feed and agricultural chemicals; and distributors of animal health and nutrition products.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40" w:type="dxa"/>
            <w:vAlign w:val="bottom"/>
          </w:tcPr>
          <w:p>
            <w:pPr>
              <w:spacing w:after="0"/>
              <w:rPr>
                <w:sz w:val="18"/>
                <w:szCs w:val="18"/>
                <w:color w:val="auto"/>
              </w:rPr>
            </w:pPr>
          </w:p>
        </w:tc>
        <w:tc>
          <w:tcPr>
            <w:tcW w:w="25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Retail and Wholesale Products</w:t>
            </w:r>
          </w:p>
        </w:tc>
      </w:tr>
      <w:tr>
        <w:trPr>
          <w:trHeight w:val="238"/>
        </w:trPr>
        <w:tc>
          <w:tcPr>
            <w:tcW w:w="3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6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241,884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226,335</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45,232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44,291</w:t>
            </w:r>
          </w:p>
        </w:tc>
      </w:tr>
      <w:tr>
        <w:trPr>
          <w:trHeight w:val="22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33,558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92,464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24,449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150,471</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142,395</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287,116</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270,626</w:t>
            </w: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accounting policies of the segments are the same as those described in the Note 1 of the Notes to the Consolidated Financial Statements.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rely on any operating segment asset allocations and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tbl>
      <w:tblPr>
        <w:tblLayout w:type="fixed"/>
        <w:tblInd w:w="82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As of July 31,</w:t>
            </w:r>
          </w:p>
        </w:tc>
        <w:tc>
          <w:tcPr>
            <w:tcW w:w="880" w:type="dxa"/>
            <w:vAlign w:val="bottom"/>
            <w:tcBorders>
              <w:bottom w:val="single" w:sz="8" w:color="auto"/>
            </w:tcBorders>
          </w:tcPr>
          <w:p>
            <w:pPr>
              <w:spacing w:after="0"/>
              <w:rPr>
                <w:sz w:val="20"/>
                <w:szCs w:val="20"/>
                <w:color w:val="auto"/>
              </w:rPr>
            </w:pPr>
          </w:p>
        </w:tc>
      </w:tr>
      <w:tr>
        <w:trPr>
          <w:trHeight w:val="223"/>
        </w:trPr>
        <w:tc>
          <w:tcPr>
            <w:tcW w:w="7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880" w:type="dxa"/>
            <w:vAlign w:val="bottom"/>
            <w:tcBorders>
              <w:bottom w:val="single" w:sz="8" w:color="auto"/>
            </w:tcBorders>
          </w:tcPr>
          <w:p>
            <w:pPr>
              <w:spacing w:after="0"/>
              <w:rPr>
                <w:sz w:val="19"/>
                <w:szCs w:val="19"/>
                <w:color w:val="auto"/>
              </w:rPr>
            </w:pPr>
          </w:p>
        </w:tc>
      </w:tr>
      <w:tr>
        <w:trPr>
          <w:trHeight w:val="223"/>
        </w:trPr>
        <w:tc>
          <w:tcPr>
            <w:tcW w:w="7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9"/>
                <w:szCs w:val="19"/>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92,300</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84,424</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200,187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136,262</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assets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62,118</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65,549</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354,605</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corporate expenses line in the table below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 We have recast 2023 segment income to conform with current year presentation.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150,471</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142,395</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287,116</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270,626</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43,804</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437,587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413,021</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(37,748)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51,645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49,651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39,426</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The following is a summary by fiscal year of financial information by geographic region (in thousands):</w:t>
      </w:r>
    </w:p>
    <w:p>
      <w:pPr>
        <w:spacing w:after="0" w:line="46"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to unaffiliated customers by: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416,603</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390,963</w:t>
            </w:r>
          </w:p>
        </w:tc>
      </w:tr>
      <w:tr>
        <w:trPr>
          <w:trHeight w:val="229"/>
        </w:trPr>
        <w:tc>
          <w:tcPr>
            <w:tcW w:w="4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Foreign subsidiaries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20,984</w:t>
            </w:r>
          </w:p>
        </w:tc>
        <w:tc>
          <w:tcPr>
            <w:tcW w:w="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22,058</w:t>
            </w: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or transfers between geographic areas: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6,102</w:t>
            </w:r>
          </w:p>
        </w:tc>
        <w:tc>
          <w:tcPr>
            <w:tcW w:w="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30"/>
        </w:trPr>
        <w:tc>
          <w:tcPr>
            <w:tcW w:w="4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Foreign subsidiaries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48,995</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w:t>
            </w:r>
          </w:p>
        </w:tc>
      </w:tr>
      <w:tr>
        <w:trPr>
          <w:trHeight w:val="230"/>
        </w:trPr>
        <w:tc>
          <w:tcPr>
            <w:tcW w:w="4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Foreign subsidiaries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Oil-Dri:</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39,729</w:t>
            </w:r>
          </w:p>
        </w:tc>
        <w:tc>
          <w:tcPr>
            <w:tcW w:w="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28,494</w:t>
            </w:r>
          </w:p>
        </w:tc>
      </w:tr>
      <w:tr>
        <w:trPr>
          <w:trHeight w:val="230"/>
        </w:trPr>
        <w:tc>
          <w:tcPr>
            <w:tcW w:w="4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Foreign subsidiaries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Identifiable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345,934</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271,627</w:t>
            </w:r>
          </w:p>
        </w:tc>
      </w:tr>
      <w:tr>
        <w:trPr>
          <w:trHeight w:val="238"/>
        </w:trPr>
        <w:tc>
          <w:tcPr>
            <w:tcW w:w="4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Foreign subsidiaries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8,671</w:t>
            </w:r>
          </w:p>
        </w:tc>
        <w:tc>
          <w:tcPr>
            <w:tcW w:w="4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14,608</w:t>
            </w:r>
          </w:p>
        </w:tc>
      </w:tr>
    </w:tbl>
    <w:p>
      <w:pPr>
        <w:spacing w:after="0" w:line="31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Included within identifiable assets for our foreign subsidiaries is cash held at foreign banks of $4.5 million and $5.2 million as of July 31, 2024 and July 31, 2023, respectively.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to Walmart, our largest customer, are included in our Retail and Wholesale Products Group. The percentage of consolidated net sales and net accounts receivable attributed to Walmart are shown in the table below:</w:t>
      </w:r>
    </w:p>
    <w:p>
      <w:pPr>
        <w:spacing w:after="0" w:line="63" w:lineRule="exact"/>
        <w:rPr>
          <w:sz w:val="20"/>
          <w:szCs w:val="20"/>
          <w:color w:val="auto"/>
        </w:rPr>
      </w:pPr>
    </w:p>
    <w:tbl>
      <w:tblPr>
        <w:tblLayout w:type="fixed"/>
        <w:tblInd w:w="2040" w:type="dxa"/>
        <w:tblCellMar>
          <w:top w:w="0" w:type="dxa"/>
          <w:left w:w="0" w:type="dxa"/>
          <w:bottom w:w="0" w:type="dxa"/>
          <w:right w:w="0" w:type="dxa"/>
        </w:tblCellMar>
      </w:tblPr>
      <w:tr>
        <w:trPr>
          <w:trHeight w:val="238"/>
        </w:trPr>
        <w:tc>
          <w:tcPr>
            <w:tcW w:w="46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for the years ended July 31</w:t>
            </w: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accounts receivable as of July 31</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other customers with sales equal to or greater than 10% of our total sales.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DEBT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long-term debt is as follows as of July 31 (in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5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Amended and Restated Note Purchase and Private Shelf Agreement. Annual principal installments on May 15:</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$1,000 in each fiscal year 2021 through 2030. Interest is payable semi-annually at an annual rate of 3.95%</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26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Note Purchase and Private Shelf Agreement. Annual principal installments on Dec 15:</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$5,000 in each fiscal year 2028 through 2032. Interest is payable semi-annually at an annual rate of 3.25%</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Note Purchase and Private Shelf Agreement. Annual principal installments on April 30:</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$5,000 in each fiscal year 2032 through 2033. Interest is payable semi-annually at an annual rate of 6.47%</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Seventh Amendment to Credit Agreement. Full principal amount is due on May 1, 2026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notes payable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49,774</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8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party to an Amended and Restated Note Purchase and Private Shelf Agreement (as amended, the "Note Agreement") with PGIM, Inc. ("Prudential") and certain existing noteholders and purchasers affiliated with Prudential named therein. Pursuant to the Note Agreement on May 15, 2020 we issued $10 million in aggregate principal amount of our 3.95% Series B Senior Notes due May 15, 2030, of which $6 million aggregate principal amount remained outstanding as of July 31, 2024. On December 16, 2021, under the Note Agreement we issued an additional $25 million in aggregate principal amount of our 3.25% Series C Senior Notes due December 16, 2031, all of which remained outstanding as of July 31, 2024. On April 30, 2024, we issued $10 million in aggregate principal amount of our 6.47% Series D Senior Notes due April 30, 2033, all of which remained outstanding as of July 31, 2024. The Amended Note Agreement also provides us with the ability to request, from time to time, that Prudential affiliate(s) purchase, at Prudential’s discretion and on an uncommitted basis, additional senior unsecured notes of Oil-Dri (the “Shelf Notes,” and collectively with the Series A Notes, Series B Notes, Series C Notes, and Series D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30, 2022, we entered into Amendment No. 3 (the "Third Amendment") to the Note Agreement. The Third Amendment modified the existing fixed charge coverage financial covenant and replaced the existing consolidated debt financial covenant with a maximum debt to earnings ratio and effected certain changes consistent with the Sixth Amendment to the Credit Agreement (defined below), including modifying the method for calculating consolidated EBITDA and the excess leverage fee.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21, 2023, the Company entered into Amendment No. 4 (the “Fourth Amendment”) to the Note Agreement. The Fourth Amendment extended the time frame for issuing and selling Shelf Notes to September 21,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schedule by fiscal year of future principal maturities of notes payable as of July 31, 2024 (in thousands):</w:t>
      </w:r>
    </w:p>
    <w:p>
      <w:pPr>
        <w:spacing w:after="0" w:line="149" w:lineRule="exact"/>
        <w:rPr>
          <w:sz w:val="20"/>
          <w:szCs w:val="20"/>
          <w:color w:val="auto"/>
        </w:rPr>
      </w:pPr>
    </w:p>
    <w:tbl>
      <w:tblPr>
        <w:tblLayout w:type="fixed"/>
        <w:tblInd w:w="3980" w:type="dxa"/>
        <w:tblCellMar>
          <w:top w:w="0" w:type="dxa"/>
          <w:left w:w="0" w:type="dxa"/>
          <w:bottom w:w="0" w:type="dxa"/>
          <w:right w:w="0" w:type="dxa"/>
        </w:tblCellMar>
      </w:tblPr>
      <w:tr>
        <w:trPr>
          <w:trHeight w:val="229"/>
        </w:trPr>
        <w:tc>
          <w:tcPr>
            <w:tcW w:w="10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94"/>
              </w:rPr>
              <w:t>2025</w:t>
            </w:r>
          </w:p>
        </w:tc>
        <w:tc>
          <w:tcPr>
            <w:tcW w:w="12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4"/>
              </w:rPr>
              <w:t>2026</w:t>
            </w:r>
          </w:p>
        </w:tc>
        <w:tc>
          <w:tcPr>
            <w:tcW w:w="1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10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94"/>
              </w:rPr>
              <w:t>2027</w:t>
            </w:r>
          </w:p>
        </w:tc>
        <w:tc>
          <w:tcPr>
            <w:tcW w:w="1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4"/>
              </w:rPr>
              <w:t>2028</w:t>
            </w:r>
          </w:p>
        </w:tc>
        <w:tc>
          <w:tcPr>
            <w:tcW w:w="1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10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94"/>
              </w:rPr>
              <w:t>2029</w:t>
            </w:r>
          </w:p>
        </w:tc>
        <w:tc>
          <w:tcPr>
            <w:tcW w:w="1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party to the Credit Agreement, dated as of January 27, 2006 (as previously amended, the "Credit Agreement"), among us, BMO Harris Bank N.A (“BMO”), and certain of our domestic subsidiaries. The agreement provides for a $45 million unsecured revolving credit facility, including a maximum of $10 million for letters of credit.</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Credit Agreement contains restrictive covenants that, among other things and under various conditions, limit our ability to incur additional indebtedness or to dispose of assets. On August 30, 2022, we entered into the Sixth Amendment to the Credit Agreement (the "Sixth Amendment"). The Sixth Amendment extended the facility termination date to August 30, 2027; replaced the LIBOR-based reference rate with an adjusted term Secured Overnight Financing Rate ("SOFR"); revised the method for calculating consolidated EBITDA and consolidated debt for purposes of the Credit Agreement; modified certain restrictive covenants, including increasing the unsecured indebtedness basket from $50 million to $75 million; and revised the existing financial covenants by replacing the consolidated debt covenant with a covenant to maintain a maximum debt to earnings ratio, lowering the minimum fixed charge coverage ratio level and revising the method for calculating the fixed charge coverage ratio. On April 16, 2024, we entered into the Seventh Amendment to the Credit Agreement (the “Seventh Amendment”). The Seventh Amendment amends the Credit Agreement to, among other things, revise the method for calculating consolidated EBITDA for purposes of financial covenant compliance under the Credit Agreement, provide specific conditions precedent to advance funds for the acquisition of Ultra Pet, and modify certain covenants and other provisions to permit certain indebtedness and liens of Ultra Pet and facilitate the acquisition. As of July 31, 2024, and 2023, we were in compliance with the covenants. As of July 31, 2024 we had $10 million drawn at a 6.66% interest rate, $2.9 million in outstanding letters of credit and $32.1 million remaining available under the revolving credit facility. As of July 31, 2023 we had $1 million in outstanding letters of credit and $44.0 million remaining available under the revolving credit facility.</w:t>
      </w: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states that we may select a variable interest rate based on either the BMO Harris prime rate or an adjusted SOFR-based rate, plus a margin that varies depending on our debt to earnings ratio, or a fixed rate as agreed between us and BMO Harris. As of July 31, 2024, the variable rates would have been 8.50% for the BMO Harris prime-based rate or 6.49% for the adjusted SOFR-based rate.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34" w:lineRule="exact"/>
        <w:rPr>
          <w:sz w:val="20"/>
          <w:szCs w:val="20"/>
          <w:color w:val="auto"/>
        </w:rPr>
      </w:pPr>
    </w:p>
    <w:p>
      <w:pPr>
        <w:ind w:right="2400" w:firstLine="648"/>
        <w:spacing w:after="0" w:line="261" w:lineRule="auto"/>
        <w:rPr>
          <w:sz w:val="20"/>
          <w:szCs w:val="20"/>
          <w:color w:val="auto"/>
        </w:rPr>
      </w:pPr>
      <w:r>
        <w:rPr>
          <w:rFonts w:ascii="Times New Roman" w:cs="Times New Roman" w:eastAsia="Times New Roman" w:hAnsi="Times New Roman"/>
          <w:sz w:val="18"/>
          <w:szCs w:val="18"/>
          <w:color w:val="auto"/>
        </w:rPr>
        <w:t>Cash equivalents are classified as Level 1 of the fair value hierarchy because they are valued using quoted market prices in active markets. These cash instruments are primarily money market funds and are included in cash and cash</w:t>
      </w:r>
    </w:p>
    <w:p>
      <w:pPr>
        <w:jc w:val="both"/>
        <w:spacing w:after="0" w:line="260" w:lineRule="auto"/>
        <w:rPr>
          <w:sz w:val="20"/>
          <w:szCs w:val="20"/>
          <w:color w:val="auto"/>
        </w:rPr>
      </w:pPr>
      <w:r>
        <w:rPr>
          <w:rFonts w:ascii="Times New Roman" w:cs="Times New Roman" w:eastAsia="Times New Roman" w:hAnsi="Times New Roman"/>
          <w:sz w:val="18"/>
          <w:szCs w:val="18"/>
          <w:color w:val="auto"/>
        </w:rPr>
        <w:t>equivalents on the Consolidated Balance Sheets. We had $3.0 million cash equivalents as of July 31, 2024 and had $15.4 million cash equivalents as of July 31, 2023.</w:t>
      </w:r>
    </w:p>
    <w:p>
      <w:pPr>
        <w:spacing w:after="0" w:line="2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Balances of accounts receivable, short-term investments and accounts payable approximated their fair values at July 31, 2024 and July 31, 2023 due to the short maturity and nature of those balances.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Debt is reported at outstanding face value, less unamortized debt issuance costs. The estimated fair value of debt, including current maturities, was approximately $51.1 million as of July 31, 2024 and $29.7 million as of July 31, 2023. The fair value was estimated using the exit price notion of fair value and is classified as Level 2. See Note 4 of the Notes to the Consolidated Financial Statements for further information about such debt.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1 of the Notes to Consolidated Financial Statements for further information about goodwill and other intangible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accounts receivable. Our cash is held in banks which are covered by the Federal Deposit Insurance Corporation; however, our cash balances are in excess of the maximum amount that is insured. Concentrations of credit risk with respect to accounts receivable are subject to the financial condition of certain major customers, principally the customer referred to in Note 3 of the Notes to the Consolidated Financial Statements. We generally do not require collateral to secure customer receivables.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provision for income tax expense by fiscal year consists of the following (in thousands):</w:t>
      </w:r>
    </w:p>
    <w:p>
      <w:pPr>
        <w:spacing w:after="0" w:line="140" w:lineRule="exact"/>
        <w:rPr>
          <w:sz w:val="20"/>
          <w:szCs w:val="20"/>
          <w:color w:val="auto"/>
        </w:rPr>
      </w:pPr>
    </w:p>
    <w:tbl>
      <w:tblPr>
        <w:tblLayout w:type="fixed"/>
        <w:tblInd w:w="228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6,059</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r>
      <w:tr>
        <w:trPr>
          <w:trHeight w:val="230"/>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9"/>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Income Tax Total</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r>
      <w:tr>
        <w:trPr>
          <w:trHeight w:val="22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r>
      <w:tr>
        <w:trPr>
          <w:trHeight w:val="230"/>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4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 Total</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1,697</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10,225</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w:t>
            </w:r>
          </w:p>
        </w:tc>
      </w:tr>
      <w:tr>
        <w:trPr>
          <w:trHeight w:val="21"/>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Principal reasons for variations between the statutory federal rate and the effective rates by fiscal year were as follows:</w:t>
      </w:r>
    </w:p>
    <w:p>
      <w:pPr>
        <w:spacing w:after="0" w:line="140"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6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Depletion deductions allowed for mining</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w:t>
            </w:r>
          </w:p>
        </w:tc>
        <w:tc>
          <w:tcPr>
            <w:tcW w:w="3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 expense, net of federal tax expense</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U.S. Tax Impacts of Foreign Branch</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 foreign</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0.4</w:t>
            </w:r>
          </w:p>
        </w:tc>
        <w:tc>
          <w:tcPr>
            <w:tcW w:w="3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 change of foreign subsidiaries</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Prior year income taxes</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(0.3)</w:t>
            </w:r>
          </w:p>
        </w:tc>
        <w:tc>
          <w:tcPr>
            <w:tcW w:w="3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differential</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(0.3)</w:t>
            </w: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20.6 %</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U.S. effective tax rate for the year ended July 31, 2024 and July 31, 2023 were 20.6% and 15.0%, respectively, based on income before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contributing to a higher effective tax rate in fiscal 2024 were a higher net income and certain permanent items.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2" w:name="page63"/>
    <w:bookmarkEnd w:id="62"/>
    <w:p>
      <w:pPr>
        <w:ind w:left="180"/>
        <w:spacing w:after="0"/>
        <w:rPr>
          <w:sz w:val="20"/>
          <w:szCs w:val="20"/>
          <w:color w:val="auto"/>
        </w:rPr>
      </w:pPr>
      <w:r>
        <w:rPr>
          <w:rFonts w:ascii="Times New Roman" w:cs="Times New Roman" w:eastAsia="Times New Roman" w:hAnsi="Times New Roman"/>
          <w:sz w:val="18"/>
          <w:szCs w:val="18"/>
          <w:color w:val="auto"/>
        </w:rPr>
        <w:t>The Consolidated Balance Sheets included the following tax effects of cumulative temporary differences as of July 31 (in thousands):</w:t>
      </w: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6,307</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 of use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4,778</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&amp; State NOL carryforward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NOL carryforward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R&amp;D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Reclamation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marketing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 foreign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b w:val="1"/>
                <w:bCs w:val="1"/>
                <w:color w:val="auto"/>
              </w:rPr>
              <w:t>Total deferred taxes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18,505</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16,968</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0"/>
        </w:trPr>
        <w:tc>
          <w:tcPr>
            <w:tcW w:w="344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333"/>
        <w:spacing w:after="0" w:line="266" w:lineRule="auto"/>
        <w:rPr>
          <w:sz w:val="20"/>
          <w:szCs w:val="20"/>
          <w:color w:val="auto"/>
        </w:rPr>
      </w:pPr>
      <w:r>
        <w:rPr>
          <w:rFonts w:ascii="Times New Roman" w:cs="Times New Roman" w:eastAsia="Times New Roman" w:hAnsi="Times New Roman"/>
          <w:sz w:val="18"/>
          <w:szCs w:val="18"/>
          <w:color w:val="auto"/>
        </w:rPr>
        <w:t>Deferred tax assets for postretirement benefits were affected by the termination of our pension plan. See Note 9 of the Notes to the Consolidated Financial Statements for further information about postretirement benefits. Deferred tax assets and liabilities related to leases decrease as leases expire. Deferred tax assets for accrued expenses reflected a higher accrual for the annual discretionary bonus.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a valuation allowance of $2.5 million and $1.7 million as of July 31, 2024 and July 31, 2023, respectively, for the amount of the deferred tax benefit related to our foreign net operating loss carryforwards and certain state net operating loss carryforwards since we believe it is unlikely we will realize the benefit of these tax attributes in the future. As of July 31, 2024, we have total net operating loss carryforwards from state jurisdictions of approximately $12.6 million. The carryforward expiration dates vary by state.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the exception of our foreign subsidiary in Canada, none of our foreign subsidiaries have generated any untaxed foreign income, therefore we have not provided for any related income taxes for these subsidiaries.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no liabilities for unrecognized tax benefits based on tax positions related to the current and prior fiscal years as of July 31, 2024 and 2023; correspondingly, no related interest and penalties were recognized as income tax expense and there were no accruals for such items in either of these fiscal years.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in multiple state and foreign jurisdictions. We were audited by the Internal Revenue Service ("IRS") for fiscal year 2020 with no adjustments upon closure of the audit. The federal tax returns for fiscal years 2021-2023 remain open for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a limited number of</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spacing w:after="0" w:line="282" w:lineRule="auto"/>
        <w:rPr>
          <w:sz w:val="20"/>
          <w:szCs w:val="20"/>
          <w:color w:val="auto"/>
        </w:rPr>
      </w:pPr>
      <w:r>
        <w:rPr>
          <w:rFonts w:ascii="Times New Roman" w:cs="Times New Roman" w:eastAsia="Times New Roman" w:hAnsi="Times New Roman"/>
          <w:sz w:val="18"/>
          <w:szCs w:val="18"/>
          <w:color w:val="auto"/>
        </w:rPr>
        <w:t>open state and local income tax audits in which no material issues have been preliminarily identified. There are no material open or unsettled foreign income tax audits. We believe our accrual for tax liabilities is adequate for all open audit years.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ACCUMULATED OTHER COMPREHENSIVE INCOME (LOSS)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by component (in thousands):</w:t>
      </w:r>
    </w:p>
    <w:p>
      <w:pPr>
        <w:spacing w:after="0" w:line="360" w:lineRule="exact"/>
        <w:rPr>
          <w:sz w:val="20"/>
          <w:szCs w:val="20"/>
          <w:color w:val="auto"/>
        </w:rPr>
      </w:pPr>
    </w:p>
    <w:tbl>
      <w:tblPr>
        <w:tblLayout w:type="fixed"/>
        <w:tblInd w:w="4940" w:type="dxa"/>
        <w:tblCellMar>
          <w:top w:w="0" w:type="dxa"/>
          <w:left w:w="0" w:type="dxa"/>
          <w:bottom w:w="0" w:type="dxa"/>
          <w:right w:w="0" w:type="dxa"/>
        </w:tblCellMar>
      </w:tblPr>
      <w:tr>
        <w:trPr>
          <w:trHeight w:val="207"/>
        </w:trPr>
        <w:tc>
          <w:tcPr>
            <w:tcW w:w="16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17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22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Total Accumulated Other</w:t>
            </w:r>
          </w:p>
        </w:tc>
      </w:tr>
      <w:tr>
        <w:trPr>
          <w:trHeight w:val="175"/>
        </w:trPr>
        <w:tc>
          <w:tcPr>
            <w:tcW w:w="1640" w:type="dxa"/>
            <w:vAlign w:val="bottom"/>
          </w:tcPr>
          <w:p>
            <w:pPr>
              <w:jc w:val="center"/>
              <w:ind w:right="3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7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228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 (Loss)</w:t>
            </w:r>
          </w:p>
        </w:tc>
      </w:tr>
      <w:tr>
        <w:trPr>
          <w:trHeight w:val="238"/>
        </w:trPr>
        <w:tc>
          <w:tcPr>
            <w:tcW w:w="16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Health Benefits</w:t>
            </w:r>
          </w:p>
        </w:tc>
        <w:tc>
          <w:tcPr>
            <w:tcW w:w="17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Income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wp:posOffset>
            </wp:positionV>
            <wp:extent cx="64465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46520" cy="15430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560"/>
        <w:spacing w:after="0"/>
        <w:tabs>
          <w:tab w:leader="none" w:pos="4700" w:val="left"/>
        </w:tabs>
        <w:rPr>
          <w:sz w:val="20"/>
          <w:szCs w:val="20"/>
          <w:color w:val="auto"/>
        </w:rPr>
      </w:pPr>
      <w:r>
        <w:rPr>
          <w:rFonts w:ascii="Times New Roman" w:cs="Times New Roman" w:eastAsia="Times New Roman" w:hAnsi="Times New Roman"/>
          <w:sz w:val="18"/>
          <w:szCs w:val="18"/>
          <w:color w:val="auto"/>
        </w:rPr>
        <w:t>Balance as of July 31, 2022</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0" w:right="1420"/>
        <w:spacing w:after="0" w:line="234" w:lineRule="auto"/>
        <w:rPr>
          <w:sz w:val="20"/>
          <w:szCs w:val="20"/>
          <w:color w:val="auto"/>
        </w:rPr>
      </w:pPr>
      <w:r>
        <w:rPr>
          <w:rFonts w:ascii="Times New Roman" w:cs="Times New Roman" w:eastAsia="Times New Roman" w:hAnsi="Times New Roman"/>
          <w:sz w:val="18"/>
          <w:szCs w:val="18"/>
          <w:color w:val="auto"/>
        </w:rPr>
        <w:t>Other comprehensive income (loss) before reclassifications, net of tax</w:t>
      </w:r>
    </w:p>
    <w:p>
      <w:pPr>
        <w:spacing w:after="0" w:line="10" w:lineRule="exact"/>
        <w:rPr>
          <w:sz w:val="20"/>
          <w:szCs w:val="20"/>
          <w:color w:val="auto"/>
        </w:rPr>
      </w:pPr>
    </w:p>
    <w:p>
      <w:pPr>
        <w:ind w:left="560" w:right="120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Curtailment/Settlement on Pension Plan</w:t>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p>
      <w:pPr>
        <w:ind w:left="560"/>
        <w:spacing w:after="0"/>
        <w:rPr>
          <w:sz w:val="20"/>
          <w:szCs w:val="20"/>
          <w:color w:val="auto"/>
        </w:rPr>
      </w:pPr>
      <w:r>
        <w:rPr>
          <w:rFonts w:ascii="Times New Roman" w:cs="Times New Roman" w:eastAsia="Times New Roman" w:hAnsi="Times New Roman"/>
          <w:sz w:val="18"/>
          <w:szCs w:val="18"/>
          <w:color w:val="auto"/>
        </w:rPr>
        <w:t>net of tax</w:t>
      </w:r>
    </w:p>
    <w:p>
      <w:pPr>
        <w:spacing w:after="0" w:line="30" w:lineRule="exact"/>
        <w:rPr>
          <w:sz w:val="20"/>
          <w:szCs w:val="20"/>
          <w:color w:val="auto"/>
        </w:rPr>
      </w:pPr>
    </w:p>
    <w:p>
      <w:pPr>
        <w:ind w:left="560"/>
        <w:spacing w:after="0"/>
        <w:tabs>
          <w:tab w:leader="none" w:pos="4700" w:val="left"/>
        </w:tabs>
        <w:rPr>
          <w:sz w:val="20"/>
          <w:szCs w:val="20"/>
          <w:color w:val="auto"/>
        </w:rPr>
      </w:pPr>
      <w:r>
        <w:rPr>
          <w:rFonts w:ascii="Times New Roman" w:cs="Times New Roman" w:eastAsia="Times New Roman" w:hAnsi="Times New Roman"/>
          <w:sz w:val="18"/>
          <w:szCs w:val="18"/>
          <w:color w:val="auto"/>
        </w:rPr>
        <w:t>Balance as of July 31, 2023</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0" w:right="1420"/>
        <w:spacing w:after="0" w:line="234" w:lineRule="auto"/>
        <w:rPr>
          <w:sz w:val="20"/>
          <w:szCs w:val="20"/>
          <w:color w:val="auto"/>
        </w:rPr>
      </w:pPr>
      <w:r>
        <w:rPr>
          <w:rFonts w:ascii="Times New Roman" w:cs="Times New Roman" w:eastAsia="Times New Roman" w:hAnsi="Times New Roman"/>
          <w:sz w:val="18"/>
          <w:szCs w:val="18"/>
          <w:color w:val="auto"/>
        </w:rPr>
        <w:t>Other comprehensive income (loss) before reclassifications, net of tax</w:t>
      </w:r>
    </w:p>
    <w:p>
      <w:pPr>
        <w:spacing w:after="0" w:line="10" w:lineRule="exact"/>
        <w:rPr>
          <w:sz w:val="20"/>
          <w:szCs w:val="20"/>
          <w:color w:val="auto"/>
        </w:rPr>
      </w:pPr>
    </w:p>
    <w:p>
      <w:pPr>
        <w:ind w:left="560" w:right="120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(2,242)</w:t>
            </w:r>
          </w:p>
        </w:tc>
        <w:tc>
          <w:tcPr>
            <w:tcW w:w="340" w:type="dxa"/>
            <w:vAlign w:val="bottom"/>
          </w:tcPr>
          <w:p>
            <w:pPr>
              <w:spacing w:after="0"/>
              <w:rPr>
                <w:sz w:val="20"/>
                <w:szCs w:val="20"/>
                <w:color w:val="auto"/>
              </w:rPr>
            </w:pP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0"/>
                <w:szCs w:val="20"/>
                <w:color w:val="auto"/>
              </w:rPr>
            </w:pPr>
          </w:p>
        </w:tc>
        <w:tc>
          <w:tcPr>
            <w:tcW w:w="8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412"/>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41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418"/>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43"/>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21"/>
                <w:szCs w:val="21"/>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418"/>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417"/>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-1360805</wp:posOffset>
            </wp:positionV>
            <wp:extent cx="644652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46520" cy="26543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-529590</wp:posOffset>
            </wp:positionV>
            <wp:extent cx="6446520" cy="265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46520" cy="26543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-949960</wp:posOffset>
            </wp:positionV>
            <wp:extent cx="64465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46520" cy="2743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60" w:space="720"/>
            <w:col w:w="5460"/>
          </w:cols>
          <w:pgMar w:left="320" w:top="891" w:right="339" w:bottom="1440" w:gutter="0" w:footer="0" w:header="0"/>
          <w:type w:val="continuous"/>
        </w:sectPr>
      </w:pPr>
    </w:p>
    <w:tbl>
      <w:tblPr>
        <w:tblLayout w:type="fixed"/>
        <w:tblInd w:w="540" w:type="dxa"/>
        <w:tblCellMar>
          <w:top w:w="0" w:type="dxa"/>
          <w:left w:w="0" w:type="dxa"/>
          <w:bottom w:w="0" w:type="dxa"/>
          <w:right w:w="0" w:type="dxa"/>
        </w:tblCellMar>
      </w:tblPr>
      <w:tr>
        <w:trPr>
          <w:trHeight w:val="158"/>
        </w:trPr>
        <w:tc>
          <w:tcPr>
            <w:tcW w:w="41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6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31, 2024</w:t>
            </w: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1,076</w:t>
            </w:r>
          </w:p>
        </w:tc>
        <w:tc>
          <w:tcPr>
            <w:tcW w:w="8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w:t>
            </w:r>
          </w:p>
        </w:tc>
        <w:tc>
          <w:tcPr>
            <w:tcW w:w="10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w:t>
            </w:r>
          </w:p>
        </w:tc>
      </w:tr>
      <w:tr>
        <w:trPr>
          <w:trHeight w:val="20"/>
        </w:trPr>
        <w:tc>
          <w:tcPr>
            <w:tcW w:w="4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net of $0.4 million of tax in fiscal years 2023.</w:t>
      </w:r>
    </w:p>
    <w:p>
      <w:pPr>
        <w:spacing w:after="0" w:line="27"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4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net of $0.5 million of tax in fiscal year 2023. Amount is included in the components of net periodic benefit cost for the pension and postretirement health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of the Notes to the Consolidated Financial Statements for further information about pension and postretirement health benefits.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1,719,500. As of July 31, 2024, there were 626,730 shares of Common Stock or Class B Stock available for future grants under this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RESTRICTED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4"/>
          <w:szCs w:val="14"/>
          <w:b w:val="1"/>
          <w:bCs w:val="1"/>
          <w:color w:val="auto"/>
        </w:rPr>
        <w:t>TOCK</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non-vested restricted stock as of July 31, 2024 was issued under the 2006 Plan with vesting periods generally from one to five years. The fair value of restricted stock was determined by the closing market price of our Common Stock on the date of grant multiplied by the number of shares granted. Fair value of shares vested in fiscal year 2024 and 2023 is $9.8 million and $2.2 million, respectively as of their vesting dates.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4" w:name="page65"/>
    <w:bookmarkEnd w:id="64"/>
    <w:p>
      <w:pPr>
        <w:ind w:left="220"/>
        <w:spacing w:after="0"/>
        <w:rPr>
          <w:sz w:val="20"/>
          <w:szCs w:val="20"/>
          <w:color w:val="auto"/>
        </w:rPr>
      </w:pPr>
      <w:r>
        <w:rPr>
          <w:rFonts w:ascii="Times New Roman" w:cs="Times New Roman" w:eastAsia="Times New Roman" w:hAnsi="Times New Roman"/>
          <w:sz w:val="18"/>
          <w:szCs w:val="18"/>
          <w:color w:val="auto"/>
        </w:rPr>
        <w:t>A summary of restricted stock transactions under the plans is shown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300" w:type="dxa"/>
            <w:vAlign w:val="bottom"/>
          </w:tcPr>
          <w:p>
            <w:pPr>
              <w:spacing w:after="0"/>
              <w:rPr>
                <w:sz w:val="16"/>
                <w:szCs w:val="16"/>
                <w:color w:val="auto"/>
              </w:rPr>
            </w:pPr>
          </w:p>
        </w:tc>
        <w:tc>
          <w:tcPr>
            <w:tcW w:w="13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Unamortized</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3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300" w:type="dxa"/>
            <w:vAlign w:val="bottom"/>
          </w:tcPr>
          <w:p>
            <w:pPr>
              <w:spacing w:after="0"/>
              <w:rPr>
                <w:sz w:val="15"/>
                <w:szCs w:val="15"/>
                <w:color w:val="auto"/>
              </w:rPr>
            </w:pPr>
          </w:p>
        </w:tc>
        <w:tc>
          <w:tcPr>
            <w:tcW w:w="13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1"/>
                <w:szCs w:val="21"/>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300" w:type="dxa"/>
            <w:vAlign w:val="bottom"/>
          </w:tcPr>
          <w:p>
            <w:pPr>
              <w:spacing w:after="0"/>
              <w:rPr>
                <w:sz w:val="21"/>
                <w:szCs w:val="21"/>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33.63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29.88</w:t>
            </w: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35.06</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29.22</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32.95</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63.06</w:t>
            </w: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214</w:t>
            </w:r>
          </w:p>
        </w:tc>
        <w:tc>
          <w:tcPr>
            <w:tcW w:w="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31.30</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39.08</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stock outstanding at July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49.63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212"/>
        <w:spacing w:after="0" w:line="282" w:lineRule="auto"/>
        <w:rPr>
          <w:sz w:val="20"/>
          <w:szCs w:val="20"/>
          <w:color w:val="auto"/>
        </w:rPr>
      </w:pPr>
      <w:r>
        <w:rPr>
          <w:rFonts w:ascii="Times New Roman" w:cs="Times New Roman" w:eastAsia="Times New Roman" w:hAnsi="Times New Roman"/>
          <w:sz w:val="18"/>
          <w:szCs w:val="18"/>
          <w:color w:val="auto"/>
        </w:rPr>
        <w:t>Stock-based compensation for restricted stock of $3.7 million and $2.4 million, net of related tax effect, was recognized in fiscal years 2024 and 2023, respectively. The total restricted stock compensation related tax benefit was $1.2 million and $0.8 million in fiscal years 2024 and 2023, respectively.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PENSION AND OTHER POSTRETIREMENT BENEFITS</w:t>
      </w:r>
    </w:p>
    <w:p>
      <w:pPr>
        <w:spacing w:after="0" w:line="256" w:lineRule="exact"/>
        <w:rPr>
          <w:sz w:val="20"/>
          <w:szCs w:val="20"/>
          <w:color w:val="auto"/>
        </w:rPr>
      </w:pPr>
    </w:p>
    <w:p>
      <w:pPr>
        <w:jc w:val="both"/>
        <w:ind w:firstLine="220"/>
        <w:spacing w:after="0" w:line="253" w:lineRule="auto"/>
        <w:rPr>
          <w:sz w:val="20"/>
          <w:szCs w:val="20"/>
          <w:color w:val="auto"/>
        </w:rPr>
      </w:pPr>
      <w:r>
        <w:rPr>
          <w:rFonts w:ascii="Times New Roman" w:cs="Times New Roman" w:eastAsia="Times New Roman" w:hAnsi="Times New Roman"/>
          <w:sz w:val="18"/>
          <w:szCs w:val="18"/>
          <w:color w:val="auto"/>
        </w:rPr>
        <w:t>The Oil-Dri Corporation of America Pension Plan ("Pension Plan") was a defined benefit pension plan for eligible salaried and hourly employees. On April 20, 2023, Oil-Dri settled $14 million of the pension obligation through the purchase of an annuity. The remaining $16 million of the pension obligation was settled on April 28, 2023, via lump-sum payments. All pension assets were remeasured immediately before settlement resulting in a net surplus amount of $3.6 million and net unrealized loss of $1.9 million included in accumulated other comprehensive income. Upon settlement of the pension obligations Oil-Dri recognized through net income all unrealized losses resulting in a $1.9 million reduction to net income included in "Loss on pension termination" within "Other Income (Expense), Net."</w:t>
      </w:r>
    </w:p>
    <w:p>
      <w:pPr>
        <w:spacing w:after="0" w:line="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27, 2023, the Executive Committee of the Company's Board of Directors approved the distribution of the surplus to a qualified defined contribution retirement fund. A portion of the surplus to be distributed to pension participants was irrevocably distributed to the 401(k) plan on April 28, 2023, which resulted in an additional $2.8 million charge to net income included in "Loss on pension termination" within "Other Income (Expense), Net." The remaining $0.8 million to be held by the 401(k) plan to cover qualified future plan expenses was recognized as a prepaid asset.</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fiscal year 2024 we did not have an active pension plan, therefore there was no accumulated benefit obligation for the Pension Plan as of July 31, 2024 or July 31, 2023.</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postretirement health benefits plan is provided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401(k) savings plan is maintained under which we match a portion of employee contributions. This plan is available to essentially all domestic employees following a specific number of days of employment. Our contributions to this plan, and to similar plans maintained by our foreign subsidiaries, were $3.9 million and $3.2 million for fiscal years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changes in the plan's benefit obligations, asset fair values and funded status by fiscal year (in thousands):</w:t>
      </w:r>
    </w:p>
    <w:p>
      <w:pPr>
        <w:spacing w:after="0" w:line="77" w:lineRule="exact"/>
        <w:rPr>
          <w:sz w:val="20"/>
          <w:szCs w:val="20"/>
          <w:color w:val="auto"/>
        </w:rPr>
      </w:pPr>
    </w:p>
    <w:tbl>
      <w:tblPr>
        <w:tblLayout w:type="fixed"/>
        <w:tblInd w:w="140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tc>
      </w:tr>
      <w:tr>
        <w:trPr>
          <w:trHeight w:val="223"/>
        </w:trPr>
        <w:tc>
          <w:tcPr>
            <w:tcW w:w="5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1,853</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1,785</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6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Funded status, recorded in Consolidated Balance Sheets</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(1,785)</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(1,853)</w:t>
            </w:r>
          </w:p>
        </w:tc>
      </w:tr>
      <w:tr>
        <w:trPr>
          <w:trHeight w:val="21"/>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“Cash Flows” below for further information about employer contributions and benefits payments.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amounts recognized in the Consolidated Balance Sheets as of July 31 (in thousands):</w:t>
      </w:r>
    </w:p>
    <w:p>
      <w:pPr>
        <w:spacing w:after="0" w:line="13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Postretirement Health</w:t>
      </w: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7" w:lineRule="exact"/>
        <w:rPr>
          <w:sz w:val="20"/>
          <w:szCs w:val="20"/>
          <w:color w:val="auto"/>
        </w:rPr>
      </w:pPr>
    </w:p>
    <w:tbl>
      <w:tblPr>
        <w:tblLayout w:type="fixed"/>
        <w:tblInd w:w="1400" w:type="dxa"/>
        <w:tblCellMar>
          <w:top w:w="0" w:type="dxa"/>
          <w:left w:w="0" w:type="dxa"/>
          <w:bottom w:w="0" w:type="dxa"/>
          <w:right w:w="0" w:type="dxa"/>
        </w:tblCellMar>
      </w:tblPr>
      <w:tr>
        <w:trPr>
          <w:trHeight w:val="236"/>
        </w:trPr>
        <w:tc>
          <w:tcPr>
            <w:tcW w:w="58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 net of tax:</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actuarial gain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Costs and Amortizations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the net periodic postretirement health benefit costs by fiscal year (in thousands):</w:t>
      </w:r>
    </w:p>
    <w:p>
      <w:pPr>
        <w:spacing w:after="0" w:line="109" w:lineRule="exact"/>
        <w:rPr>
          <w:sz w:val="20"/>
          <w:szCs w:val="20"/>
          <w:color w:val="auto"/>
        </w:rPr>
      </w:pPr>
    </w:p>
    <w:tbl>
      <w:tblPr>
        <w:tblLayout w:type="fixed"/>
        <w:tblInd w:w="246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Postretirement Health</w:t>
            </w:r>
          </w:p>
        </w:tc>
      </w:tr>
      <w:tr>
        <w:trPr>
          <w:trHeight w:val="238"/>
        </w:trPr>
        <w:tc>
          <w:tcPr>
            <w:tcW w:w="4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Benefit Cost</w:t>
            </w:r>
          </w:p>
        </w:tc>
      </w:tr>
      <w:tr>
        <w:trPr>
          <w:trHeight w:val="223"/>
        </w:trPr>
        <w:tc>
          <w:tcPr>
            <w:tcW w:w="40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service income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actuarial gain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 cost is recorded in Other, net within Other Income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The following table shows amounts, net of tax, that are recognized in other comprehensive income by fiscal year (in thousands):</w:t>
      </w:r>
    </w:p>
    <w:p>
      <w:pPr>
        <w:spacing w:after="0" w:line="133"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Postretirement Health</w:t>
      </w:r>
    </w:p>
    <w:p>
      <w:pPr>
        <w:jc w:val="center"/>
        <w:ind w:left="5320"/>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7" w:lineRule="exact"/>
        <w:rPr>
          <w:sz w:val="20"/>
          <w:szCs w:val="20"/>
          <w:color w:val="auto"/>
        </w:rPr>
      </w:pPr>
    </w:p>
    <w:tbl>
      <w:tblPr>
        <w:tblLayout w:type="fixed"/>
        <w:tblInd w:w="1960" w:type="dxa"/>
        <w:tblCellMar>
          <w:top w:w="0" w:type="dxa"/>
          <w:left w:w="0" w:type="dxa"/>
          <w:bottom w:w="0" w:type="dxa"/>
          <w:right w:w="0" w:type="dxa"/>
        </w:tblCellMar>
      </w:tblPr>
      <w:tr>
        <w:trPr>
          <w:trHeight w:val="236"/>
        </w:trPr>
        <w:tc>
          <w:tcPr>
            <w:tcW w:w="53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Prior service income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other comprehensive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postretirement health plan is an unfunded plan. Our policy is to pay health insurance premiums and claims from our assets. The following table shows the estimated future benefit payments by fiscal year (in thousands):</w:t>
      </w:r>
    </w:p>
    <w:p>
      <w:pPr>
        <w:spacing w:after="0" w:line="40" w:lineRule="exact"/>
        <w:rPr>
          <w:sz w:val="20"/>
          <w:szCs w:val="20"/>
          <w:color w:val="auto"/>
        </w:rPr>
      </w:pPr>
    </w:p>
    <w:tbl>
      <w:tblPr>
        <w:tblLayout w:type="fixed"/>
        <w:tblInd w:w="392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Postretirement</w:t>
            </w:r>
          </w:p>
        </w:tc>
      </w:tr>
      <w:tr>
        <w:trPr>
          <w:trHeight w:val="241"/>
        </w:trPr>
        <w:tc>
          <w:tcPr>
            <w:tcW w:w="1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Health Benefits</w:t>
            </w:r>
          </w:p>
        </w:tc>
      </w:tr>
      <w:tr>
        <w:trPr>
          <w:trHeight w:val="22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postretirement health benefit obligations and the related effects on operations are calculated using actuarial models. Critical assumptions that are important elements of plan expenses and asset/liability measurements include discount rate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w:t>
      </w: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discount rate was based on the FTSE Pension Discount Curve to determine the single equivalent rate that would yield the same present value as the specific plan’s expected cash flows. The discount rates for net periodic benefit costs were 4.90% and 3.82% in fiscal years 2024 and 2023, respectively. The discount rates for year-end obligations were 5.03% and 4.90% as of July 31, 2024 and 2023, respectively.</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fiscal year 2024, the medical cost trend assumption used for the postretirement health benefit cost was 7.9%. The graded trend rate is expected to decrease to an ultimate rate of 4.9% in fiscal year 2044.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DEFERRED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Oil-Dri's deferred compensation plans permit directors and certain management employees to defer portions of their compensation and to earn interest on the deferred amounts. Participants deferred $0.3 million and $0.6 million into these plans in fiscal years 2024 and 2023, respectively. We recorded $0.2 million of interest expense associated with these plans in both fiscal years 2024 and 2023. Payments to participants were $0.4 million and $0.9 million in fiscal years 2024 and 2023, respectively, and the total liability recorded for deferred compensation was $5.0 million and $4.6 million as of July 31, 2024 and 2023,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Oil-Dri Corporation of America Annual Incentive Plan provides certain executives with the opportunity to receive a deferred executive bonus award if certain financial goals are met. Deferred executive bonus awards of $1.9 million and $1.4 million were awarded for fiscal year 2024 and fiscal year 2023, respectively as financial targets under the provisions of the plan were achieved. These awards will vest and accrue interest over a 3-year period.</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 ACCRUED EXPENSES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Accrued expenses is as follows (in thousands):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20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July 31,</w:t>
            </w:r>
          </w:p>
        </w:tc>
        <w:tc>
          <w:tcPr>
            <w:tcW w:w="240" w:type="dxa"/>
            <w:vAlign w:val="bottom"/>
          </w:tcPr>
          <w:p>
            <w:pPr>
              <w:spacing w:after="0"/>
              <w:rPr>
                <w:sz w:val="17"/>
                <w:szCs w:val="17"/>
                <w:color w:val="auto"/>
              </w:rPr>
            </w:pPr>
          </w:p>
        </w:tc>
        <w:tc>
          <w:tcPr>
            <w:tcW w:w="108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204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204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Wages, Commissions and Employee Benefits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20,711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r>
      <w:tr>
        <w:trPr>
          <w:trHeight w:val="230"/>
        </w:trPr>
        <w:tc>
          <w:tcPr>
            <w:tcW w:w="20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11,586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r>
      <w:tr>
        <w:trPr>
          <w:trHeight w:val="229"/>
        </w:trPr>
        <w:tc>
          <w:tcPr>
            <w:tcW w:w="204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29"/>
        </w:trPr>
        <w:tc>
          <w:tcPr>
            <w:tcW w:w="20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30"/>
        </w:trPr>
        <w:tc>
          <w:tcPr>
            <w:tcW w:w="204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29"/>
        </w:trPr>
        <w:tc>
          <w:tcPr>
            <w:tcW w:w="20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Landfill Modification Reserve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29"/>
        </w:trPr>
        <w:tc>
          <w:tcPr>
            <w:tcW w:w="204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23"/>
        </w:trPr>
        <w:tc>
          <w:tcPr>
            <w:tcW w:w="20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44,016</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36,868</w:t>
            </w:r>
          </w:p>
        </w:tc>
      </w:tr>
      <w:tr>
        <w:trPr>
          <w:trHeight w:val="21"/>
        </w:trPr>
        <w:tc>
          <w:tcPr>
            <w:tcW w:w="20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party to various legal actions that arise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second quarter of fiscal year 2023, we recorded a reserve of $2.5 million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During fiscal year 2024, work began on the modifications and we recorded an additional reserve of $0.6 million to reflect an update to our best estimate. This has been offset by $1.9 million of payments made to date. The modification work is expected to be completed during fiscal year 2025. Inherent uncertainties exist in these estimates primarily due to unknown conditions, changing governmental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56" w:lineRule="exact"/>
        <w:rPr>
          <w:sz w:val="20"/>
          <w:szCs w:val="20"/>
          <w:color w:val="auto"/>
        </w:rPr>
      </w:pPr>
    </w:p>
    <w:p>
      <w:pPr>
        <w:jc w:val="both"/>
        <w:ind w:firstLine="220"/>
        <w:spacing w:after="0" w:line="254"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ind w:left="220"/>
        <w:spacing w:after="0"/>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Operating lease costs are included in Cost of Goods Sold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based on the nature of the lease. The following table summarizes total lease costs for our operating leases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270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Twelve Months Ended July 31,</w:t>
            </w:r>
          </w:p>
        </w:tc>
      </w:tr>
      <w:tr>
        <w:trPr>
          <w:trHeight w:val="250"/>
        </w:trPr>
        <w:tc>
          <w:tcPr>
            <w:tcW w:w="23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r>
    </w:tbl>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36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Twelve Months Ended July 31,</w:t>
            </w:r>
          </w:p>
        </w:tc>
        <w:tc>
          <w:tcPr>
            <w:tcW w:w="0" w:type="dxa"/>
            <w:vAlign w:val="bottom"/>
          </w:tcPr>
          <w:p>
            <w:pPr>
              <w:spacing w:after="0"/>
              <w:rPr>
                <w:sz w:val="1"/>
                <w:szCs w:val="1"/>
                <w:color w:val="auto"/>
              </w:rPr>
            </w:pPr>
          </w:p>
        </w:tc>
      </w:tr>
      <w:tr>
        <w:trPr>
          <w:trHeight w:val="250"/>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3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Consolidated Balance Sheets. Other supplemental balance sheet information related to leases was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52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For the Twelve Months Ended July 31,</w:t>
            </w:r>
          </w:p>
        </w:tc>
      </w:tr>
      <w:tr>
        <w:trPr>
          <w:trHeight w:val="223"/>
        </w:trPr>
        <w:tc>
          <w:tcPr>
            <w:tcW w:w="6020" w:type="dxa"/>
            <w:vAlign w:val="bottom"/>
          </w:tcPr>
          <w:p>
            <w:pPr>
              <w:spacing w:after="0"/>
              <w:rPr>
                <w:sz w:val="19"/>
                <w:szCs w:val="19"/>
                <w:color w:val="auto"/>
              </w:rPr>
            </w:pPr>
          </w:p>
        </w:tc>
        <w:tc>
          <w:tcPr>
            <w:tcW w:w="24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4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 operating leases</w:t>
            </w: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5.4 years</w:t>
            </w:r>
          </w:p>
        </w:tc>
        <w:tc>
          <w:tcPr>
            <w:tcW w:w="260" w:type="dxa"/>
            <w:vAlign w:val="bottom"/>
          </w:tcPr>
          <w:p>
            <w:pPr>
              <w:spacing w:after="0"/>
              <w:rPr>
                <w:sz w:val="19"/>
                <w:szCs w:val="19"/>
                <w:color w:val="auto"/>
              </w:rPr>
            </w:pP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7.7 years</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 - operating leases</w:t>
            </w:r>
          </w:p>
        </w:tc>
        <w:tc>
          <w:tcPr>
            <w:tcW w:w="24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5.10%</w:t>
            </w:r>
          </w:p>
        </w:tc>
        <w:tc>
          <w:tcPr>
            <w:tcW w:w="260" w:type="dxa"/>
            <w:vAlign w:val="bottom"/>
            <w:shd w:val="clear" w:color="auto" w:fill="CCEEFF"/>
          </w:tcPr>
          <w:p>
            <w:pPr>
              <w:spacing w:after="0"/>
              <w:rPr>
                <w:sz w:val="19"/>
                <w:szCs w:val="19"/>
                <w:color w:val="auto"/>
              </w:rPr>
            </w:pPr>
          </w:p>
        </w:tc>
        <w:tc>
          <w:tcPr>
            <w:tcW w:w="24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4.03%</w:t>
            </w:r>
          </w:p>
        </w:tc>
      </w:tr>
    </w:tbl>
    <w:p>
      <w:pPr>
        <w:spacing w:after="0" w:line="31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scheduled minimum future lease payments due within twelve months for operating leases with terms longer than one year for which cash flows are fixed and determinable as of July 31, 2024 (in thousands):</w:t>
      </w:r>
    </w:p>
    <w:p>
      <w:pPr>
        <w:spacing w:after="0" w:line="85"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5,441</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4,724</w:t>
            </w: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3,758</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2,949</w:t>
            </w: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2,356</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22,708</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(2,761)</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19,947</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p>
      <w:pPr>
        <w:spacing w:after="0" w:line="256"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One member of our Board of Directors is currently the President and Chief Executive Officer of a vendor of ours. Total payments to this vendor for fees and cost reimbursements were $2.0 million and $0.2 million for fiscal years 2024 and 2023, respectively. There were $0.1 million of outstanding fees due to that vendor as of July 31, 2024. There were no outstanding amounts due to that vendor as of July 31, 2023.</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One member of our Board of Directors retired from the role of President and Chief Executive Officer of a customer of ours on September 28, 2019 and is currently party to a post-employment consulting agreement with the customer. Total sales to that customer, including sales to subsidiaries of that customer, were $0.2 million for both fiscal year 2024 and 2023. There were no outstanding amounts due from that customer as of July 31, 2024 or 2023.</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framework) issued by the Committee Sponsoring Organizations of the Treadway Commission (COSO). Based on our assessment,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our internal control over financial reporting was effective as of July 31, 2024.</w:t>
      </w:r>
    </w:p>
    <w:p>
      <w:pPr>
        <w:spacing w:after="0" w:line="22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ind w:firstLine="216"/>
        <w:spacing w:after="0" w:line="250" w:lineRule="auto"/>
        <w:rPr>
          <w:sz w:val="20"/>
          <w:szCs w:val="20"/>
          <w:color w:val="auto"/>
        </w:rPr>
      </w:pPr>
      <w:r>
        <w:rPr>
          <w:rFonts w:ascii="Times New Roman" w:cs="Times New Roman" w:eastAsia="Times New Roman" w:hAnsi="Times New Roman"/>
          <w:sz w:val="18"/>
          <w:szCs w:val="18"/>
          <w:color w:val="auto"/>
        </w:rPr>
        <w:t>Our internal controls over financial reporting as of July 31, 2024 have been audited by Grant Thornton LLP, an independent registered public accounting firm, as stated in their report included below under the heading “Report of Independent Registered Public Accounting Firm.” The attestation report of Grant Thornton LLP on the Company’s internal control over financial reporting is also included under this heading below.</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FFFFFF"/>
        </w:rPr>
        <w:t>of Directors and Shareholders</w:t>
      </w:r>
    </w:p>
    <w:p>
      <w:pPr>
        <w:spacing w:after="0" w:line="221" w:lineRule="auto"/>
        <w:rPr>
          <w:sz w:val="20"/>
          <w:szCs w:val="20"/>
          <w:color w:val="auto"/>
        </w:rPr>
      </w:pPr>
      <w:r>
        <w:rPr>
          <w:rFonts w:ascii="Times New Roman" w:cs="Times New Roman" w:eastAsia="Times New Roman" w:hAnsi="Times New Roman"/>
          <w:sz w:val="18"/>
          <w:szCs w:val="18"/>
          <w:color w:val="auto"/>
        </w:rPr>
        <w:t>Board of Directors and Shareholders</w:t>
      </w: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4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Oil-Dri Corporation of America (a Delaware corporation) and subsidiaries (the “Company”) as of July 31, 2024 and 2023, and the related consolidated statements of operations, comprehensive income, stockholders’ equity, and cash flows for each of the years in the two-year period ended July 31, 2024, and the related notes and financial statement schedule included under Item 15(a) (collectively referred to as the “financial statements”). We also have audited the Company’s internal control over financial reporting as of July 31, 2024, based on criteria established in the 2013 Internal Control—Integrated Framework issued by the Committee of Sponsoring Organizations of the Treadway Commission (“COSO”).</w:t>
      </w:r>
    </w:p>
    <w:p>
      <w:pPr>
        <w:spacing w:after="0" w:line="21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In our opinion, the financial statements referred to above present fairly, in all material respects, the financial position of the Company as of July 31, 2024 and 2023, and the results of its operations and its cash flows for each of the two years in the period ended July 31, 2024 in conformity with accounting principles generally accepted in the United States of America. Also in our opinion, the Company maintained, in all material respects, effective internal control over financial reporting as of July 31, 2024, based on criteria established in the 2013 Internal Control—Integrated Framework issued by COSO.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4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w:t>
      </w:r>
    </w:p>
    <w:p>
      <w:pPr>
        <w:spacing w:after="0" w:line="2"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18"/>
          <w:szCs w:val="18"/>
          <w:color w:val="auto"/>
        </w:rPr>
        <w:t>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6"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Our audit of, and opinion on, the Company’s internal control over financial reporting does not include the internal control over financial reporting of Ultra Pet Company Inc. (“Ultra Pet”), a wholly-owned subsidiary, whose financial statements reflect total assets and net sales constituting 3% and 1%, respectively, of the related consolidated financial statement amounts as of and for the year ended July 31, 2024. As indicated in Management’s Report, Ultra Pet, was acquired during 2024. Management’s assertion on the effectiveness of the Company’s internal control over financial reporting excluded internal control over financial reporting of Ultra Pet.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72" w:name="page73"/>
    <w:bookmarkEnd w:id="72"/>
    <w:p>
      <w:pPr>
        <w:ind w:right="280"/>
        <w:spacing w:after="0" w:line="245" w:lineRule="auto"/>
        <w:rPr>
          <w:sz w:val="20"/>
          <w:szCs w:val="20"/>
          <w:color w:val="auto"/>
        </w:rPr>
      </w:pPr>
      <w:r>
        <w:rPr>
          <w:rFonts w:ascii="Times New Roman" w:cs="Times New Roman" w:eastAsia="Times New Roman" w:hAnsi="Times New Roman"/>
          <w:sz w:val="18"/>
          <w:szCs w:val="18"/>
          <w:color w:val="auto"/>
        </w:rPr>
        <w:t>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providing a separate opinion on the critical audit matter or on the accounts or disclosures to which it relates.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Ultra Pet Company Inc. - Valuation of Trade Name and Customer List Intangible Assets</w:t>
      </w:r>
    </w:p>
    <w:p>
      <w:pPr>
        <w:spacing w:after="0" w:line="25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As described further in Note 2 to the financial statements, the Company acquired Ultra Pet Company Inc. (“Ultra Pet”), on May 1, 2024 for a total purchase price of approximately $44.3 million, net of cash acquired. The Company has recorded, on a preliminary basis, the assets acquired and liabilities assumed based on their estimated fair values, including customer list and trade name intangible assets of $20.4 million and $5.2 million, respectively. We identified the valuation of acquired Ultra Pet customer list and trade name intangible assets as a critical audit matter.</w:t>
      </w:r>
    </w:p>
    <w:p>
      <w:pPr>
        <w:spacing w:after="0" w:line="198"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valuation of acquired Ultra Pet customer list and trade name intangible assets is a critical audit matter are (i) the significant judgment by management when determining assumptions used in the fair value measurement of acquired intangible assets (ii) the high degree of auditor judgment and subjectivity in performing procedures and evaluating management’s significant assumptions relating to the projected financial information including revenue growth rate, weighted average cost of capital (WACC), royalty rate, and customer attrition rates and (iii) the audit effort involved the use of professionals with specialized skills and knowledge.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valuation of the acquired customer list and trade name intangible assets included the following, among others:</w:t>
      </w:r>
    </w:p>
    <w:p>
      <w:pPr>
        <w:spacing w:after="0" w:line="225" w:lineRule="exact"/>
        <w:rPr>
          <w:sz w:val="20"/>
          <w:szCs w:val="20"/>
          <w:color w:val="auto"/>
        </w:rPr>
      </w:pPr>
    </w:p>
    <w:p>
      <w:pPr>
        <w:ind w:left="660" w:right="320" w:hanging="328"/>
        <w:spacing w:after="0" w:line="23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the controls over the Company’s acquisition and valuation process, including review of the valuation model, significant assumptions used, and the completeness and accuracy of the underlying data used</w:t>
      </w:r>
    </w:p>
    <w:p>
      <w:pPr>
        <w:ind w:left="660" w:right="60" w:hanging="328"/>
        <w:spacing w:after="0" w:line="22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projected financial information including forecasted revenue growth rate by assessing the reasonableness of management’s forecasts compared to historical results and forecasted industry trends</w:t>
      </w:r>
    </w:p>
    <w:p>
      <w:pPr>
        <w:spacing w:after="0" w:line="1" w:lineRule="exact"/>
        <w:rPr>
          <w:rFonts w:ascii="Times New Roman" w:cs="Times New Roman" w:eastAsia="Times New Roman" w:hAnsi="Times New Roman"/>
          <w:sz w:val="18"/>
          <w:szCs w:val="18"/>
          <w:color w:val="auto"/>
        </w:rPr>
      </w:pPr>
    </w:p>
    <w:p>
      <w:pPr>
        <w:ind w:left="660" w:right="180" w:hanging="328"/>
        <w:spacing w:after="0" w:line="23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assessed the assumptions and methodologies used in developing the WACC, royalty rate, and customer attrition rates by developing a range of independent estimates and comparing those to the rates selected by management.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244"/>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2024, the Company completed its acquisition of Ultra Pet as discussed in Note 2 - Acquisition. Management has excluded Ultra Pet's internal controls from its assessment of the effectiveness of internal controls over financial reporting as of July 31, 2024. Ultra Pet's net sales and total assets (excluding goodwill and intangible assets, which were integrated into the Company's control environment) represent approximately 1% and 3% percent, respectively, of the consolidated financial statement amounts for the fiscal year ended, and as of July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 is set forth in Part II, Item 8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7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year ended July 31, 2024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7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year 2024, none of our officers or directors adopted or terminated a "Rule 10b5-1 trading arrangement" or "non-Rule 10b5-1 trading arrangement" (each as defined in Item 408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ITEM 9C - DISCLOSURE REGARDING FOREIGN JURISDICTIONS THAT PREVENT INSPECTIONS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3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6"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(except as set forth below) will be included in Oil-Dri’s Proxy Statement for its 2024 annual meeting of stockholders under the captions “PROPOSALS - 1. Election of Directors,” “Executive Officers,” “CORPORATE GOVERNANCE MATTERS - Director Nominations,” “Board of Directors Committee Membership and Meetings,” (including the “Audit Committee” section thereunder) and “Corporate Governance Matters” and is incorporated herein by this reference.</w:t>
      </w:r>
    </w:p>
    <w:p>
      <w:pPr>
        <w:spacing w:after="0" w:line="220" w:lineRule="exact"/>
        <w:rPr>
          <w:sz w:val="20"/>
          <w:szCs w:val="20"/>
          <w:color w:val="auto"/>
        </w:rPr>
      </w:pPr>
    </w:p>
    <w:p>
      <w:pPr>
        <w:jc w:val="both"/>
        <w:ind w:firstLine="229"/>
        <w:spacing w:after="0" w:line="254" w:lineRule="auto"/>
        <w:rPr>
          <w:sz w:val="20"/>
          <w:szCs w:val="20"/>
          <w:color w:val="auto"/>
        </w:rPr>
      </w:pPr>
      <w:r>
        <w:rPr>
          <w:rFonts w:ascii="Times New Roman" w:cs="Times New Roman" w:eastAsia="Times New Roman" w:hAnsi="Times New Roman"/>
          <w:sz w:val="18"/>
          <w:szCs w:val="18"/>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(as defined by the NYSE rules) and its compensation committee does not have a charter.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227"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Oil-Dri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Proxy Statement for its 2024 annual meeting of stockholders under the captions “Executive Compensation,” “CORPORATE GOVERNANCE MATTERS – Director Compensation,” and “Board of Directors Committee Membership and Meetings,” (including the “Compensation Committee” thereunder) and is incorporated herein by reference.</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w:t>
      </w:r>
    </w:p>
    <w:p>
      <w:pPr>
        <w:spacing w:after="0" w:line="163" w:lineRule="exact"/>
        <w:rPr>
          <w:sz w:val="20"/>
          <w:szCs w:val="20"/>
          <w:color w:val="auto"/>
        </w:rPr>
      </w:pPr>
    </w:p>
    <w:p>
      <w:pPr>
        <w:jc w:val="both"/>
        <w:ind w:firstLine="337"/>
        <w:spacing w:after="0" w:line="284" w:lineRule="auto"/>
        <w:rPr>
          <w:sz w:val="20"/>
          <w:szCs w:val="20"/>
          <w:color w:val="auto"/>
        </w:rPr>
      </w:pPr>
      <w:r>
        <w:rPr>
          <w:rFonts w:ascii="Times New Roman" w:cs="Times New Roman" w:eastAsia="Times New Roman" w:hAnsi="Times New Roman"/>
          <w:sz w:val="18"/>
          <w:szCs w:val="18"/>
          <w:color w:val="auto"/>
        </w:rPr>
        <w:t xml:space="preserve">Except as set forth herein,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information required by this Item will be included in Oil-Dri’s Proxy Statement for its 2024 annual meeting of stockholders under the captions “Principal Stockholders” and “Security Ownership of Management” and is incorporated herein by reference.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Compensation Plan Information. </w:t>
      </w:r>
      <w:r>
        <w:rPr>
          <w:rFonts w:ascii="Times New Roman" w:cs="Times New Roman" w:eastAsia="Times New Roman" w:hAnsi="Times New Roman"/>
          <w:sz w:val="18"/>
          <w:szCs w:val="18"/>
          <w:color w:val="auto"/>
        </w:rPr>
        <w:t>The following table presents information about compensation plans under which our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authorized for issuance. There are no outstanding stock options as of July 31, 2024. See Note 8 of the Notes to the Consolidated Financial Statements for further information about these stock-based compensation plans.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As Of July 31, 2024</w:t>
      </w:r>
    </w:p>
    <w:p>
      <w:pPr>
        <w:spacing w:after="0" w:line="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49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further issuance under</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 of</w:t>
            </w:r>
          </w:p>
        </w:tc>
        <w:tc>
          <w:tcPr>
            <w:tcW w:w="1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37"/>
        </w:trPr>
        <w:tc>
          <w:tcPr>
            <w:tcW w:w="4960" w:type="dxa"/>
            <w:vAlign w:val="bottom"/>
          </w:tcPr>
          <w:p>
            <w:pPr>
              <w:spacing w:after="0"/>
              <w:rPr>
                <w:sz w:val="11"/>
                <w:szCs w:val="11"/>
                <w:color w:val="auto"/>
              </w:rPr>
            </w:pPr>
          </w:p>
        </w:tc>
        <w:tc>
          <w:tcPr>
            <w:tcW w:w="17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options (in</w:t>
            </w:r>
          </w:p>
        </w:tc>
        <w:tc>
          <w:tcPr>
            <w:tcW w:w="1920" w:type="dxa"/>
            <w:vAlign w:val="bottom"/>
            <w:gridSpan w:val="2"/>
            <w:vMerge w:val="continue"/>
          </w:tcPr>
          <w:p>
            <w:pPr>
              <w:spacing w:after="0"/>
              <w:rPr>
                <w:sz w:val="11"/>
                <w:szCs w:val="11"/>
                <w:color w:val="auto"/>
              </w:rPr>
            </w:pPr>
          </w:p>
        </w:tc>
        <w:tc>
          <w:tcPr>
            <w:tcW w:w="22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46"/>
        </w:trPr>
        <w:tc>
          <w:tcPr>
            <w:tcW w:w="496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9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column (a)) (in thousands)</w:t>
            </w:r>
          </w:p>
        </w:tc>
        <w:tc>
          <w:tcPr>
            <w:tcW w:w="0" w:type="dxa"/>
            <w:vAlign w:val="bottom"/>
          </w:tcPr>
          <w:p>
            <w:pPr>
              <w:spacing w:after="0"/>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firstLine="177"/>
        <w:spacing w:after="0" w:line="282" w:lineRule="auto"/>
        <w:rPr>
          <w:sz w:val="20"/>
          <w:szCs w:val="20"/>
          <w:color w:val="auto"/>
        </w:rPr>
      </w:pPr>
      <w:r>
        <w:rPr>
          <w:rFonts w:ascii="Times New Roman" w:cs="Times New Roman" w:eastAsia="Times New Roman" w:hAnsi="Times New Roman"/>
          <w:sz w:val="18"/>
          <w:szCs w:val="18"/>
          <w:color w:val="auto"/>
        </w:rPr>
        <w:t>The number of securities remaining in column (c) above includes, in accordance with the terms of the plan, shares that were: 1) not vested or exercised in full due to expiration or termination, or 2) tendered or withheld for payment of the exercise price or to satisfy tax withholding amounts.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2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Oil-Dri’s Proxy Statement for its 2024 annual meeting of stockholders under the captions</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GOVERNANCE MATTERS – Certain Relationships and Related Party Transactions” and “Director Independence”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 PRINCIPAL ACCOUNTANT FEES AND SERVICES</w:t>
      </w:r>
    </w:p>
    <w:p>
      <w:pPr>
        <w:spacing w:after="0" w:line="270" w:lineRule="exact"/>
        <w:rPr>
          <w:sz w:val="20"/>
          <w:szCs w:val="20"/>
          <w:color w:val="auto"/>
        </w:rPr>
      </w:pPr>
    </w:p>
    <w:p>
      <w:pPr>
        <w:ind w:firstLine="283"/>
        <w:spacing w:after="0" w:line="297"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Oil-Dri’s Proxy Statement for its 2024 annual meeting of stockholders under the caption “Other Matters Relating to the Independent Auditor - Auditor Fees” and is incorporated herein by reference.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7" w:name="page78"/>
    <w:bookmarkEnd w:id="77"/>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 EXHIBITS AND FINANCIAL STATEMENT SCHEDULE</w:t>
      </w:r>
    </w:p>
    <w:p>
      <w:pPr>
        <w:spacing w:after="0" w:line="270"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The following consolidated financial statements are contained herein.</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Consolidated Balance Sheets as of July 31, 2024 and July 31, 2023.</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Consolidated Statements of Operations for the fiscal years ended July 31, 2024 and July 31, 2023.</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July 31, 2024 and July 31, 2023.</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fiscal years ended July 31, 2024 and July 31, 2023.</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July 31, 2024 and July 31, 2023.</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The following financial statement schedule is contained herein:</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Schedule to Financial Statements, as follows:</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Schedule II - Valuation and Qualifying Accounts, years ended July 31, 2024 and July 31, 2023.</w:t>
      </w:r>
    </w:p>
    <w:p>
      <w:pPr>
        <w:spacing w:after="0" w:line="252" w:lineRule="exact"/>
        <w:rPr>
          <w:sz w:val="20"/>
          <w:szCs w:val="20"/>
          <w:color w:val="auto"/>
        </w:rPr>
      </w:pPr>
    </w:p>
    <w:p>
      <w:pPr>
        <w:ind w:left="1260" w:right="320"/>
        <w:spacing w:after="0" w:line="237" w:lineRule="auto"/>
        <w:rPr>
          <w:sz w:val="20"/>
          <w:szCs w:val="20"/>
          <w:color w:val="auto"/>
        </w:rPr>
      </w:pPr>
      <w:r>
        <w:rPr>
          <w:rFonts w:ascii="Times New Roman" w:cs="Times New Roman" w:eastAsia="Times New Roman" w:hAnsi="Times New Roman"/>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200"/>
          </w:cols>
          <w:pgMar w:left="320" w:top="887" w:right="379" w:bottom="1440" w:gutter="0" w:footer="0" w:header="0"/>
        </w:sect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(a)(3)</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documents are exhibits to this Report:</w:t>
            </w:r>
          </w:p>
        </w:tc>
      </w:tr>
      <w:tr>
        <w:trPr>
          <w:trHeight w:val="535"/>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Exhibit</w:t>
            </w:r>
          </w:p>
        </w:tc>
        <w:tc>
          <w:tcPr>
            <w:tcW w:w="4580" w:type="dxa"/>
            <w:vAlign w:val="bottom"/>
          </w:tcPr>
          <w:p>
            <w:pPr>
              <w:spacing w:after="0"/>
              <w:rPr>
                <w:sz w:val="24"/>
                <w:szCs w:val="24"/>
                <w:color w:val="auto"/>
              </w:rPr>
            </w:pPr>
          </w:p>
        </w:tc>
      </w:tr>
      <w:tr>
        <w:trPr>
          <w:trHeight w:val="234"/>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No.</w:t>
            </w:r>
          </w:p>
        </w:tc>
        <w:tc>
          <w:tcPr>
            <w:tcW w:w="45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Description</w:t>
            </w:r>
          </w:p>
        </w:tc>
      </w:tr>
      <w:tr>
        <w:trPr>
          <w:trHeight w:val="178"/>
        </w:trPr>
        <w:tc>
          <w:tcPr>
            <w:tcW w:w="9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2.1**</w:t>
            </w:r>
          </w:p>
        </w:tc>
        <w:tc>
          <w:tcPr>
            <w:tcW w:w="340" w:type="dxa"/>
            <w:vAlign w:val="bottom"/>
          </w:tcPr>
          <w:p>
            <w:pPr>
              <w:spacing w:after="0"/>
              <w:rPr>
                <w:sz w:val="15"/>
                <w:szCs w:val="15"/>
                <w:color w:val="auto"/>
              </w:rPr>
            </w:pPr>
          </w:p>
        </w:tc>
        <w:tc>
          <w:tcPr>
            <w:tcW w:w="45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Stock Purchase Agreement, dated April 16, 2024, by and</w:t>
            </w:r>
          </w:p>
        </w:tc>
      </w:tr>
      <w:tr>
        <w:trPr>
          <w:trHeight w:val="180"/>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among the Oil-Dri Corporation of America, Ultra Pet, LLC,</w:t>
            </w: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Ultra Pet Company, Inc., and certain equity holders of Ultra</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 LLC set forth on the signature page thereto.</w:t>
            </w:r>
          </w:p>
        </w:tc>
      </w:tr>
      <w:tr>
        <w:trPr>
          <w:trHeight w:val="441"/>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Incorporation of Oil-Dri, as amended.</w:t>
            </w:r>
          </w:p>
        </w:tc>
      </w:tr>
      <w:tr>
        <w:trPr>
          <w:trHeight w:val="77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By-Laws of Oil-Dri Corporation of America, as Amended and</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Restated on December 12, 2017.</w:t>
            </w:r>
          </w:p>
        </w:tc>
      </w:tr>
      <w:tr>
        <w:trPr>
          <w:trHeight w:val="445"/>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Capital Stock</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Incorporated by reference to Exhibit 2.1 to Oil-Dri's Current Report</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on Form 8-K (File No. 001-12622) filed on April 16, 2024.</w:t>
        </w:r>
      </w:hyperlink>
    </w:p>
    <w:p>
      <w:pPr>
        <w:spacing w:after="0" w:line="200" w:lineRule="exact"/>
        <w:rPr>
          <w:sz w:val="20"/>
          <w:szCs w:val="20"/>
          <w:color w:val="auto"/>
        </w:rPr>
      </w:pPr>
    </w:p>
    <w:p>
      <w:pPr>
        <w:spacing w:after="0" w:line="3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Incorporated by reference to Exhibit 4.1 to Oil-Dri’s Registration</w:t>
        </w:r>
      </w:hyperlink>
    </w:p>
    <w:p>
      <w:pPr>
        <w:spacing w:after="0" w:line="2" w:lineRule="exact"/>
        <w:rPr>
          <w:sz w:val="20"/>
          <w:szCs w:val="20"/>
          <w:color w:val="auto"/>
        </w:rPr>
      </w:pPr>
    </w:p>
    <w:p>
      <w:pPr>
        <w:spacing w:after="0" w:line="226"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Statement on Form S-8 (Registration No. 333-57625), filed on June</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24, 1998.</w:t>
        </w:r>
      </w:hyperlink>
    </w:p>
    <w:p>
      <w:pPr>
        <w:spacing w:after="0" w:line="225"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Incorporated by reference to Exhibit 3 to Oil-Dri’s (file No. 001-</w:t>
        </w:r>
      </w:hyperlink>
      <w:hyperlink r:id="rId102">
        <w:r>
          <w:rPr>
            <w:rFonts w:ascii="Times New Roman" w:cs="Times New Roman" w:eastAsia="Times New Roman" w:hAnsi="Times New Roman"/>
            <w:sz w:val="18"/>
            <w:szCs w:val="18"/>
            <w:u w:val="single" w:color="auto"/>
            <w:color w:val="0000FF"/>
          </w:rPr>
          <w:t>12622) Quarterly Report on Form 10-Q filed on March 9, 2018.</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27" w:lineRule="exact"/>
        <w:rPr>
          <w:sz w:val="20"/>
          <w:szCs w:val="20"/>
          <w:color w:val="auto"/>
        </w:rPr>
      </w:pPr>
    </w:p>
    <w:p>
      <w:pPr>
        <w:sectPr>
          <w:pgSz w:w="11900" w:h="16838" w:orient="portrait"/>
          <w:cols w:equalWidth="0" w:num="2">
            <w:col w:w="5840" w:space="360"/>
            <w:col w:w="5000"/>
          </w:cols>
          <w:pgMar w:left="320" w:top="887" w:right="37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Exhibit</w:t>
            </w:r>
          </w:p>
        </w:tc>
        <w:tc>
          <w:tcPr>
            <w:tcW w:w="4580" w:type="dxa"/>
            <w:vAlign w:val="bottom"/>
          </w:tcPr>
          <w:p>
            <w:pPr>
              <w:spacing w:after="0"/>
              <w:rPr>
                <w:sz w:val="17"/>
                <w:szCs w:val="17"/>
                <w:color w:val="auto"/>
              </w:rPr>
            </w:pPr>
          </w:p>
        </w:tc>
      </w:tr>
      <w:tr>
        <w:trPr>
          <w:trHeight w:val="243"/>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No.</w:t>
            </w:r>
          </w:p>
        </w:tc>
        <w:tc>
          <w:tcPr>
            <w:tcW w:w="45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Description</w:t>
            </w:r>
          </w:p>
        </w:tc>
      </w:tr>
      <w:tr>
        <w:trPr>
          <w:trHeight w:val="191"/>
        </w:trPr>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6"/>
                <w:szCs w:val="16"/>
                <w:color w:val="auto"/>
              </w:rPr>
            </w:pPr>
          </w:p>
        </w:tc>
        <w:tc>
          <w:tcPr>
            <w:tcW w:w="45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Memorandum of Agreement #1450 “Fresh Step“</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dated as of</w:t>
            </w:r>
          </w:p>
        </w:tc>
      </w:tr>
      <w:tr>
        <w:trPr>
          <w:trHeight w:val="189"/>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March  12,  2001  between  A&amp;M  Products  Manufacturing</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and Oil-Dri.</w:t>
            </w:r>
          </w:p>
        </w:tc>
      </w:tr>
      <w:tr>
        <w:trPr>
          <w:trHeight w:val="39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dated  as  of  December  13,  2002,  to</w:t>
            </w:r>
          </w:p>
        </w:tc>
      </w:tr>
      <w:tr>
        <w:trPr>
          <w:trHeight w:val="211"/>
        </w:trPr>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Memorandum of Agreement #1450 “Fresh Step”</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dated as of</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12, 2001.</w:t>
            </w:r>
          </w:p>
        </w:tc>
      </w:tr>
      <w:tr>
        <w:trPr>
          <w:trHeight w:val="391"/>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dated  as  of  October  15,  2007,  to</w:t>
            </w:r>
          </w:p>
        </w:tc>
      </w:tr>
      <w:tr>
        <w:trPr>
          <w:trHeight w:val="211"/>
        </w:trPr>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Memorandum of Agreement #1450 “Fresh Step”</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dated as of</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12, 2001.</w:t>
            </w:r>
          </w:p>
        </w:tc>
      </w:tr>
      <w:tr>
        <w:trPr>
          <w:trHeight w:val="391"/>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dated  as  of  May  27,  2016,  to</w:t>
            </w:r>
          </w:p>
        </w:tc>
      </w:tr>
      <w:tr>
        <w:trPr>
          <w:trHeight w:val="211"/>
        </w:trPr>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Memorandum of Agreement #1450 “Fresh Step”</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dated as of</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12, 2001.</w:t>
            </w:r>
          </w:p>
        </w:tc>
      </w:tr>
      <w:tr>
        <w:trPr>
          <w:trHeight w:val="39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Amendment, dated as of December 4, 2020, to</w:t>
            </w: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Memorandum of Agreement #1450 “Fresh Step”® dated as of</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12, 2001.†</w:t>
            </w:r>
          </w:p>
        </w:tc>
      </w:tr>
      <w:tr>
        <w:trPr>
          <w:trHeight w:val="40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Fifth Amendment, dated as of April 10, 2023, to</w:t>
            </w:r>
          </w:p>
        </w:tc>
      </w:tr>
      <w:tr>
        <w:trPr>
          <w:trHeight w:val="189"/>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Memorandum of Agreement #1450 “Fresh Step”® dated as of</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12, 2001.†</w:t>
            </w:r>
          </w:p>
        </w:tc>
      </w:tr>
      <w:tr>
        <w:trPr>
          <w:trHeight w:val="427"/>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Amendment, dated as of June 29, 2023, to Memorandum</w:t>
            </w:r>
          </w:p>
        </w:tc>
      </w:tr>
      <w:tr>
        <w:trPr>
          <w:trHeight w:val="189"/>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of Agreement #1450 “Fresh Step”® dated as of March 12,</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2001.†</w:t>
            </w:r>
          </w:p>
        </w:tc>
      </w:tr>
      <w:tr>
        <w:trPr>
          <w:trHeight w:val="427"/>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Seventh Amendment, dated as of September 21, 2023, to</w:t>
            </w:r>
          </w:p>
        </w:tc>
      </w:tr>
      <w:tr>
        <w:trPr>
          <w:trHeight w:val="189"/>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Memorandum of Agreement #1450 “Fresh Step”® dated as of</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12, 2001.†</w:t>
            </w:r>
          </w:p>
        </w:tc>
      </w:tr>
      <w:tr>
        <w:trPr>
          <w:trHeight w:val="41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Eighth  Amendment,  dated  as  of  January  25.  2024,  to</w:t>
            </w: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Memorandum of Agreement #1450 "Fresh Step" ™ dated as</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March 12, 2001.</w:t>
            </w: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Exclusive Supply Agreement dated May 19, 1999 between</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Church &amp; Dwight Co., Inc. and Oil-Dri.</w:t>
            </w:r>
          </w:p>
        </w:tc>
      </w:tr>
      <w:tr>
        <w:trPr>
          <w:trHeight w:val="57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dated  January  27,  2006  among  the</w:t>
            </w: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Company, certain subsidiaries of the Company and Harris</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dated as of December 19, 2008 to Credit</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as of January 27, 2006.</w:t>
            </w:r>
          </w:p>
        </w:tc>
      </w:tr>
      <w:tr>
        <w:trPr>
          <w:trHeight w:val="58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dated as of December 21, 2011 to Credit</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as of January 27, 2006.</w:t>
            </w:r>
          </w:p>
        </w:tc>
      </w:tr>
      <w:tr>
        <w:trPr>
          <w:trHeight w:val="846"/>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Incorporated by reference to Exhibit 10.1 to Oil-Dri’s (File No. 001-</w:t>
        </w:r>
      </w:hyperlink>
      <w:hyperlink r:id="rId106">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October 31, 2020.</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Incorporated by reference to Exhibit 10.2 to Oil-Dri’s (File No. 001-</w:t>
        </w:r>
      </w:hyperlink>
      <w:hyperlink r:id="rId107">
        <w:r>
          <w:rPr>
            <w:rFonts w:ascii="Times New Roman" w:cs="Times New Roman" w:eastAsia="Times New Roman" w:hAnsi="Times New Roman"/>
            <w:sz w:val="18"/>
            <w:szCs w:val="18"/>
            <w:u w:val="single" w:color="auto"/>
            <w:color w:val="0000FF"/>
          </w:rPr>
          <w:t>12622) Annual Report on Form 10-K for the fiscal year ended July</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31, 2007.</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Incorporated by reference to Exhibit 10.2 to Oil-Dri’s (File No. 001-</w:t>
        </w:r>
      </w:hyperlink>
      <w:hyperlink r:id="rId108">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October 31, 2020.</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Incorporated by reference to Exhibit 10.3 to Oil-Dri’s (File No. 001-</w:t>
        </w:r>
      </w:hyperlink>
      <w:hyperlink r:id="rId109">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October 31, 2020.</w:t>
        </w:r>
      </w:hyperlink>
    </w:p>
    <w:p>
      <w:pPr>
        <w:spacing w:after="0" w:line="252" w:lineRule="exact"/>
        <w:rPr>
          <w:rFonts w:ascii="Times New Roman" w:cs="Times New Roman" w:eastAsia="Times New Roman" w:hAnsi="Times New Roman"/>
          <w:sz w:val="18"/>
          <w:szCs w:val="18"/>
          <w:u w:val="single" w:color="auto"/>
          <w:color w:val="0000FF"/>
        </w:rPr>
      </w:pPr>
    </w:p>
    <w:p>
      <w:pPr>
        <w:ind w:right="120"/>
        <w:spacing w:after="0" w:line="226"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Incorporated by reference to Exhibit 10.4 to Oil-Dri’s (file No. 001-</w:t>
        </w:r>
      </w:hyperlink>
      <w:hyperlink r:id="rId110">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October 31, 2020.</w:t>
        </w:r>
      </w:hyperlink>
    </w:p>
    <w:p>
      <w:pPr>
        <w:spacing w:after="0" w:line="225"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Incorporated by reference to Exhibit 10.1 to Oil-Dri's (file No. 001-</w:t>
        </w:r>
      </w:hyperlink>
      <w:hyperlink r:id="rId111">
        <w:r>
          <w:rPr>
            <w:rFonts w:ascii="Times New Roman" w:cs="Times New Roman" w:eastAsia="Times New Roman" w:hAnsi="Times New Roman"/>
            <w:sz w:val="18"/>
            <w:szCs w:val="18"/>
            <w:u w:val="single" w:color="auto"/>
            <w:color w:val="0000FF"/>
          </w:rPr>
          <w:t>12622) Quarterly Report on Form 10-Q for the quarter ended April</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30, 2023.</w:t>
        </w:r>
      </w:hyperlink>
    </w:p>
    <w:p>
      <w:pPr>
        <w:spacing w:after="0" w:line="266"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Incorporated by reference to Exhibit 10.40 to Oil-Dri's (file No. 001-</w:t>
        </w:r>
      </w:hyperlink>
      <w:hyperlink r:id="rId112">
        <w:r>
          <w:rPr>
            <w:rFonts w:ascii="Times New Roman" w:cs="Times New Roman" w:eastAsia="Times New Roman" w:hAnsi="Times New Roman"/>
            <w:sz w:val="18"/>
            <w:szCs w:val="18"/>
            <w:u w:val="single" w:color="auto"/>
            <w:color w:val="0000FF"/>
          </w:rPr>
          <w:t>12622) Annual Report on Form 10-K for the year ended July 31,</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2023.</w:t>
        </w:r>
      </w:hyperlink>
    </w:p>
    <w:p>
      <w:pPr>
        <w:spacing w:after="0" w:line="266"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Incorporated by reference to Exhibit 10.41 to Oil-Dri's (file No. 001-</w:t>
        </w:r>
      </w:hyperlink>
      <w:hyperlink r:id="rId113">
        <w:r>
          <w:rPr>
            <w:rFonts w:ascii="Times New Roman" w:cs="Times New Roman" w:eastAsia="Times New Roman" w:hAnsi="Times New Roman"/>
            <w:sz w:val="18"/>
            <w:szCs w:val="18"/>
            <w:u w:val="single" w:color="auto"/>
            <w:color w:val="0000FF"/>
          </w:rPr>
          <w:t>12622) Annual Report on Form 10-K for the year ended July 31,</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2023.</w:t>
        </w:r>
      </w:hyperlink>
    </w:p>
    <w:p>
      <w:pPr>
        <w:spacing w:after="0" w:line="266"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Incorporated by reference to Exhibit 10.1 to Oil-Dri's (file No. 001-</w:t>
        </w:r>
      </w:hyperlink>
      <w:hyperlink r:id="rId114">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31, 2024.</w:t>
        </w:r>
      </w:hyperlink>
    </w:p>
    <w:p>
      <w:pPr>
        <w:spacing w:after="0" w:line="22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Incorporated by reference to Exhibit 10.5 to Oil-Dri’s (File No. 001-</w:t>
        </w:r>
      </w:hyperlink>
      <w:hyperlink r:id="rId115">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October 31, 2020.</w:t>
        </w:r>
      </w:hyperlink>
    </w:p>
    <w:p>
      <w:pPr>
        <w:spacing w:after="0" w:line="225"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Incorporated by reference to Exhibit 10.1 to Oil-Dri’s (File No. 001-</w:t>
        </w:r>
      </w:hyperlink>
      <w:hyperlink r:id="rId116">
        <w:r>
          <w:rPr>
            <w:rFonts w:ascii="Times New Roman" w:cs="Times New Roman" w:eastAsia="Times New Roman" w:hAnsi="Times New Roman"/>
            <w:sz w:val="18"/>
            <w:szCs w:val="18"/>
            <w:u w:val="single" w:color="auto"/>
            <w:color w:val="0000FF"/>
          </w:rPr>
          <w:t>12622) Current Report on Form 8-K filed on February 1, 2006.</w:t>
        </w:r>
      </w:hyperlink>
    </w:p>
    <w:p>
      <w:pPr>
        <w:spacing w:after="0" w:line="200" w:lineRule="exact"/>
        <w:rPr>
          <w:sz w:val="20"/>
          <w:szCs w:val="20"/>
          <w:color w:val="auto"/>
        </w:rPr>
      </w:pPr>
    </w:p>
    <w:p>
      <w:pPr>
        <w:spacing w:after="0" w:line="215"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Incorporated by reference to Exhibit 10.1 to Oil-Dri’s (File No. 001-</w:t>
        </w:r>
      </w:hyperlink>
      <w:hyperlink r:id="rId117">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31, 2009.</w:t>
        </w:r>
      </w:hyperlink>
    </w:p>
    <w:p>
      <w:pPr>
        <w:spacing w:after="0" w:line="239"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Incorporated by reference to Exhibit 10 to Oil-Dri’s (File No. 001-</w:t>
        </w:r>
      </w:hyperlink>
      <w:hyperlink r:id="rId118">
        <w:r>
          <w:rPr>
            <w:rFonts w:ascii="Times New Roman" w:cs="Times New Roman" w:eastAsia="Times New Roman" w:hAnsi="Times New Roman"/>
            <w:sz w:val="18"/>
            <w:szCs w:val="18"/>
            <w:u w:val="single" w:color="auto"/>
            <w:color w:val="0000FF"/>
          </w:rPr>
          <w:t>12622) Current Report on Form 8-K filed on December 28, 2011.</w:t>
        </w:r>
      </w:hyperlink>
    </w:p>
    <w:p>
      <w:pPr>
        <w:sectPr>
          <w:pgSz w:w="11900" w:h="16838" w:orient="portrait"/>
          <w:cols w:equalWidth="0" w:num="2">
            <w:col w:w="5820" w:space="360"/>
            <w:col w:w="5000"/>
          </w:cols>
          <w:pgMar w:left="340" w:top="999" w:right="37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Exhibit</w:t>
            </w:r>
          </w:p>
        </w:tc>
        <w:tc>
          <w:tcPr>
            <w:tcW w:w="4580" w:type="dxa"/>
            <w:vAlign w:val="bottom"/>
          </w:tcPr>
          <w:p>
            <w:pPr>
              <w:spacing w:after="0"/>
              <w:rPr>
                <w:sz w:val="17"/>
                <w:szCs w:val="17"/>
                <w:color w:val="auto"/>
              </w:rPr>
            </w:pPr>
          </w:p>
        </w:tc>
      </w:tr>
      <w:tr>
        <w:trPr>
          <w:trHeight w:val="243"/>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No.</w:t>
            </w:r>
          </w:p>
        </w:tc>
        <w:tc>
          <w:tcPr>
            <w:tcW w:w="45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10.14</w:t>
            </w:r>
          </w:p>
        </w:tc>
        <w:tc>
          <w:tcPr>
            <w:tcW w:w="340" w:type="dxa"/>
            <w:vAlign w:val="bottom"/>
          </w:tcPr>
          <w:p>
            <w:pPr>
              <w:spacing w:after="0"/>
              <w:rPr>
                <w:sz w:val="14"/>
                <w:szCs w:val="14"/>
                <w:color w:val="auto"/>
              </w:rPr>
            </w:pPr>
          </w:p>
        </w:tc>
        <w:tc>
          <w:tcPr>
            <w:tcW w:w="45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Third Amendment, dated as of June 21, 2012 to Credit</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as of January 27, 2006.</w:t>
            </w:r>
          </w:p>
        </w:tc>
      </w:tr>
      <w:tr>
        <w:trPr>
          <w:trHeight w:val="58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Amendment, dated as of December 4, 2014 to Credit</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as of January 27, 2006.</w:t>
            </w:r>
          </w:p>
        </w:tc>
      </w:tr>
      <w:tr>
        <w:trPr>
          <w:trHeight w:val="57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Fifth Amendment, dated as of January 31, 2019 to Credit</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as of January 27, 2006.</w:t>
            </w: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Annex A to the Fifth Amendment to Credit Agreement dated</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January 27, 2006.</w:t>
            </w: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BMO - Modification to BMO Harris Bank N.A. Credit</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w:t>
            </w:r>
          </w:p>
        </w:tc>
      </w:tr>
      <w:tr>
        <w:trPr>
          <w:trHeight w:val="57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Amendment to Credit Agreement dated as of August 30,</w:t>
            </w: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between Oil-Dri Corporation of America and BMO</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Harris Bank N.A.</w:t>
            </w: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Seventh Amendment to Credit Agreement, dated April 16,</w:t>
            </w: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2024, by and between Oil-Dri Corporation of American and</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BMO Bank N.A.</w:t>
            </w: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$18,500,000 Note Agreement dated as of November 12, 2010</w:t>
            </w: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Oil-Dri  Corporation  of  America,  The  Prudential</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Insurance  Company  of  America,  Prudential  Retirement</w:t>
            </w:r>
          </w:p>
        </w:tc>
      </w:tr>
      <w:tr>
        <w:trPr>
          <w:trHeight w:val="180"/>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Insurance and Annuity Company, Forethought Life Insurance</w:t>
            </w: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Company,  Physicians  Mutual  Insurance  Company  and</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BCBSM, Inc. dba Blue Cross and Blue Shield of Minnesota.</w:t>
            </w: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Note Purchase and Private Shelf</w:t>
            </w: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May  15,  2020,  among  Oil-Dri</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Corporation of America, PGIM, Inc. and existing noteholders</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purchasers named therein.</w:t>
            </w:r>
          </w:p>
        </w:tc>
      </w:tr>
      <w:tr>
        <w:trPr>
          <w:trHeight w:val="391"/>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December 16, 2021 to the Amended</w:t>
            </w: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Note Purchase and Private Shelf Agreement</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Oil-Dri Corporation of America, PGIM, Inc. and</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noteholders and purchasers named therein.</w:t>
            </w:r>
          </w:p>
        </w:tc>
      </w:tr>
      <w:tr>
        <w:trPr>
          <w:trHeight w:val="391"/>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to Amended and Restated Note Purchase</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Private Shelf Agreement.</w:t>
            </w:r>
          </w:p>
        </w:tc>
      </w:tr>
      <w:tr>
        <w:trPr>
          <w:trHeight w:val="58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to Amended and Restated Note Purchase</w:t>
            </w:r>
          </w:p>
        </w:tc>
      </w:tr>
      <w:tr>
        <w:trPr>
          <w:trHeight w:val="189"/>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and Private Shelf Agreement, dated August 30, 2022, among</w:t>
            </w:r>
          </w:p>
        </w:tc>
      </w:tr>
      <w:tr>
        <w:trPr>
          <w:trHeight w:val="189"/>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Oil-Dri Corporation of America, PGIM, Inc. and existing</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noteholders named therein.</w:t>
            </w:r>
          </w:p>
        </w:tc>
      </w:tr>
      <w:tr>
        <w:trPr>
          <w:trHeight w:val="635"/>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Incorporated by reference to Exhibit 10.12 to Oil-Dri’s (File No.</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001-12622)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July 31, 2012.</w:t>
        </w:r>
      </w:hyperlink>
    </w:p>
    <w:p>
      <w:pPr>
        <w:spacing w:after="0" w:line="23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Incorporated by reference to Exhibit 10.1 to Oil-Dri’s (File No. 001-</w:t>
        </w:r>
      </w:hyperlink>
      <w:hyperlink r:id="rId122">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October 31, 2014.</w:t>
        </w:r>
      </w:hyperlink>
    </w:p>
    <w:p>
      <w:pPr>
        <w:spacing w:after="0" w:line="225"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Incorporated by reference to Exhibit 10.1 to Oil-Dri’s (File No. 001-</w:t>
        </w:r>
      </w:hyperlink>
      <w:hyperlink r:id="rId123">
        <w:r>
          <w:rPr>
            <w:rFonts w:ascii="Times New Roman" w:cs="Times New Roman" w:eastAsia="Times New Roman" w:hAnsi="Times New Roman"/>
            <w:sz w:val="18"/>
            <w:szCs w:val="18"/>
            <w:u w:val="single" w:color="auto"/>
            <w:color w:val="0000FF"/>
          </w:rPr>
          <w:t>12622) Current Report on Form 8-K filed on January 31, 2019.</w:t>
        </w:r>
      </w:hyperlink>
    </w:p>
    <w:p>
      <w:pPr>
        <w:spacing w:after="0" w:line="226"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Incorporated by reference to Exhibit 10.2 to Oil-Dri’s (File No. 001-</w:t>
        </w:r>
      </w:hyperlink>
      <w:hyperlink r:id="rId124">
        <w:r>
          <w:rPr>
            <w:rFonts w:ascii="Times New Roman" w:cs="Times New Roman" w:eastAsia="Times New Roman" w:hAnsi="Times New Roman"/>
            <w:sz w:val="18"/>
            <w:szCs w:val="18"/>
            <w:u w:val="single" w:color="auto"/>
            <w:color w:val="0000FF"/>
          </w:rPr>
          <w:t>12622) Current Report on Form 8-K filed on January 31, 2019.</w:t>
        </w:r>
      </w:hyperlink>
    </w:p>
    <w:p>
      <w:pPr>
        <w:spacing w:after="0" w:line="226" w:lineRule="exact"/>
        <w:rPr>
          <w:sz w:val="20"/>
          <w:szCs w:val="20"/>
          <w:color w:val="auto"/>
        </w:rPr>
      </w:pPr>
    </w:p>
    <w:p>
      <w:pPr>
        <w:jc w:val="both"/>
        <w:ind w:right="120"/>
        <w:spacing w:after="0" w:line="226"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Incorporated by reference to Exhibit 10.1 to Oil-Dri’s (file No. 001-</w:t>
        </w:r>
      </w:hyperlink>
      <w:hyperlink r:id="rId125">
        <w:r>
          <w:rPr>
            <w:rFonts w:ascii="Times New Roman" w:cs="Times New Roman" w:eastAsia="Times New Roman" w:hAnsi="Times New Roman"/>
            <w:sz w:val="18"/>
            <w:szCs w:val="18"/>
            <w:u w:val="single" w:color="auto"/>
            <w:color w:val="0000FF"/>
          </w:rPr>
          <w:t>12622) Quarterly Report on Form 10-Q for the quarter ended April</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30, 2022.</w:t>
        </w:r>
      </w:hyperlink>
    </w:p>
    <w:p>
      <w:pPr>
        <w:spacing w:after="0" w:line="225" w:lineRule="exact"/>
        <w:rPr>
          <w:rFonts w:ascii="Times New Roman" w:cs="Times New Roman" w:eastAsia="Times New Roman" w:hAnsi="Times New Roman"/>
          <w:sz w:val="18"/>
          <w:szCs w:val="18"/>
          <w:u w:val="single" w:color="auto"/>
          <w:color w:val="0000FF"/>
        </w:rPr>
      </w:pPr>
    </w:p>
    <w:p>
      <w:pPr>
        <w:jc w:val="both"/>
        <w:ind w:right="140"/>
        <w:spacing w:after="0" w:line="279" w:lineRule="auto"/>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7"/>
            <w:szCs w:val="17"/>
            <w:u w:val="single" w:color="auto"/>
            <w:color w:val="0000FF"/>
          </w:rPr>
          <w:t>Incorporated by reference to Exhibit 10.1 to Oil-Dri's (file No. 001-</w:t>
        </w:r>
      </w:hyperlink>
      <w:hyperlink r:id="rId126">
        <w:r>
          <w:rPr>
            <w:rFonts w:ascii="Times New Roman" w:cs="Times New Roman" w:eastAsia="Times New Roman" w:hAnsi="Times New Roman"/>
            <w:sz w:val="17"/>
            <w:szCs w:val="17"/>
            <w:u w:val="single" w:color="auto"/>
            <w:color w:val="0000FF"/>
          </w:rPr>
          <w:t>12622) Current Report on Form 8-K filed on September 6, 2022.</w:t>
        </w:r>
      </w:hyperlink>
    </w:p>
    <w:p>
      <w:pPr>
        <w:spacing w:after="0" w:line="356"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Incorporated by reference to Exhibit 2.1 to Oil-Dri's Current Report</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on Form 8-K (File No. 001-12622) filed on April 16, 2024.</w:t>
        </w:r>
      </w:hyperlink>
    </w:p>
    <w:p>
      <w:pPr>
        <w:spacing w:after="0" w:line="200" w:lineRule="exact"/>
        <w:rPr>
          <w:sz w:val="20"/>
          <w:szCs w:val="20"/>
          <w:color w:val="auto"/>
        </w:rPr>
      </w:pPr>
    </w:p>
    <w:p>
      <w:pPr>
        <w:spacing w:after="0" w:line="201"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Incorporated by reference to Exhibit 10.1 to Oil-Dri’s (File No. 001-</w:t>
        </w:r>
      </w:hyperlink>
      <w:hyperlink r:id="rId127">
        <w:r>
          <w:rPr>
            <w:rFonts w:ascii="Times New Roman" w:cs="Times New Roman" w:eastAsia="Times New Roman" w:hAnsi="Times New Roman"/>
            <w:sz w:val="18"/>
            <w:szCs w:val="18"/>
            <w:u w:val="single" w:color="auto"/>
            <w:color w:val="0000FF"/>
          </w:rPr>
          <w:t>12622) Current Report on Form 8-K filed on November 16, 2010.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Incorporated by reference to Exhibit 10.1 to Oil-Dri's (file No. 001-</w:t>
        </w:r>
      </w:hyperlink>
      <w:hyperlink r:id="rId128">
        <w:r>
          <w:rPr>
            <w:rFonts w:ascii="Times New Roman" w:cs="Times New Roman" w:eastAsia="Times New Roman" w:hAnsi="Times New Roman"/>
            <w:sz w:val="18"/>
            <w:szCs w:val="18"/>
            <w:u w:val="single" w:color="auto"/>
            <w:color w:val="0000FF"/>
          </w:rPr>
          <w:t>12622) Current Report on Form 8-K filed on May 21, 2020.</w:t>
        </w:r>
      </w:hyperlink>
    </w:p>
    <w:p>
      <w:pPr>
        <w:spacing w:after="0" w:line="200" w:lineRule="exact"/>
        <w:rPr>
          <w:sz w:val="20"/>
          <w:szCs w:val="20"/>
          <w:color w:val="auto"/>
        </w:rPr>
      </w:pPr>
    </w:p>
    <w:p>
      <w:pPr>
        <w:spacing w:after="0" w:line="377" w:lineRule="exact"/>
        <w:rPr>
          <w:sz w:val="20"/>
          <w:szCs w:val="20"/>
          <w:color w:val="auto"/>
        </w:rPr>
      </w:pPr>
    </w:p>
    <w:p>
      <w:pPr>
        <w:jc w:val="both"/>
        <w:ind w:right="140"/>
        <w:spacing w:after="0" w:line="263" w:lineRule="auto"/>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7"/>
            <w:szCs w:val="17"/>
            <w:u w:val="single" w:color="auto"/>
            <w:color w:val="0000FF"/>
          </w:rPr>
          <w:t>Incorporated by reference to Exhibit 10.1 to Oil-Dri's (file No. 001-</w:t>
        </w:r>
      </w:hyperlink>
      <w:hyperlink r:id="rId129">
        <w:r>
          <w:rPr>
            <w:rFonts w:ascii="Times New Roman" w:cs="Times New Roman" w:eastAsia="Times New Roman" w:hAnsi="Times New Roman"/>
            <w:sz w:val="17"/>
            <w:szCs w:val="17"/>
            <w:u w:val="single" w:color="auto"/>
            <w:color w:val="0000FF"/>
          </w:rPr>
          <w:t>12622) Current Report on Form 8-K filed on December 17, 2021.</w:t>
        </w:r>
      </w:hyperlink>
    </w:p>
    <w:p>
      <w:pPr>
        <w:spacing w:after="0" w:line="200" w:lineRule="exact"/>
        <w:rPr>
          <w:sz w:val="20"/>
          <w:szCs w:val="20"/>
          <w:color w:val="auto"/>
        </w:rPr>
      </w:pPr>
    </w:p>
    <w:p>
      <w:pPr>
        <w:spacing w:after="0" w:line="357" w:lineRule="exact"/>
        <w:rPr>
          <w:sz w:val="20"/>
          <w:szCs w:val="20"/>
          <w:color w:val="auto"/>
        </w:rPr>
      </w:pPr>
    </w:p>
    <w:p>
      <w:pPr>
        <w:jc w:val="both"/>
        <w:ind w:right="120"/>
        <w:spacing w:after="0" w:line="226"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Incorporated by reference to Exhibit 10.2 to Oil-Dri’s (file No. 001-</w:t>
        </w:r>
      </w:hyperlink>
      <w:hyperlink r:id="rId130">
        <w:r>
          <w:rPr>
            <w:rFonts w:ascii="Times New Roman" w:cs="Times New Roman" w:eastAsia="Times New Roman" w:hAnsi="Times New Roman"/>
            <w:sz w:val="18"/>
            <w:szCs w:val="18"/>
            <w:u w:val="single" w:color="auto"/>
            <w:color w:val="0000FF"/>
          </w:rPr>
          <w:t>12622) Quarterly Report on Form 10-Q for the quarter ended April</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30, 2022.</w:t>
        </w:r>
      </w:hyperlink>
    </w:p>
    <w:p>
      <w:pPr>
        <w:spacing w:after="0" w:line="225" w:lineRule="exact"/>
        <w:rPr>
          <w:rFonts w:ascii="Times New Roman" w:cs="Times New Roman" w:eastAsia="Times New Roman" w:hAnsi="Times New Roman"/>
          <w:sz w:val="18"/>
          <w:szCs w:val="18"/>
          <w:u w:val="single" w:color="auto"/>
          <w:color w:val="0000FF"/>
        </w:rPr>
      </w:pPr>
    </w:p>
    <w:p>
      <w:pPr>
        <w:jc w:val="both"/>
        <w:ind w:right="140"/>
        <w:spacing w:after="0" w:line="279" w:lineRule="auto"/>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Incorporated by reference to Exhibit 10.2 to Oil-Dri's (file No. 001-</w:t>
        </w:r>
      </w:hyperlink>
      <w:hyperlink r:id="rId131">
        <w:r>
          <w:rPr>
            <w:rFonts w:ascii="Times New Roman" w:cs="Times New Roman" w:eastAsia="Times New Roman" w:hAnsi="Times New Roman"/>
            <w:sz w:val="17"/>
            <w:szCs w:val="17"/>
            <w:u w:val="single" w:color="auto"/>
            <w:color w:val="0000FF"/>
          </w:rPr>
          <w:t>12622) Current Report on Form 8-K filed on September 6, 2022.</w:t>
        </w:r>
      </w:hyperlink>
    </w:p>
    <w:p>
      <w:pPr>
        <w:sectPr>
          <w:pgSz w:w="11900" w:h="16838" w:orient="portrait"/>
          <w:cols w:equalWidth="0" w:num="2">
            <w:col w:w="5820" w:space="360"/>
            <w:col w:w="5000"/>
          </w:cols>
          <w:pgMar w:left="340" w:top="999" w:right="3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Exhibit</w:t>
            </w: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No.</w:t>
            </w:r>
          </w:p>
        </w:tc>
        <w:tc>
          <w:tcPr>
            <w:tcW w:w="45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69"/>
        </w:trPr>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10.26</w:t>
            </w:r>
          </w:p>
        </w:tc>
        <w:tc>
          <w:tcPr>
            <w:tcW w:w="340" w:type="dxa"/>
            <w:vAlign w:val="bottom"/>
          </w:tcPr>
          <w:p>
            <w:pPr>
              <w:spacing w:after="0"/>
              <w:rPr>
                <w:sz w:val="14"/>
                <w:szCs w:val="14"/>
                <w:color w:val="auto"/>
              </w:rPr>
            </w:pPr>
          </w:p>
        </w:tc>
        <w:tc>
          <w:tcPr>
            <w:tcW w:w="45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Amendment No. 4 to Amended and Restated Note Purchase</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Private Shelf Agreement, dated September 21, 2023</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Oil-Dri Corporation of America, PGIM, Inc. and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note holders</w:t>
            </w:r>
          </w:p>
        </w:tc>
        <w:tc>
          <w:tcPr>
            <w:tcW w:w="0" w:type="dxa"/>
            <w:vAlign w:val="bottom"/>
          </w:tcPr>
          <w:p>
            <w:pPr>
              <w:spacing w:after="0"/>
              <w:rPr>
                <w:sz w:val="1"/>
                <w:szCs w:val="1"/>
                <w:color w:val="auto"/>
              </w:rPr>
            </w:pPr>
          </w:p>
        </w:tc>
      </w:tr>
      <w:tr>
        <w:trPr>
          <w:trHeight w:val="391"/>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America Deferred Compensation Plan,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amended and restated effective April 1, 2003.*</w:t>
            </w:r>
          </w:p>
        </w:tc>
        <w:tc>
          <w:tcPr>
            <w:tcW w:w="0" w:type="dxa"/>
            <w:vAlign w:val="bottom"/>
          </w:tcPr>
          <w:p>
            <w:pPr>
              <w:spacing w:after="0"/>
              <w:rPr>
                <w:sz w:val="1"/>
                <w:szCs w:val="1"/>
                <w:color w:val="auto"/>
              </w:rPr>
            </w:pPr>
          </w:p>
        </w:tc>
      </w:tr>
      <w:tr>
        <w:trPr>
          <w:trHeight w:val="57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effective as of January 1, 2007, to Oil-Dri</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Corporation of America Deferred Compensation Plan,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effective April 1, 2003.*</w:t>
            </w:r>
          </w:p>
        </w:tc>
        <w:tc>
          <w:tcPr>
            <w:tcW w:w="0" w:type="dxa"/>
            <w:vAlign w:val="bottom"/>
          </w:tcPr>
          <w:p>
            <w:pPr>
              <w:spacing w:after="0"/>
              <w:rPr>
                <w:sz w:val="1"/>
                <w:szCs w:val="1"/>
                <w:color w:val="auto"/>
              </w:rPr>
            </w:pP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effective as of January 1, 2008, to Oil-</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Dri Corporation of America Deferred Compensation Plan,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effective April 1, 2003.*</w:t>
            </w:r>
          </w:p>
        </w:tc>
        <w:tc>
          <w:tcPr>
            <w:tcW w:w="0" w:type="dxa"/>
            <w:vAlign w:val="bottom"/>
          </w:tcPr>
          <w:p>
            <w:pPr>
              <w:spacing w:after="0"/>
              <w:rPr>
                <w:sz w:val="1"/>
                <w:szCs w:val="1"/>
                <w:color w:val="auto"/>
              </w:rPr>
            </w:pP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America Annual Incentive Plan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effective January 1, 2008).*</w:t>
            </w:r>
          </w:p>
        </w:tc>
        <w:tc>
          <w:tcPr>
            <w:tcW w:w="0" w:type="dxa"/>
            <w:vAlign w:val="bottom"/>
          </w:tcPr>
          <w:p>
            <w:pPr>
              <w:spacing w:after="0"/>
              <w:rPr>
                <w:sz w:val="1"/>
                <w:szCs w:val="1"/>
                <w:color w:val="auto"/>
              </w:rPr>
            </w:pPr>
          </w:p>
        </w:tc>
      </w:tr>
      <w:tr>
        <w:trPr>
          <w:trHeight w:val="58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America 2005 Deferred Compensation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 amended and restated effective January 1, 2008)*</w:t>
            </w:r>
          </w:p>
        </w:tc>
        <w:tc>
          <w:tcPr>
            <w:tcW w:w="0" w:type="dxa"/>
            <w:vAlign w:val="bottom"/>
          </w:tcPr>
          <w:p>
            <w:pPr>
              <w:spacing w:after="0"/>
              <w:rPr>
                <w:sz w:val="1"/>
                <w:szCs w:val="1"/>
                <w:color w:val="auto"/>
              </w:rPr>
            </w:pPr>
          </w:p>
        </w:tc>
      </w:tr>
      <w:tr>
        <w:trPr>
          <w:trHeight w:val="64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340" w:type="dxa"/>
            <w:vAlign w:val="bottom"/>
          </w:tcPr>
          <w:p>
            <w:pPr>
              <w:spacing w:after="0"/>
              <w:rPr>
                <w:sz w:val="24"/>
                <w:szCs w:val="24"/>
                <w:color w:val="auto"/>
              </w:rPr>
            </w:pPr>
          </w:p>
        </w:tc>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First Amendment, effective July 1, 2020, to the Oil-Dri</w:t>
            </w:r>
          </w:p>
        </w:tc>
        <w:tc>
          <w:tcPr>
            <w:tcW w:w="0" w:type="dxa"/>
            <w:vAlign w:val="bottom"/>
          </w:tcPr>
          <w:p>
            <w:pPr>
              <w:spacing w:after="0"/>
              <w:rPr>
                <w:sz w:val="1"/>
                <w:szCs w:val="1"/>
                <w:color w:val="auto"/>
              </w:rPr>
            </w:pPr>
          </w:p>
        </w:tc>
      </w:tr>
      <w:tr>
        <w:trPr>
          <w:trHeight w:val="54"/>
        </w:trPr>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Corporation of America 2005 Deferred Compensation Plan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effective January 1, 2008).*</w:t>
            </w:r>
          </w:p>
        </w:tc>
        <w:tc>
          <w:tcPr>
            <w:tcW w:w="0" w:type="dxa"/>
            <w:vAlign w:val="bottom"/>
          </w:tcPr>
          <w:p>
            <w:pPr>
              <w:spacing w:after="0"/>
              <w:rPr>
                <w:sz w:val="1"/>
                <w:szCs w:val="1"/>
                <w:color w:val="auto"/>
              </w:rPr>
            </w:pP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America 2006 Long Term Incentive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 amended and restated effective July 28, 2006)*</w:t>
            </w:r>
          </w:p>
        </w:tc>
        <w:tc>
          <w:tcPr>
            <w:tcW w:w="0" w:type="dxa"/>
            <w:vAlign w:val="bottom"/>
          </w:tcPr>
          <w:p>
            <w:pPr>
              <w:spacing w:after="0"/>
              <w:rPr>
                <w:sz w:val="1"/>
                <w:szCs w:val="1"/>
                <w:color w:val="auto"/>
              </w:rPr>
            </w:pPr>
          </w:p>
        </w:tc>
      </w:tr>
      <w:tr>
        <w:trPr>
          <w:trHeight w:val="57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effective as of January 1, 2008, to Oil-Dri</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Corporation of America 2006 Long Term Incentive Plan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effective July 28, 2006)*</w:t>
            </w:r>
          </w:p>
        </w:tc>
        <w:tc>
          <w:tcPr>
            <w:tcW w:w="0" w:type="dxa"/>
            <w:vAlign w:val="bottom"/>
          </w:tcPr>
          <w:p>
            <w:pPr>
              <w:spacing w:after="0"/>
              <w:rPr>
                <w:sz w:val="1"/>
                <w:szCs w:val="1"/>
                <w:color w:val="auto"/>
              </w:rPr>
            </w:pPr>
          </w:p>
        </w:tc>
      </w:tr>
      <w:tr>
        <w:trPr>
          <w:trHeight w:val="41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effective as of October 15, 2015, to Oil-</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Dri Corporation of America 2006 Long Term Incentive Plan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previously amended and restated effective July 28, 2006)*</w:t>
            </w:r>
          </w:p>
        </w:tc>
        <w:tc>
          <w:tcPr>
            <w:tcW w:w="0" w:type="dxa"/>
            <w:vAlign w:val="bottom"/>
          </w:tcPr>
          <w:p>
            <w:pPr>
              <w:spacing w:after="0"/>
              <w:rPr>
                <w:sz w:val="1"/>
                <w:szCs w:val="1"/>
                <w:color w:val="auto"/>
              </w:rPr>
            </w:pP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to Oil-Dri Corporation of America 2006</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Incentive Plan*</w:t>
            </w:r>
          </w:p>
        </w:tc>
        <w:tc>
          <w:tcPr>
            <w:tcW w:w="0" w:type="dxa"/>
            <w:vAlign w:val="bottom"/>
          </w:tcPr>
          <w:p>
            <w:pPr>
              <w:spacing w:after="0"/>
              <w:rPr>
                <w:sz w:val="1"/>
                <w:szCs w:val="1"/>
                <w:color w:val="auto"/>
              </w:rPr>
            </w:pPr>
          </w:p>
        </w:tc>
      </w:tr>
      <w:tr>
        <w:trPr>
          <w:trHeight w:val="57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Incentive Plan Employee Stock Option Agreement for Class 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7" w:lineRule="exact"/>
        <w:rPr>
          <w:sz w:val="20"/>
          <w:szCs w:val="20"/>
          <w:color w:val="auto"/>
        </w:rPr>
      </w:pPr>
    </w:p>
    <w:p>
      <w:pPr>
        <w:ind w:right="140"/>
        <w:spacing w:after="0" w:line="263" w:lineRule="auto"/>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Incorporated by reference to Exhibit 10.1 to Oil-Dri's (file No. 001-</w:t>
        </w:r>
      </w:hyperlink>
      <w:hyperlink r:id="rId134">
        <w:r>
          <w:rPr>
            <w:rFonts w:ascii="Times New Roman" w:cs="Times New Roman" w:eastAsia="Times New Roman" w:hAnsi="Times New Roman"/>
            <w:sz w:val="17"/>
            <w:szCs w:val="17"/>
            <w:u w:val="single" w:color="auto"/>
            <w:color w:val="0000FF"/>
          </w:rPr>
          <w:t>12622) Current Report on Form 8-K filed on September 22, 2023.</w:t>
        </w:r>
      </w:hyperlink>
    </w:p>
    <w:p>
      <w:pPr>
        <w:spacing w:after="0" w:line="206"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Incorporated by reference to Exhibit (10)(j)(1) to Oil-Dri’s (File No.</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001-12622)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April 30, 2003.</w:t>
        </w:r>
      </w:hyperlink>
    </w:p>
    <w:p>
      <w:pPr>
        <w:spacing w:after="0" w:line="22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Incorporated by reference to Exhibit 10.1 to Oil-Dri’s (File No. 001-</w:t>
        </w:r>
      </w:hyperlink>
      <w:hyperlink r:id="rId136">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31, 2008.</w:t>
        </w:r>
      </w:hyperlink>
    </w:p>
    <w:p>
      <w:pPr>
        <w:spacing w:after="0" w:line="22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Incorporated by reference to Exhibit 10.2 to Oil-Dri’s (File No. 001-</w:t>
        </w:r>
      </w:hyperlink>
      <w:hyperlink r:id="rId137">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31, 2008.</w:t>
        </w:r>
      </w:hyperlink>
    </w:p>
    <w:p>
      <w:pPr>
        <w:spacing w:after="0" w:line="22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Incorporated by reference to Exhibit 10.4 to Oil-Dri’s (File No. 001-</w:t>
        </w:r>
      </w:hyperlink>
      <w:hyperlink r:id="rId138">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31, 2008.</w:t>
        </w:r>
      </w:hyperlink>
    </w:p>
    <w:p>
      <w:pPr>
        <w:spacing w:after="0" w:line="23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Incorporated by reference to Exhibit 10.3 to Oil-Dri’s (File No. 001-</w:t>
        </w:r>
      </w:hyperlink>
      <w:hyperlink r:id="rId139">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31, 2008.</w:t>
        </w:r>
      </w:hyperlink>
    </w:p>
    <w:p>
      <w:pPr>
        <w:spacing w:after="0" w:line="243" w:lineRule="exact"/>
        <w:rPr>
          <w:rFonts w:ascii="Times New Roman" w:cs="Times New Roman" w:eastAsia="Times New Roman" w:hAnsi="Times New Roman"/>
          <w:sz w:val="18"/>
          <w:szCs w:val="18"/>
          <w:u w:val="single" w:color="auto"/>
          <w:color w:val="0000FF"/>
        </w:rPr>
      </w:pPr>
    </w:p>
    <w:p>
      <w:pPr>
        <w:spacing w:after="0" w:line="250"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 xml:space="preserve">Incorporated by reference to Exhibit 10.24 to Oil Dri's </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18"/>
            <w:szCs w:val="18"/>
            <w:u w:val="single" w:color="auto"/>
            <w:color w:val="0000FF"/>
          </w:rPr>
          <w:t>File No. 001-</w:t>
        </w:r>
      </w:hyperlink>
      <w:hyperlink r:id="rId140">
        <w:r>
          <w:rPr>
            <w:rFonts w:ascii="Times New Roman" w:cs="Times New Roman" w:eastAsia="Times New Roman" w:hAnsi="Times New Roman"/>
            <w:sz w:val="18"/>
            <w:szCs w:val="18"/>
            <w:u w:val="single" w:color="auto"/>
            <w:color w:val="0000FF"/>
          </w:rPr>
          <w:t>12622) Annual Report on Form 10-K for the fiscal year ended July</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31, 2020.</w:t>
        </w:r>
      </w:hyperlink>
    </w:p>
    <w:p>
      <w:pPr>
        <w:spacing w:after="0" w:line="231"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Incorporated by reference to Appendix A to Oil-Dri’s (File No. 001-</w:t>
        </w:r>
      </w:hyperlink>
      <w:hyperlink r:id="rId141">
        <w:r>
          <w:rPr>
            <w:rFonts w:ascii="Times New Roman" w:cs="Times New Roman" w:eastAsia="Times New Roman" w:hAnsi="Times New Roman"/>
            <w:sz w:val="18"/>
            <w:szCs w:val="18"/>
            <w:u w:val="single" w:color="auto"/>
            <w:color w:val="0000FF"/>
          </w:rPr>
          <w:t>12622) Definitive Proxy Statement on Schedule 14A filed on</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November 3, 2006.</w:t>
        </w:r>
      </w:hyperlink>
    </w:p>
    <w:p>
      <w:pPr>
        <w:spacing w:after="0" w:line="22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Incorporated by reference to Exhibit 10.5 to Oil-Dri’s (File No. 001-</w:t>
        </w:r>
      </w:hyperlink>
      <w:hyperlink r:id="rId142">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31, 2008.</w:t>
        </w:r>
      </w:hyperlink>
    </w:p>
    <w:p>
      <w:pPr>
        <w:spacing w:after="0" w:line="23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Incorporated by reference to Appendix A to Oil-Dri’s (File No. 001-</w:t>
        </w:r>
      </w:hyperlink>
      <w:hyperlink r:id="rId143">
        <w:r>
          <w:rPr>
            <w:rFonts w:ascii="Times New Roman" w:cs="Times New Roman" w:eastAsia="Times New Roman" w:hAnsi="Times New Roman"/>
            <w:sz w:val="18"/>
            <w:szCs w:val="18"/>
            <w:u w:val="single" w:color="auto"/>
            <w:color w:val="0000FF"/>
          </w:rPr>
          <w:t>12622) Definitive Proxy Statement on Schedule 14A filed on</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October 28, 2015.</w:t>
        </w:r>
      </w:hyperlink>
    </w:p>
    <w:p>
      <w:pPr>
        <w:spacing w:after="0" w:line="225" w:lineRule="exact"/>
        <w:rPr>
          <w:rFonts w:ascii="Times New Roman" w:cs="Times New Roman" w:eastAsia="Times New Roman" w:hAnsi="Times New Roman"/>
          <w:sz w:val="18"/>
          <w:szCs w:val="18"/>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Incorporated by reference to Appendix A of Oil-Dri's (File No. 001-</w:t>
        </w:r>
      </w:hyperlink>
      <w:hyperlink r:id="rId144">
        <w:r>
          <w:rPr>
            <w:rFonts w:ascii="Times New Roman" w:cs="Times New Roman" w:eastAsia="Times New Roman" w:hAnsi="Times New Roman"/>
            <w:sz w:val="18"/>
            <w:szCs w:val="18"/>
            <w:u w:val="single" w:color="auto"/>
            <w:color w:val="0000FF"/>
          </w:rPr>
          <w:t>12622) Definitive Proxy Statement on Schedule 14A filed on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October 30, 2019</w:t>
        </w:r>
      </w:hyperlink>
    </w:p>
    <w:p>
      <w:pPr>
        <w:spacing w:after="0" w:line="225" w:lineRule="exact"/>
        <w:rPr>
          <w:rFonts w:ascii="Times New Roman" w:cs="Times New Roman" w:eastAsia="Times New Roman" w:hAnsi="Times New Roman"/>
          <w:sz w:val="18"/>
          <w:szCs w:val="18"/>
          <w:u w:val="single" w:color="auto"/>
          <w:color w:val="0000FF"/>
        </w:rPr>
      </w:pPr>
    </w:p>
    <w:p>
      <w:pPr>
        <w:spacing w:after="0" w:line="237"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Incorporated by reference to Exhibit 10.2 to Oil-Dri’s (file No. 001-</w:t>
        </w:r>
      </w:hyperlink>
      <w:hyperlink r:id="rId145">
        <w:r>
          <w:rPr>
            <w:rFonts w:ascii="Times New Roman" w:cs="Times New Roman" w:eastAsia="Times New Roman" w:hAnsi="Times New Roman"/>
            <w:sz w:val="18"/>
            <w:szCs w:val="18"/>
            <w:u w:val="single" w:color="auto"/>
            <w:color w:val="0000FF"/>
          </w:rPr>
          <w:t>12622) Current Report on Form 8-K filed on December 11, 2006.</w:t>
        </w:r>
      </w:hyperlink>
    </w:p>
    <w:p>
      <w:pPr>
        <w:sectPr>
          <w:pgSz w:w="11900" w:h="16838" w:orient="portrait"/>
          <w:cols w:equalWidth="0" w:num="2">
            <w:col w:w="5820" w:space="360"/>
            <w:col w:w="5000"/>
          </w:cols>
          <w:pgMar w:left="340" w:top="999"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Exhibit</w:t>
            </w:r>
          </w:p>
        </w:tc>
        <w:tc>
          <w:tcPr>
            <w:tcW w:w="4580" w:type="dxa"/>
            <w:vAlign w:val="bottom"/>
          </w:tcPr>
          <w:p>
            <w:pPr>
              <w:spacing w:after="0"/>
              <w:rPr>
                <w:sz w:val="17"/>
                <w:szCs w:val="17"/>
                <w:color w:val="auto"/>
              </w:rPr>
            </w:pPr>
          </w:p>
        </w:tc>
      </w:tr>
      <w:tr>
        <w:trPr>
          <w:trHeight w:val="243"/>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No.</w:t>
            </w:r>
          </w:p>
        </w:tc>
        <w:tc>
          <w:tcPr>
            <w:tcW w:w="45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10.26</w:t>
            </w:r>
          </w:p>
        </w:tc>
        <w:tc>
          <w:tcPr>
            <w:tcW w:w="340" w:type="dxa"/>
            <w:vAlign w:val="bottom"/>
          </w:tcPr>
          <w:p>
            <w:pPr>
              <w:spacing w:after="0"/>
              <w:rPr>
                <w:sz w:val="14"/>
                <w:szCs w:val="14"/>
                <w:color w:val="auto"/>
              </w:rPr>
            </w:pPr>
          </w:p>
        </w:tc>
        <w:tc>
          <w:tcPr>
            <w:tcW w:w="45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Incentive  Plan  Employee  Stock  Option  Agreement  for</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Incentive Plan Employee Stock Option Agreement for Class B</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Incentive Plan Director Stock Option Agreement for Common</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Incentive  Plan  Restricted  Stock  Agreement  for  Class  A</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r>
      <w:tr>
        <w:trPr>
          <w:trHeight w:val="40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Incentive  Plan  Restricted  Stock  Agreement  for  Common</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r>
      <w:tr>
        <w:trPr>
          <w:trHeight w:val="517"/>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34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180"/>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Incentive  Plan  Restricted  Stock  Agreement  for  Class  B</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w:t>
            </w:r>
          </w:p>
        </w:tc>
      </w:tr>
      <w:tr>
        <w:trPr>
          <w:trHeight w:val="395"/>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34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2018 Restricted Stock Agreement for Class B Stock</w:t>
            </w:r>
          </w:p>
        </w:tc>
      </w:tr>
      <w:tr>
        <w:trPr>
          <w:trHeight w:val="180"/>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under the Oil-Dri Corporation of America 2006 Long Term</w:t>
            </w: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Plan.*</w:t>
            </w:r>
          </w:p>
        </w:tc>
      </w:tr>
      <w:tr>
        <w:trPr>
          <w:trHeight w:val="45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Code of Ethics</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21.1</w:t>
            </w: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 of Oil-Dri Corporation of America</w:t>
            </w:r>
          </w:p>
        </w:tc>
      </w:tr>
      <w:tr>
        <w:trPr>
          <w:trHeight w:val="445"/>
        </w:trPr>
        <w:tc>
          <w:tcPr>
            <w:tcW w:w="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23.1</w:t>
            </w: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445"/>
        </w:trPr>
        <w:tc>
          <w:tcPr>
            <w:tcW w:w="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31.1</w:t>
            </w: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Certifications pursuant to Rule 13a – 14(a).</w:t>
            </w:r>
          </w:p>
        </w:tc>
      </w:tr>
      <w:tr>
        <w:trPr>
          <w:trHeight w:val="400"/>
        </w:trPr>
        <w:tc>
          <w:tcPr>
            <w:tcW w:w="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32.1</w:t>
            </w: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Certifications pursuant to Section 1350 of the Sarbanes-Oxley</w:t>
            </w:r>
          </w:p>
        </w:tc>
      </w:tr>
      <w:tr>
        <w:trPr>
          <w:trHeight w:val="234"/>
        </w:trPr>
        <w:tc>
          <w:tcPr>
            <w:tcW w:w="640" w:type="dxa"/>
            <w:vAlign w:val="bottom"/>
          </w:tcPr>
          <w:p>
            <w:pPr>
              <w:spacing w:after="0"/>
              <w:rPr>
                <w:sz w:val="20"/>
                <w:szCs w:val="20"/>
                <w:color w:val="auto"/>
              </w:rPr>
            </w:pP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 of 2002.</w:t>
            </w:r>
          </w:p>
        </w:tc>
      </w:tr>
      <w:tr>
        <w:trPr>
          <w:trHeight w:val="445"/>
        </w:trPr>
        <w:tc>
          <w:tcPr>
            <w:tcW w:w="6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95</w:t>
            </w: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Mine Safety Disclosure</w:t>
            </w:r>
          </w:p>
        </w:tc>
      </w:tr>
    </w:tbl>
    <w:p>
      <w:pPr>
        <w:spacing w:after="0" w:line="211" w:lineRule="exact"/>
        <w:rPr>
          <w:sz w:val="20"/>
          <w:szCs w:val="20"/>
          <w:color w:val="auto"/>
        </w:rPr>
      </w:pPr>
    </w:p>
    <w:p>
      <w:pPr>
        <w:ind w:left="1280" w:right="420" w:hanging="903"/>
        <w:spacing w:after="0" w:line="250"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Oil-Dri Corporation of America Compensation Recovery Policy</w:t>
      </w:r>
    </w:p>
    <w:p>
      <w:pPr>
        <w:spacing w:after="0" w:line="20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Instance Document</w:t>
            </w:r>
          </w:p>
        </w:tc>
      </w:tr>
      <w:tr>
        <w:trPr>
          <w:trHeight w:val="8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XBRL Taxonomy Extension Schema Document</w:t>
            </w:r>
          </w:p>
        </w:tc>
      </w:tr>
    </w:tbl>
    <w:p>
      <w:pPr>
        <w:spacing w:after="0" w:line="3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32061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0"/>
        <w:spacing w:after="0" w:line="237"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Incorporated by reference to Exhibit 10.3 to Oil-Dri’s (file No. 001-</w:t>
        </w:r>
      </w:hyperlink>
      <w:hyperlink r:id="rId148">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201" w:lineRule="exact"/>
        <w:rPr>
          <w:sz w:val="20"/>
          <w:szCs w:val="20"/>
          <w:color w:val="auto"/>
        </w:rPr>
      </w:pPr>
    </w:p>
    <w:p>
      <w:pPr>
        <w:ind w:left="40"/>
        <w:spacing w:after="0" w:line="237"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Incorporated by reference to Exhibit 10.4 to Oil-Dri’s (file No. 001-</w:t>
        </w:r>
      </w:hyperlink>
      <w:hyperlink r:id="rId149">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201" w:lineRule="exact"/>
        <w:rPr>
          <w:sz w:val="20"/>
          <w:szCs w:val="20"/>
          <w:color w:val="auto"/>
        </w:rPr>
      </w:pPr>
    </w:p>
    <w:p>
      <w:pPr>
        <w:ind w:left="40"/>
        <w:spacing w:after="0" w:line="237"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Incorporated by reference to Exhibit 10.5 to Oil-Dri’s (file No. 001-</w:t>
        </w:r>
      </w:hyperlink>
      <w:hyperlink r:id="rId150">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201" w:lineRule="exact"/>
        <w:rPr>
          <w:sz w:val="20"/>
          <w:szCs w:val="20"/>
          <w:color w:val="auto"/>
        </w:rPr>
      </w:pPr>
    </w:p>
    <w:p>
      <w:pPr>
        <w:ind w:left="40"/>
        <w:spacing w:after="0" w:line="237"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Incorporated by reference to Exhibit 10.6 to Oil-Dri’s (file No. 001-</w:t>
        </w:r>
      </w:hyperlink>
      <w:hyperlink r:id="rId151">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201" w:lineRule="exact"/>
        <w:rPr>
          <w:sz w:val="20"/>
          <w:szCs w:val="20"/>
          <w:color w:val="auto"/>
        </w:rPr>
      </w:pPr>
    </w:p>
    <w:p>
      <w:pPr>
        <w:ind w:left="40"/>
        <w:spacing w:after="0" w:line="237"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Incorporated by reference to Exhibit 10.7 to Oil-Dri’s (file No. 001-</w:t>
        </w:r>
      </w:hyperlink>
      <w:hyperlink r:id="rId152">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309" w:lineRule="exact"/>
        <w:rPr>
          <w:sz w:val="20"/>
          <w:szCs w:val="20"/>
          <w:color w:val="auto"/>
        </w:rPr>
      </w:pPr>
    </w:p>
    <w:p>
      <w:pPr>
        <w:ind w:right="20"/>
        <w:spacing w:after="0" w:line="250"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Incorporated by reference to Exhibit 10.8 to Oil-Dri’s (file No. 001-</w:t>
        </w:r>
      </w:hyperlink>
      <w:hyperlink r:id="rId153">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37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Incorporated by reference to Exhibit 10.29 to Oil-Dri's (file No. 001-</w:t>
        </w:r>
      </w:hyperlink>
    </w:p>
    <w:p>
      <w:pPr>
        <w:spacing w:after="0" w:line="205"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12622) Annual Report on Form 10-K for the fiscal year ended July</w:t>
        </w:r>
      </w:hyperlink>
    </w:p>
    <w:p>
      <w:pPr>
        <w:spacing w:after="0" w:line="1" w:lineRule="exact"/>
        <w:rPr>
          <w:sz w:val="20"/>
          <w:szCs w:val="20"/>
          <w:color w:val="auto"/>
        </w:rPr>
      </w:pPr>
    </w:p>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u w:val="single" w:color="auto"/>
            <w:color w:val="0000FF"/>
          </w:rPr>
          <w:t>31, 2018</w:t>
        </w:r>
        <w:r>
          <w:rPr>
            <w:rFonts w:ascii="Times New Roman" w:cs="Times New Roman" w:eastAsia="Times New Roman" w:hAnsi="Times New Roman"/>
            <w:sz w:val="18"/>
            <w:szCs w:val="18"/>
            <w:color w:val="000000"/>
          </w:rPr>
          <w:t>.</w:t>
        </w:r>
      </w:hyperlink>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at Oil-Dri’s website at www.oildri.com or in print upon</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request to Investor Relations, Oil-Dri Corporation of America, 410 North Michigan Avenue, Suite 400, Chicago, IL 60611-4213, telephone (312) 321-1515 or e-mail to info@oildri.com.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5820" w:space="320"/>
            <w:col w:w="5040"/>
          </w:cols>
          <w:pgMar w:left="340" w:top="999" w:right="3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446"/>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445"/>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446"/>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1040" w:type="dxa"/>
            <w:vAlign w:val="bottom"/>
          </w:tcPr>
          <w:p>
            <w:pPr>
              <w:spacing w:after="0"/>
              <w:rPr>
                <w:sz w:val="20"/>
                <w:szCs w:val="20"/>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1320" w:type="dxa"/>
            <w:vAlign w:val="bottom"/>
          </w:tcPr>
          <w:p>
            <w:pPr>
              <w:spacing w:after="0"/>
              <w:rPr>
                <w:sz w:val="20"/>
                <w:szCs w:val="20"/>
                <w:color w:val="auto"/>
              </w:rPr>
            </w:pPr>
          </w:p>
        </w:tc>
      </w:tr>
    </w:tbl>
    <w:p>
      <w:pPr>
        <w:spacing w:after="0" w:line="4" w:lineRule="exact"/>
        <w:rPr>
          <w:sz w:val="20"/>
          <w:szCs w:val="20"/>
          <w:color w:val="auto"/>
        </w:rPr>
      </w:pPr>
    </w:p>
    <w:p>
      <w:pPr>
        <w:ind w:left="1280" w:hanging="441"/>
        <w:spacing w:after="0" w:line="237"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 of Regulation S-K. A copy of the omitted portions will be furnished supplementally to the Securities and Exchange Commission upon request.</w:t>
      </w:r>
    </w:p>
    <w:p>
      <w:pPr>
        <w:spacing w:after="0" w:line="10" w:lineRule="exact"/>
        <w:rPr>
          <w:sz w:val="20"/>
          <w:szCs w:val="20"/>
          <w:color w:val="auto"/>
        </w:rPr>
      </w:pPr>
    </w:p>
    <w:p>
      <w:pPr>
        <w:ind w:left="1280" w:hanging="441"/>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1280" w:right="60" w:hanging="531"/>
        <w:spacing w:after="0" w:line="229"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similar attachments to this exhibit have been omitted pursuant to Item 601(a)(5) of Regulation S-K. The Company agrees to provide a copy of the omitted schedules and similar attachments on a supplemental basis to the Commission or its staff, if requested.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1147" w:right="61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0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29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218"/>
        </w:trPr>
        <w:tc>
          <w:tcPr>
            <w:tcW w:w="70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Daniel S. Jaffee</w:t>
            </w:r>
          </w:p>
        </w:tc>
      </w:tr>
      <w:tr>
        <w:trPr>
          <w:trHeight w:val="234"/>
        </w:trPr>
        <w:tc>
          <w:tcPr>
            <w:tcW w:w="700" w:type="dxa"/>
            <w:vAlign w:val="bottom"/>
          </w:tcPr>
          <w:p>
            <w:pPr>
              <w:spacing w:after="0"/>
              <w:rPr>
                <w:sz w:val="20"/>
                <w:szCs w:val="20"/>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10, 2024</w:t>
      </w:r>
    </w:p>
    <w:p>
      <w:pPr>
        <w:spacing w:after="0" w:line="225" w:lineRule="exact"/>
        <w:rPr>
          <w:sz w:val="20"/>
          <w:szCs w:val="20"/>
          <w:color w:val="auto"/>
        </w:rPr>
      </w:pPr>
    </w:p>
    <w:p>
      <w:pPr>
        <w:jc w:val="both"/>
        <w:ind w:firstLine="20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24"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Daniel S. Jaffee</w:t>
            </w:r>
          </w:p>
        </w:tc>
        <w:tc>
          <w:tcPr>
            <w:tcW w:w="15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October 10, 2024</w:t>
            </w:r>
          </w:p>
        </w:tc>
      </w:tr>
      <w:tr>
        <w:trPr>
          <w:trHeight w:val="218"/>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Daniel S. Jaffee</w:t>
            </w:r>
          </w:p>
        </w:tc>
        <w:tc>
          <w:tcPr>
            <w:tcW w:w="1540" w:type="dxa"/>
            <w:vAlign w:val="bottom"/>
          </w:tcPr>
          <w:p>
            <w:pPr>
              <w:spacing w:after="0"/>
              <w:rPr>
                <w:sz w:val="18"/>
                <w:szCs w:val="18"/>
                <w:color w:val="auto"/>
              </w:rPr>
            </w:pPr>
          </w:p>
        </w:tc>
      </w:tr>
      <w:tr>
        <w:trPr>
          <w:trHeight w:val="180"/>
        </w:trPr>
        <w:tc>
          <w:tcPr>
            <w:tcW w:w="60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1540" w:type="dxa"/>
            <w:vAlign w:val="bottom"/>
          </w:tcPr>
          <w:p>
            <w:pPr>
              <w:spacing w:after="0"/>
              <w:rPr>
                <w:sz w:val="15"/>
                <w:szCs w:val="15"/>
                <w:color w:val="auto"/>
              </w:rPr>
            </w:pPr>
          </w:p>
        </w:tc>
      </w:tr>
      <w:tr>
        <w:trPr>
          <w:trHeight w:val="234"/>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540" w:type="dxa"/>
            <w:vAlign w:val="bottom"/>
          </w:tcPr>
          <w:p>
            <w:pPr>
              <w:spacing w:after="0"/>
              <w:rPr>
                <w:sz w:val="20"/>
                <w:szCs w:val="20"/>
                <w:color w:val="auto"/>
              </w:rPr>
            </w:pPr>
          </w:p>
        </w:tc>
      </w:tr>
      <w:tr>
        <w:trPr>
          <w:trHeight w:val="238"/>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40" w:type="dxa"/>
            <w:vAlign w:val="bottom"/>
          </w:tcPr>
          <w:p>
            <w:pPr>
              <w:spacing w:after="0"/>
              <w:rPr>
                <w:sz w:val="20"/>
                <w:szCs w:val="20"/>
                <w:color w:val="auto"/>
              </w:rPr>
            </w:pPr>
          </w:p>
        </w:tc>
      </w:tr>
      <w:tr>
        <w:trPr>
          <w:trHeight w:val="459"/>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Susan M. Kreh</w:t>
            </w:r>
          </w:p>
        </w:tc>
        <w:tc>
          <w:tcPr>
            <w:tcW w:w="15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October 10, 2024</w:t>
            </w:r>
          </w:p>
        </w:tc>
      </w:tr>
      <w:tr>
        <w:trPr>
          <w:trHeight w:val="218"/>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M. Kreh</w:t>
            </w:r>
          </w:p>
        </w:tc>
        <w:tc>
          <w:tcPr>
            <w:tcW w:w="1540" w:type="dxa"/>
            <w:vAlign w:val="bottom"/>
          </w:tcPr>
          <w:p>
            <w:pPr>
              <w:spacing w:after="0"/>
              <w:rPr>
                <w:sz w:val="18"/>
                <w:szCs w:val="18"/>
                <w:color w:val="auto"/>
              </w:rPr>
            </w:pPr>
          </w:p>
        </w:tc>
      </w:tr>
      <w:tr>
        <w:trPr>
          <w:trHeight w:val="230"/>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540" w:type="dxa"/>
            <w:vAlign w:val="bottom"/>
          </w:tcPr>
          <w:p>
            <w:pPr>
              <w:spacing w:after="0"/>
              <w:rPr>
                <w:sz w:val="19"/>
                <w:szCs w:val="19"/>
                <w:color w:val="auto"/>
              </w:rPr>
            </w:pPr>
          </w:p>
        </w:tc>
      </w:tr>
      <w:tr>
        <w:trPr>
          <w:trHeight w:val="234"/>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 &amp; Principal Financial Officer)</w:t>
            </w:r>
          </w:p>
        </w:tc>
        <w:tc>
          <w:tcPr>
            <w:tcW w:w="1540" w:type="dxa"/>
            <w:vAlign w:val="bottom"/>
          </w:tcPr>
          <w:p>
            <w:pPr>
              <w:spacing w:after="0"/>
              <w:rPr>
                <w:sz w:val="20"/>
                <w:szCs w:val="20"/>
                <w:color w:val="auto"/>
              </w:rPr>
            </w:pPr>
          </w:p>
        </w:tc>
      </w:tr>
      <w:tr>
        <w:trPr>
          <w:trHeight w:val="49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Ellen-Blair Chube</w:t>
            </w:r>
          </w:p>
        </w:tc>
        <w:tc>
          <w:tcPr>
            <w:tcW w:w="15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October 10, 2024</w:t>
            </w:r>
          </w:p>
        </w:tc>
      </w:tr>
      <w:tr>
        <w:trPr>
          <w:trHeight w:val="218"/>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Ellen-Blair Chube</w:t>
            </w:r>
          </w:p>
        </w:tc>
        <w:tc>
          <w:tcPr>
            <w:tcW w:w="1540" w:type="dxa"/>
            <w:vAlign w:val="bottom"/>
          </w:tcPr>
          <w:p>
            <w:pPr>
              <w:spacing w:after="0"/>
              <w:rPr>
                <w:sz w:val="18"/>
                <w:szCs w:val="18"/>
                <w:color w:val="auto"/>
              </w:rPr>
            </w:pPr>
          </w:p>
        </w:tc>
      </w:tr>
      <w:tr>
        <w:trPr>
          <w:trHeight w:val="234"/>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spacing w:after="0"/>
              <w:rPr>
                <w:sz w:val="20"/>
                <w:szCs w:val="20"/>
                <w:color w:val="auto"/>
              </w:rPr>
            </w:pPr>
          </w:p>
        </w:tc>
      </w:tr>
      <w:tr>
        <w:trPr>
          <w:trHeight w:val="499"/>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Paul M. Hindsley</w:t>
            </w:r>
          </w:p>
        </w:tc>
        <w:tc>
          <w:tcPr>
            <w:tcW w:w="15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October 10, 2024</w:t>
            </w:r>
          </w:p>
        </w:tc>
      </w:tr>
      <w:tr>
        <w:trPr>
          <w:trHeight w:val="218"/>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M. Hindsley</w:t>
            </w:r>
          </w:p>
        </w:tc>
        <w:tc>
          <w:tcPr>
            <w:tcW w:w="1540" w:type="dxa"/>
            <w:vAlign w:val="bottom"/>
          </w:tcPr>
          <w:p>
            <w:pPr>
              <w:spacing w:after="0"/>
              <w:rPr>
                <w:sz w:val="18"/>
                <w:szCs w:val="18"/>
                <w:color w:val="auto"/>
              </w:rPr>
            </w:pPr>
          </w:p>
        </w:tc>
      </w:tr>
      <w:tr>
        <w:trPr>
          <w:trHeight w:val="234"/>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spacing w:after="0"/>
              <w:rPr>
                <w:sz w:val="20"/>
                <w:szCs w:val="20"/>
                <w:color w:val="auto"/>
              </w:rPr>
            </w:pPr>
          </w:p>
        </w:tc>
      </w:tr>
      <w:tr>
        <w:trPr>
          <w:trHeight w:val="459"/>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Michael A. Nemeroff</w:t>
            </w:r>
          </w:p>
        </w:tc>
        <w:tc>
          <w:tcPr>
            <w:tcW w:w="15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October 10, 2024</w:t>
            </w:r>
          </w:p>
        </w:tc>
      </w:tr>
      <w:tr>
        <w:trPr>
          <w:trHeight w:val="218"/>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A. Nemeroff</w:t>
            </w:r>
          </w:p>
        </w:tc>
        <w:tc>
          <w:tcPr>
            <w:tcW w:w="1540" w:type="dxa"/>
            <w:vAlign w:val="bottom"/>
          </w:tcPr>
          <w:p>
            <w:pPr>
              <w:spacing w:after="0"/>
              <w:rPr>
                <w:sz w:val="18"/>
                <w:szCs w:val="18"/>
                <w:color w:val="auto"/>
              </w:rPr>
            </w:pPr>
          </w:p>
        </w:tc>
      </w:tr>
      <w:tr>
        <w:trPr>
          <w:trHeight w:val="234"/>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spacing w:after="0"/>
              <w:rPr>
                <w:sz w:val="20"/>
                <w:szCs w:val="20"/>
                <w:color w:val="auto"/>
              </w:rPr>
            </w:pPr>
          </w:p>
        </w:tc>
      </w:tr>
      <w:tr>
        <w:trPr>
          <w:trHeight w:val="500"/>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George C. Roeth</w:t>
            </w:r>
          </w:p>
        </w:tc>
        <w:tc>
          <w:tcPr>
            <w:tcW w:w="15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October 10, 2024</w:t>
            </w:r>
          </w:p>
        </w:tc>
      </w:tr>
      <w:tr>
        <w:trPr>
          <w:trHeight w:val="218"/>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George C. Roeth</w:t>
            </w:r>
          </w:p>
        </w:tc>
        <w:tc>
          <w:tcPr>
            <w:tcW w:w="1540" w:type="dxa"/>
            <w:vAlign w:val="bottom"/>
          </w:tcPr>
          <w:p>
            <w:pPr>
              <w:spacing w:after="0"/>
              <w:rPr>
                <w:sz w:val="18"/>
                <w:szCs w:val="18"/>
                <w:color w:val="auto"/>
              </w:rPr>
            </w:pPr>
          </w:p>
        </w:tc>
      </w:tr>
      <w:tr>
        <w:trPr>
          <w:trHeight w:val="234"/>
        </w:trPr>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Amy L. Ryan</w:t>
            </w:r>
          </w:p>
        </w:tc>
        <w:tc>
          <w:tcPr>
            <w:tcW w:w="3940" w:type="dxa"/>
            <w:vAlign w:val="bottom"/>
            <w:tcBorders>
              <w:bottom w:val="single" w:sz="8" w:color="auto"/>
            </w:tcBorders>
          </w:tcPr>
          <w:p>
            <w:pPr>
              <w:spacing w:after="0"/>
              <w:rPr>
                <w:sz w:val="20"/>
                <w:szCs w:val="20"/>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October 10, 2024</w:t>
            </w:r>
          </w:p>
        </w:tc>
      </w:tr>
      <w:tr>
        <w:trPr>
          <w:trHeight w:val="218"/>
        </w:trPr>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94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Amy L. Ryan</w:t>
            </w:r>
          </w:p>
        </w:tc>
        <w:tc>
          <w:tcPr>
            <w:tcW w:w="47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60" w:type="dxa"/>
            <w:vAlign w:val="bottom"/>
            <w:gridSpan w:val="2"/>
          </w:tcPr>
          <w:p>
            <w:pPr>
              <w:jc w:val="center"/>
              <w:ind w:right="6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86"/>
        </w:trPr>
        <w:tc>
          <w:tcPr>
            <w:tcW w:w="500" w:type="dxa"/>
            <w:vAlign w:val="bottom"/>
          </w:tcPr>
          <w:p>
            <w:pPr>
              <w:spacing w:after="0"/>
              <w:rPr>
                <w:sz w:val="24"/>
                <w:szCs w:val="24"/>
                <w:color w:val="auto"/>
              </w:rPr>
            </w:pPr>
          </w:p>
        </w:tc>
        <w:tc>
          <w:tcPr>
            <w:tcW w:w="2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Patricia J. Schmeda</w:t>
            </w:r>
          </w:p>
        </w:tc>
        <w:tc>
          <w:tcPr>
            <w:tcW w:w="3940" w:type="dxa"/>
            <w:vAlign w:val="bottom"/>
            <w:tcBorders>
              <w:bottom w:val="single" w:sz="8" w:color="auto"/>
            </w:tcBorders>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October 10, 2024</w:t>
            </w:r>
          </w:p>
        </w:tc>
      </w:tr>
      <w:tr>
        <w:trPr>
          <w:trHeight w:val="218"/>
        </w:trPr>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94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rPr>
              <w:t>Patricia J. Schmeda</w:t>
            </w:r>
          </w:p>
        </w:tc>
        <w:tc>
          <w:tcPr>
            <w:tcW w:w="47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60" w:type="dxa"/>
            <w:vAlign w:val="bottom"/>
            <w:gridSpan w:val="2"/>
          </w:tcPr>
          <w:p>
            <w:pPr>
              <w:jc w:val="center"/>
              <w:ind w:right="6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86"/>
        </w:trPr>
        <w:tc>
          <w:tcPr>
            <w:tcW w:w="500" w:type="dxa"/>
            <w:vAlign w:val="bottom"/>
          </w:tcPr>
          <w:p>
            <w:pPr>
              <w:spacing w:after="0"/>
              <w:rPr>
                <w:sz w:val="24"/>
                <w:szCs w:val="24"/>
                <w:color w:val="auto"/>
              </w:rPr>
            </w:pPr>
          </w:p>
        </w:tc>
        <w:tc>
          <w:tcPr>
            <w:tcW w:w="2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Allan H. Selig</w:t>
            </w:r>
          </w:p>
        </w:tc>
        <w:tc>
          <w:tcPr>
            <w:tcW w:w="3940" w:type="dxa"/>
            <w:vAlign w:val="bottom"/>
            <w:tcBorders>
              <w:bottom w:val="single" w:sz="8" w:color="auto"/>
            </w:tcBorders>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October 10, 2024</w:t>
            </w:r>
          </w:p>
        </w:tc>
      </w:tr>
      <w:tr>
        <w:trPr>
          <w:trHeight w:val="218"/>
        </w:trPr>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94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8"/>
              </w:rPr>
              <w:t>Allan H. Selig</w:t>
            </w:r>
          </w:p>
        </w:tc>
        <w:tc>
          <w:tcPr>
            <w:tcW w:w="47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60" w:type="dxa"/>
            <w:vAlign w:val="bottom"/>
            <w:gridSpan w:val="2"/>
          </w:tcPr>
          <w:p>
            <w:pPr>
              <w:jc w:val="center"/>
              <w:ind w:right="6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59"/>
        </w:trPr>
        <w:tc>
          <w:tcPr>
            <w:tcW w:w="500" w:type="dxa"/>
            <w:vAlign w:val="bottom"/>
          </w:tcPr>
          <w:p>
            <w:pPr>
              <w:spacing w:after="0"/>
              <w:rPr>
                <w:sz w:val="24"/>
                <w:szCs w:val="24"/>
                <w:color w:val="auto"/>
              </w:rPr>
            </w:pPr>
          </w:p>
        </w:tc>
        <w:tc>
          <w:tcPr>
            <w:tcW w:w="2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Lawrence E. Washow</w:t>
            </w:r>
          </w:p>
        </w:tc>
        <w:tc>
          <w:tcPr>
            <w:tcW w:w="3940" w:type="dxa"/>
            <w:vAlign w:val="bottom"/>
            <w:tcBorders>
              <w:bottom w:val="single" w:sz="8" w:color="auto"/>
            </w:tcBorders>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October 10, 2024</w:t>
            </w:r>
          </w:p>
        </w:tc>
      </w:tr>
      <w:tr>
        <w:trPr>
          <w:trHeight w:val="218"/>
        </w:trPr>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94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Lawrence E. Washow</w:t>
            </w:r>
          </w:p>
        </w:tc>
        <w:tc>
          <w:tcPr>
            <w:tcW w:w="47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60" w:type="dxa"/>
            <w:vAlign w:val="bottom"/>
            <w:gridSpan w:val="2"/>
          </w:tcPr>
          <w:p>
            <w:pPr>
              <w:jc w:val="center"/>
              <w:ind w:right="6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851"/>
        </w:trPr>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85</w:t>
            </w:r>
          </w:p>
        </w:tc>
        <w:tc>
          <w:tcPr>
            <w:tcW w:w="4720" w:type="dxa"/>
            <w:vAlign w:val="bottom"/>
          </w:tcPr>
          <w:p>
            <w:pPr>
              <w:spacing w:after="0"/>
              <w:rPr>
                <w:sz w:val="24"/>
                <w:szCs w:val="24"/>
                <w:color w:val="auto"/>
              </w:rPr>
            </w:pPr>
          </w:p>
        </w:tc>
      </w:tr>
      <w:tr>
        <w:trPr>
          <w:trHeight w:val="358"/>
        </w:trPr>
        <w:tc>
          <w:tcPr>
            <w:tcW w:w="5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tbl>
      <w:tblPr>
        <w:tblLayout w:type="fixed"/>
        <w:tblInd w:w="1940" w:type="dxa"/>
        <w:tblCellMar>
          <w:top w:w="0" w:type="dxa"/>
          <w:left w:w="0" w:type="dxa"/>
          <w:bottom w:w="0" w:type="dxa"/>
          <w:right w:w="0" w:type="dxa"/>
        </w:tblCellMar>
      </w:tblPr>
      <w:tr>
        <w:trPr>
          <w:trHeight w:val="238"/>
        </w:trPr>
        <w:tc>
          <w:tcPr>
            <w:tcW w:w="6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OIL-DRI CORPORATION OF AMERICA AND SUBSIDIARIES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636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7"/>
        </w:trPr>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July 31,</w:t>
            </w:r>
          </w:p>
        </w:tc>
      </w:tr>
      <w:tr>
        <w:trPr>
          <w:trHeight w:val="223"/>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and cash discounts: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(Reduction) addition</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recovery</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end of year</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reserve for income taxes: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year</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1"/>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139"/>
          </w:cols>
          <w:pgMar w:left="320" w:top="887"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and is subject to and qualified in its entirety by reference to both the Certificate of Incorporation of Oil-Dri, as amended (the "Certificate of Incorporation"), and the By-Laws of Oil-Dri Corporation of America, as Amended and Restated (the "By-laws"). The Certificate of Incorporation and the By-laws are each incorporated by reference as an exhibit to the Annual Report on Form 10-K of which this Exhibit 4.1 is a part.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 of Capital Stock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as of July 31, 2024 and 2023 consisted of 15,000,000 shares of Common Stock, 7,000,000 shares of Class B Stock and 30,000,000 shares of Class A Common Stock, each with a par value of $.10 per share. There are no Class A Common Stock shares currently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is entitled to one vote per share and Class B Stock is entitled to ten votes per share, while Class A Common Stock has no voting rights except in accordance with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Common Stock, Class A Common Stock and Class B Stock are equal in respect of all rights to dividends (other than cash as described above)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Common Stock and Class A Common Stock have no conversion rights. Class B Stock is convertible on a share-by-share basis into Common Stock at any time and is subject to mandatory conversion under certain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of Class Rights and Powers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when the shares of Class B Stock cease to account for at least 20% of the total of both shares of Common Stock and Class B Stock outstanding, or for a period of one year do not account for at least 10% of the total shares of Common Stock, Class B Stock and Class A Common Stock outstanding, then any shares of Class B Stock outstanding shall, without any action by the Board of Directors, automatically convert to shares of Common Stock. In addition, and the provisions for different voting or cash dividend rights for Common Stock and Class B Stock shall thence forth not be in effect.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all classes of stock are entitled to share ratably as a single class in the remaining net assets of the Company. A merger or consolidation of the Company or a sale or conveyance of all or any part of the Company's assets will not be deemed a liquidation, dissolution or winding up.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Sale and Transfer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Stock is subject to restrictions that permit the sale or transfer of these shares only to certain permitted transferees.</w:t>
      </w:r>
    </w:p>
    <w:p>
      <w:pPr>
        <w:sectPr>
          <w:pgSz w:w="11900" w:h="16838" w:orient="portrait"/>
          <w:cols w:equalWidth="0" w:num="1">
            <w:col w:w="11240"/>
          </w:cols>
          <w:pgMar w:left="320" w:top="88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 Redemption or Preemptive Rights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have no preemptive, redemption or subscription rights.</w:t>
      </w:r>
    </w:p>
    <w:p>
      <w:pPr>
        <w:sectPr>
          <w:pgSz w:w="11900" w:h="16838" w:orient="portrait"/>
          <w:cols w:equalWidth="0" w:num="1">
            <w:col w:w="10139"/>
          </w:cols>
          <w:pgMar w:left="320" w:top="887"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SUBSIDIARIES OF 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State or Country</w:t>
            </w:r>
          </w:p>
        </w:tc>
        <w:tc>
          <w:tcPr>
            <w:tcW w:w="0" w:type="dxa"/>
            <w:vAlign w:val="bottom"/>
          </w:tcPr>
          <w:p>
            <w:pPr>
              <w:spacing w:after="0"/>
              <w:rPr>
                <w:sz w:val="1"/>
                <w:szCs w:val="1"/>
                <w:color w:val="auto"/>
              </w:rPr>
            </w:pPr>
          </w:p>
        </w:tc>
      </w:tr>
      <w:tr>
        <w:trPr>
          <w:trHeight w:val="243"/>
        </w:trPr>
        <w:tc>
          <w:tcPr>
            <w:tcW w:w="3720" w:type="dxa"/>
            <w:vAlign w:val="bottom"/>
            <w:vMerge w:val="continue"/>
          </w:tcPr>
          <w:p>
            <w:pPr>
              <w:spacing w:after="0"/>
              <w:rPr>
                <w:sz w:val="21"/>
                <w:szCs w:val="21"/>
                <w:color w:val="auto"/>
              </w:rPr>
            </w:pP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of Organization</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Agromex Importaciones, S.A. de C.V.</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Amlan Trading (Shenzhen) Company, Ltd.</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Mountain Production Company</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Mississippi</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Mounds Management, Inc.</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Production Company, LLC</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ODC Acquisition Corp.</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Oil-Dri Canada ULC</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Georgia</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Amlan International</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Production Company</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Mississippi</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Oil-Dri SARL</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(U.K.) Limited</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 Amlan Perdagangan Internasional</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Taft Production Company</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Ultra Pet Company, Inc.</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Cedar Fresh Products, Inc.</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Harvest Ventures, Inc.</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Minnesota</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MBA Pet USA, LLC</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South Carolina</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MBA Pet B.V.</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bl>
    <w:p>
      <w:pPr>
        <w:sectPr>
          <w:pgSz w:w="11900" w:h="16838" w:orient="portrait"/>
          <w:cols w:equalWidth="0" w:num="1">
            <w:col w:w="10139"/>
          </w:cols>
          <w:pgMar w:left="320" w:top="887"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 dated October 10, 2024, with respect to the consolidated financial statements and internal control over financial reporting included in the Annual Report of Oil-Dri Corporation of America on Form 10-K for the year ended July 31, 2024. We consent to the incorporation by reference of said report in the Registration Statements of Oil-Dri Corporation of America on Forms S-8 (File Nos. 333-139550, 333-236912 and 333-277738).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ectPr>
          <w:pgSz w:w="11900" w:h="16838" w:orient="portrait"/>
          <w:cols w:equalWidth="0" w:num="1">
            <w:col w:w="11240"/>
          </w:cols>
          <w:pgMar w:left="320" w:top="88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 -14(A)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Daniel S. Jaffee, certify that:</w:t>
      </w:r>
    </w:p>
    <w:p>
      <w:pPr>
        <w:spacing w:after="0" w:line="25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Oil-Dri Corporation of America (the “registrant”);</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1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3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10, 2024</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317"/>
        </w:trPr>
        <w:tc>
          <w:tcPr>
            <w:tcW w:w="840" w:type="dxa"/>
            <w:vAlign w:val="bottom"/>
          </w:tcPr>
          <w:p>
            <w:pPr>
              <w:spacing w:after="0"/>
              <w:rPr>
                <w:sz w:val="24"/>
                <w:szCs w:val="24"/>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r>
      <w:tr>
        <w:trPr>
          <w:trHeight w:val="257"/>
        </w:trPr>
        <w:tc>
          <w:tcPr>
            <w:tcW w:w="84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EXHIBIT 31.1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Susan M. Kreh, certify that:</w:t>
      </w:r>
    </w:p>
    <w:p>
      <w:pPr>
        <w:spacing w:after="0" w:line="25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Oil-Dri Corporation of America (the “registrant”);</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401"/>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401"/>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401"/>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10, 2024</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304"/>
        </w:trPr>
        <w:tc>
          <w:tcPr>
            <w:tcW w:w="84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M. Kreh</w:t>
            </w:r>
          </w:p>
        </w:tc>
      </w:tr>
      <w:tr>
        <w:trPr>
          <w:trHeight w:val="270"/>
        </w:trPr>
        <w:tc>
          <w:tcPr>
            <w:tcW w:w="840" w:type="dxa"/>
            <w:vAlign w:val="bottom"/>
          </w:tcPr>
          <w:p>
            <w:pPr>
              <w:spacing w:after="0"/>
              <w:rPr>
                <w:sz w:val="23"/>
                <w:szCs w:val="23"/>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Annual Report on Form 10-K for the year ended July 31, 2024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October 10,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Daniel S. Jaffee</w:t>
      </w:r>
    </w:p>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3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Annual Report on Form 10-K for the year ended July 31, 2024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October 10,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Susan M. Kreh</w:t>
      </w: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3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26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240"/>
          </w:cols>
          <w:pgMar w:left="320" w:top="88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year ended July 31, 2024.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1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89"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p>
      <w:pPr>
        <w:spacing w:after="0" w:line="2"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Legal Actions</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Section 104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104(d)</w:t>
            </w:r>
          </w:p>
        </w:tc>
        <w:tc>
          <w:tcPr>
            <w:tcW w:w="7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Section</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107(a)</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Total Dollar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Mining</w:t>
            </w:r>
          </w:p>
        </w:tc>
        <w:tc>
          <w:tcPr>
            <w:tcW w:w="8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Pending as</w:t>
            </w:r>
          </w:p>
        </w:tc>
        <w:tc>
          <w:tcPr>
            <w:tcW w:w="6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Initiated</w:t>
            </w: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“Significant and</w:t>
            </w:r>
          </w:p>
        </w:tc>
        <w:tc>
          <w:tcPr>
            <w:tcW w:w="6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110(b)(2)</w:t>
            </w:r>
          </w:p>
        </w:tc>
        <w:tc>
          <w:tcPr>
            <w:tcW w:w="940" w:type="dxa"/>
            <w:vAlign w:val="bottom"/>
            <w:vMerge w:val="continue"/>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Value of</w:t>
            </w:r>
          </w:p>
        </w:tc>
        <w:tc>
          <w:tcPr>
            <w:tcW w:w="7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8"/>
        </w:trPr>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Mine ID</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Mine Location</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Substantial”</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Citations and</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Flagrant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Imminent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Proposed MSHA</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Last Day</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Violations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Violations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Danger Orders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Assessments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Fatalities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Period</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Period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During Period</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23"/>
        </w:trPr>
        <w:tc>
          <w:tcPr>
            <w:tcW w:w="8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0900114</w:t>
            </w:r>
          </w:p>
        </w:tc>
        <w:tc>
          <w:tcPr>
            <w:tcW w:w="1120" w:type="dxa"/>
            <w:vAlign w:val="bottom"/>
            <w:shd w:val="clear" w:color="auto" w:fill="CCEEFF"/>
          </w:tcPr>
          <w:p>
            <w:pPr>
              <w:ind w:left="120"/>
              <w:spacing w:after="0" w:line="119" w:lineRule="exact"/>
              <w:rPr>
                <w:sz w:val="20"/>
                <w:szCs w:val="20"/>
                <w:color w:val="auto"/>
              </w:rPr>
            </w:pPr>
            <w:r>
              <w:rPr>
                <w:rFonts w:ascii="Times New Roman" w:cs="Times New Roman" w:eastAsia="Times New Roman" w:hAnsi="Times New Roman"/>
                <w:sz w:val="13"/>
                <w:szCs w:val="13"/>
                <w:color w:val="auto"/>
              </w:rPr>
              <w:t>Ochlocknee,</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749</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7"/>
        </w:trPr>
        <w:tc>
          <w:tcPr>
            <w:tcW w:w="840" w:type="dxa"/>
            <w:vAlign w:val="bottom"/>
            <w:vMerge w:val="continue"/>
            <w:shd w:val="clear" w:color="auto" w:fill="CCEEFF"/>
          </w:tcPr>
          <w:p>
            <w:pPr>
              <w:spacing w:after="0"/>
              <w:rPr>
                <w:sz w:val="9"/>
                <w:szCs w:val="9"/>
                <w:color w:val="auto"/>
              </w:rPr>
            </w:pPr>
          </w:p>
        </w:tc>
        <w:tc>
          <w:tcPr>
            <w:tcW w:w="11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Georgia</w:t>
            </w:r>
          </w:p>
        </w:tc>
        <w:tc>
          <w:tcPr>
            <w:tcW w:w="10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84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8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2200035</w:t>
            </w:r>
          </w:p>
        </w:tc>
        <w:tc>
          <w:tcPr>
            <w:tcW w:w="11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Ripley,</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1,571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7"/>
        </w:trPr>
        <w:tc>
          <w:tcPr>
            <w:tcW w:w="840" w:type="dxa"/>
            <w:vAlign w:val="bottom"/>
            <w:vMerge w:val="continue"/>
          </w:tcPr>
          <w:p>
            <w:pPr>
              <w:spacing w:after="0"/>
              <w:rPr>
                <w:sz w:val="9"/>
                <w:szCs w:val="9"/>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1102403</w:t>
            </w: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Mounds, Illinois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59,686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39"/>
        </w:trPr>
        <w:tc>
          <w:tcPr>
            <w:tcW w:w="8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2200582</w:t>
            </w:r>
          </w:p>
        </w:tc>
        <w:tc>
          <w:tcPr>
            <w:tcW w:w="11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Blue Mountain,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924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7"/>
        </w:trPr>
        <w:tc>
          <w:tcPr>
            <w:tcW w:w="840" w:type="dxa"/>
            <w:vAlign w:val="bottom"/>
            <w:vMerge w:val="continue"/>
          </w:tcPr>
          <w:p>
            <w:pPr>
              <w:spacing w:after="0"/>
              <w:rPr>
                <w:sz w:val="9"/>
                <w:szCs w:val="9"/>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0402964</w:t>
            </w: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Taft, California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9,476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94" w:name="page95"/>
    <w:bookmarkEnd w:id="94"/>
    <w:p>
      <w:pPr>
        <w:jc w:val="both"/>
        <w:spacing w:after="0" w:line="250" w:lineRule="auto"/>
        <w:rPr>
          <w:sz w:val="20"/>
          <w:szCs w:val="20"/>
          <w:color w:val="auto"/>
        </w:rPr>
      </w:pPr>
      <w:r>
        <w:rPr>
          <w:rFonts w:ascii="Times New Roman" w:cs="Times New Roman" w:eastAsia="Times New Roman" w:hAnsi="Times New Roman"/>
          <w:sz w:val="18"/>
          <w:szCs w:val="18"/>
          <w:color w:val="auto"/>
        </w:rPr>
        <w:t>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204"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Legal actions pending before the Commission may involve, among other questions, challenges by operators to citations, orders and penalties they have received from MSHA or complaints of discrimination by miners under section 105 of the Mine Act. The table below includes the pending legal actions as of the last day of the period. The following is a brief description of the types of legal actions that may be brought before the Commission.</w:t>
      </w:r>
    </w:p>
    <w:p>
      <w:pPr>
        <w:spacing w:after="0" w:line="213"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18"/>
          <w:szCs w:val="18"/>
          <w:color w:val="auto"/>
        </w:rPr>
        <w:t>Contests of Citations and Orders: A contest proceeding may be filed with the Commission by operators, miners or miners’ representatives to challenge the issuance of a citation or order issued by MSHA.</w:t>
      </w:r>
    </w:p>
    <w:p>
      <w:pPr>
        <w:spacing w:after="0" w:line="20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spacing w:after="0" w:line="204" w:lineRule="exact"/>
        <w:rPr>
          <w:sz w:val="20"/>
          <w:szCs w:val="20"/>
          <w:color w:val="auto"/>
        </w:rPr>
      </w:pPr>
    </w:p>
    <w:p>
      <w:pPr>
        <w:jc w:val="both"/>
        <w:ind w:left="120" w:right="380"/>
        <w:spacing w:after="0" w:line="250" w:lineRule="auto"/>
        <w:rPr>
          <w:sz w:val="20"/>
          <w:szCs w:val="20"/>
          <w:color w:val="auto"/>
        </w:rPr>
      </w:pPr>
      <w:r>
        <w:rPr>
          <w:rFonts w:ascii="Times New Roman" w:cs="Times New Roman" w:eastAsia="Times New Roman" w:hAnsi="Times New Roman"/>
          <w:sz w:val="18"/>
          <w:szCs w:val="18"/>
          <w:color w:val="auto"/>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spacing w:after="0" w:line="204" w:lineRule="exact"/>
        <w:rPr>
          <w:sz w:val="20"/>
          <w:szCs w:val="20"/>
          <w:color w:val="auto"/>
        </w:rPr>
      </w:pPr>
    </w:p>
    <w:p>
      <w:pPr>
        <w:ind w:left="120" w:right="300"/>
        <w:spacing w:after="0" w:line="296" w:lineRule="auto"/>
        <w:rPr>
          <w:sz w:val="20"/>
          <w:szCs w:val="20"/>
          <w:color w:val="auto"/>
        </w:rPr>
      </w:pPr>
      <w:r>
        <w:rPr>
          <w:rFonts w:ascii="Times New Roman" w:cs="Times New Roman" w:eastAsia="Times New Roman" w:hAnsi="Times New Roman"/>
          <w:sz w:val="17"/>
          <w:szCs w:val="17"/>
          <w:color w:val="auto"/>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spacing w:after="0" w:line="16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Applications for Temporary Relief: An application for temporary relief from any modification or termination of any order or from any order issued under section 104 of the Mine Act.</w:t>
      </w:r>
    </w:p>
    <w:p>
      <w:pPr>
        <w:spacing w:after="0" w:line="189" w:lineRule="exact"/>
        <w:rPr>
          <w:sz w:val="20"/>
          <w:szCs w:val="20"/>
          <w:color w:val="auto"/>
        </w:rPr>
      </w:pPr>
    </w:p>
    <w:p>
      <w:pPr>
        <w:ind w:left="120" w:right="160"/>
        <w:spacing w:after="0" w:line="250" w:lineRule="auto"/>
        <w:rPr>
          <w:sz w:val="20"/>
          <w:szCs w:val="20"/>
          <w:color w:val="auto"/>
        </w:rPr>
      </w:pPr>
      <w:r>
        <w:rPr>
          <w:rFonts w:ascii="Times New Roman" w:cs="Times New Roman" w:eastAsia="Times New Roman" w:hAnsi="Times New Roman"/>
          <w:sz w:val="18"/>
          <w:szCs w:val="18"/>
          <w:color w:val="auto"/>
        </w:rPr>
        <w:t>Appeals of Judges’ Decisions or Orders to the Commission: A filing with the Commission of a petition for discretionary review of a Judge’s decision or order by a person who has been adversely affected or aggrieved by such decision or order.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Contests of</w:t>
            </w:r>
          </w:p>
        </w:tc>
        <w:tc>
          <w:tcPr>
            <w:tcW w:w="13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Complaints of</w:t>
            </w:r>
          </w:p>
        </w:tc>
        <w:tc>
          <w:tcPr>
            <w:tcW w:w="1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Contests of Citations</w:t>
            </w:r>
          </w:p>
        </w:tc>
        <w:tc>
          <w:tcPr>
            <w:tcW w:w="1040" w:type="dxa"/>
            <w:vAlign w:val="bottom"/>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Complaints for</w:t>
            </w: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Discharge,</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Applications for</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Appeals of Judges Decisions</w:t>
            </w:r>
          </w:p>
        </w:tc>
        <w:tc>
          <w:tcPr>
            <w:tcW w:w="0" w:type="dxa"/>
            <w:vAlign w:val="bottom"/>
          </w:tcPr>
          <w:p>
            <w:pPr>
              <w:spacing w:after="0"/>
              <w:rPr>
                <w:sz w:val="1"/>
                <w:szCs w:val="1"/>
                <w:color w:val="auto"/>
              </w:rPr>
            </w:pPr>
          </w:p>
        </w:tc>
      </w:tr>
      <w:tr>
        <w:trPr>
          <w:trHeight w:val="149"/>
        </w:trPr>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Mine ID</w:t>
            </w:r>
          </w:p>
        </w:tc>
        <w:tc>
          <w:tcPr>
            <w:tcW w:w="15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Mine location</w:t>
            </w:r>
          </w:p>
        </w:tc>
        <w:tc>
          <w:tcPr>
            <w:tcW w:w="154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Proposed</w:t>
            </w:r>
          </w:p>
        </w:tc>
        <w:tc>
          <w:tcPr>
            <w:tcW w:w="134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Discrimination or</w:t>
            </w:r>
          </w:p>
        </w:tc>
        <w:tc>
          <w:tcPr>
            <w:tcW w:w="12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Orders</w:t>
            </w: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Penalties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Compensation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Interference</w:t>
            </w:r>
          </w:p>
        </w:tc>
        <w:tc>
          <w:tcPr>
            <w:tcW w:w="12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Temporary Relief</w:t>
            </w:r>
          </w:p>
        </w:tc>
        <w:tc>
          <w:tcPr>
            <w:tcW w:w="1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or Orders to the Commission</w:t>
            </w:r>
          </w:p>
        </w:tc>
        <w:tc>
          <w:tcPr>
            <w:tcW w:w="0" w:type="dxa"/>
            <w:vAlign w:val="bottom"/>
          </w:tcPr>
          <w:p>
            <w:pPr>
              <w:spacing w:after="0"/>
              <w:rPr>
                <w:sz w:val="1"/>
                <w:szCs w:val="1"/>
                <w:color w:val="auto"/>
              </w:rPr>
            </w:pPr>
          </w:p>
        </w:tc>
      </w:tr>
      <w:tr>
        <w:trPr>
          <w:trHeight w:val="208"/>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0900114</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Ochlocknee, Georgia</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2200035</w:t>
            </w:r>
          </w:p>
        </w:tc>
        <w:tc>
          <w:tcPr>
            <w:tcW w:w="1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Ripley, Mississippi</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1102403</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Mounds, Illinois</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9"/>
        </w:trPr>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2200582</w:t>
            </w:r>
          </w:p>
        </w:tc>
        <w:tc>
          <w:tcPr>
            <w:tcW w:w="15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Blue Mountain,</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Mississippi</w:t>
            </w:r>
          </w:p>
        </w:tc>
        <w:tc>
          <w:tcPr>
            <w:tcW w:w="15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9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0402964</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Taft, California</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3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2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u w:val="single" w:color="auto"/>
          <w:color w:val="auto"/>
        </w:rPr>
        <w:t>Introduction</w:t>
      </w:r>
      <w:r>
        <w:rPr>
          <w:rFonts w:ascii="Times New Roman" w:cs="Times New Roman" w:eastAsia="Times New Roman" w:hAnsi="Times New Roman"/>
          <w:sz w:val="20"/>
          <w:szCs w:val="20"/>
          <w:color w:val="auto"/>
        </w:rPr>
        <w:t>: The Board of Directors of the Company (the “</w:t>
      </w:r>
      <w:r>
        <w:rPr>
          <w:rFonts w:ascii="Times New Roman" w:cs="Times New Roman" w:eastAsia="Times New Roman" w:hAnsi="Times New Roman"/>
          <w:sz w:val="21"/>
          <w:szCs w:val="21"/>
          <w:color w:val="auto"/>
        </w:rPr>
        <w:t>Board</w:t>
      </w:r>
      <w:r>
        <w:rPr>
          <w:rFonts w:ascii="Times New Roman" w:cs="Times New Roman" w:eastAsia="Times New Roman" w:hAnsi="Times New Roman"/>
          <w:sz w:val="20"/>
          <w:szCs w:val="20"/>
          <w:color w:val="auto"/>
        </w:rPr>
        <w:t>”) believes that it is in the best interests of the Company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shareholders to create and maintain a culture that emphasizes ethics, integrity, and accountability.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21"/>
          <w:szCs w:val="21"/>
          <w:color w:val="auto"/>
        </w:rPr>
        <w:t>Policy</w:t>
      </w:r>
      <w:r>
        <w:rPr>
          <w:rFonts w:ascii="Times New Roman" w:cs="Times New Roman" w:eastAsia="Times New Roman" w:hAnsi="Times New Roman"/>
          <w:sz w:val="20"/>
          <w:szCs w:val="20"/>
          <w:color w:val="auto"/>
        </w:rPr>
        <w:t>”). This Policy is designed to comply with Section 10D-1 of the Securities Exchange Act of 1934 (the “</w:t>
      </w:r>
      <w:r>
        <w:rPr>
          <w:rFonts w:ascii="Times New Roman" w:cs="Times New Roman" w:eastAsia="Times New Roman" w:hAnsi="Times New Roman"/>
          <w:sz w:val="21"/>
          <w:szCs w:val="21"/>
          <w:color w:val="auto"/>
        </w:rPr>
        <w:t>Exchange Act</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color w:val="auto"/>
        </w:rPr>
        <w:t>: This Policy shall be administered by the Board or, if so designated by the Board, the Compensation Committee, in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case references herein to the Board shall be deemed references to the Compensation Committee. Any determinations made by the Board shall be final and binding on all affected individuals.</w:t>
      </w:r>
    </w:p>
    <w:p>
      <w:pPr>
        <w:jc w:val="both"/>
        <w:spacing w:after="0" w:line="247" w:lineRule="auto"/>
        <w:rPr>
          <w:sz w:val="20"/>
          <w:szCs w:val="20"/>
          <w:color w:val="auto"/>
        </w:rPr>
      </w:pPr>
      <w:r>
        <w:rPr>
          <w:rFonts w:ascii="Times New Roman" w:cs="Times New Roman" w:eastAsia="Times New Roman" w:hAnsi="Times New Roman"/>
          <w:sz w:val="19"/>
          <w:szCs w:val="19"/>
          <w:b w:val="1"/>
          <w:bCs w:val="1"/>
          <w:u w:val="single" w:color="auto"/>
          <w:color w:val="auto"/>
        </w:rPr>
        <w:t>Covered Executives</w:t>
      </w:r>
      <w:r>
        <w:rPr>
          <w:rFonts w:ascii="Times New Roman" w:cs="Times New Roman" w:eastAsia="Times New Roman" w:hAnsi="Times New Roman"/>
          <w:sz w:val="19"/>
          <w:szCs w:val="19"/>
          <w:color w:val="auto"/>
        </w:rPr>
        <w:t>: This Policy applies to the Company’s current and former executive officers, as determined by the Board in accordance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Section 10D of the Exchange Act and the listing standards of the national securities exchange on which the Company’s securities are listed, and such other senior executives who may from time to time be deemed subject to the Policy by the Board (“</w:t>
      </w:r>
      <w:r>
        <w:rPr>
          <w:rFonts w:ascii="Times New Roman" w:cs="Times New Roman" w:eastAsia="Times New Roman" w:hAnsi="Times New Roman"/>
          <w:sz w:val="20"/>
          <w:szCs w:val="20"/>
          <w:color w:val="auto"/>
        </w:rPr>
        <w:t>Covered Executives</w:t>
      </w:r>
      <w:r>
        <w:rPr>
          <w:rFonts w:ascii="Times New Roman" w:cs="Times New Roman" w:eastAsia="Times New Roman" w:hAnsi="Times New Roman"/>
          <w:sz w:val="19"/>
          <w:szCs w:val="19"/>
          <w:color w:val="auto"/>
        </w:rPr>
        <w:t>”).</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u w:val="single" w:color="auto"/>
          <w:color w:val="auto"/>
        </w:rPr>
        <w:t>Recoupment; Accounting Restatement</w:t>
      </w:r>
      <w:r>
        <w:rPr>
          <w:rFonts w:ascii="Times New Roman" w:cs="Times New Roman" w:eastAsia="Times New Roman" w:hAnsi="Times New Roman"/>
          <w:sz w:val="20"/>
          <w:szCs w:val="20"/>
          <w:color w:val="auto"/>
        </w:rPr>
        <w:t>: In the event the Company is required to prepare an accounting restatement of its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due to the Company’s material noncompliance with any financial reporting requirement under the securities laws, the Board will require reimbursement or forfeiture of any Excess Incentive Compensation (as defined below) received by any Covered Executive during the three completed fiscal years immediately preceding the date on which the Company is required to prepare an accounting restatement.</w:t>
      </w:r>
    </w:p>
    <w:p>
      <w:pPr>
        <w:spacing w:after="0" w:line="227" w:lineRule="auto"/>
        <w:rPr>
          <w:sz w:val="20"/>
          <w:szCs w:val="20"/>
          <w:color w:val="auto"/>
        </w:rPr>
      </w:pPr>
      <w:r>
        <w:rPr>
          <w:rFonts w:ascii="Times New Roman" w:cs="Times New Roman" w:eastAsia="Times New Roman" w:hAnsi="Times New Roman"/>
          <w:sz w:val="20"/>
          <w:szCs w:val="20"/>
          <w:b w:val="1"/>
          <w:bCs w:val="1"/>
          <w:u w:val="single" w:color="auto"/>
          <w:color w:val="auto"/>
        </w:rPr>
        <w:t>Incentive Compensation</w:t>
      </w:r>
      <w:r>
        <w:rPr>
          <w:rFonts w:ascii="Times New Roman" w:cs="Times New Roman" w:eastAsia="Times New Roman" w:hAnsi="Times New Roman"/>
          <w:sz w:val="20"/>
          <w:szCs w:val="20"/>
          <w:color w:val="auto"/>
        </w:rPr>
        <w:t>:</w:t>
      </w:r>
    </w:p>
    <w:p>
      <w:pPr>
        <w:jc w:val="both"/>
        <w:spacing w:after="0" w:line="232" w:lineRule="auto"/>
        <w:rPr>
          <w:sz w:val="20"/>
          <w:szCs w:val="20"/>
          <w:color w:val="auto"/>
        </w:rPr>
      </w:pPr>
      <w:r>
        <w:rPr>
          <w:rFonts w:ascii="Times New Roman" w:cs="Times New Roman" w:eastAsia="Times New Roman" w:hAnsi="Times New Roman"/>
          <w:sz w:val="20"/>
          <w:szCs w:val="20"/>
          <w:color w:val="auto"/>
        </w:rPr>
        <w:t>For purposes of this Policy, Incentive Compensation means any of the following; provided that, such compensation is granted, earned, or vested based wholly or in part on the attainment of a financial reporting measure:</w:t>
      </w:r>
    </w:p>
    <w:p>
      <w:pPr>
        <w:ind w:left="440" w:hanging="234"/>
        <w:spacing w:after="0" w:line="226" w:lineRule="auto"/>
        <w:tabs>
          <w:tab w:leader="none" w:pos="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bonuses and other short- and long-term cash incentives,</w:t>
      </w:r>
    </w:p>
    <w:p>
      <w:pPr>
        <w:ind w:left="500" w:hanging="294"/>
        <w:spacing w:after="0"/>
        <w:tabs>
          <w:tab w:leader="none" w:pos="5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w:t>
      </w:r>
    </w:p>
    <w:p>
      <w:pPr>
        <w:ind w:left="1000" w:hanging="344"/>
        <w:spacing w:after="0" w:line="225" w:lineRule="auto"/>
        <w:tabs>
          <w:tab w:leader="none" w:pos="10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appreciation rights,</w:t>
      </w:r>
    </w:p>
    <w:p>
      <w:pPr>
        <w:ind w:left="1000" w:hanging="344"/>
        <w:spacing w:after="0"/>
        <w:tabs>
          <w:tab w:leader="none" w:pos="10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w:t>
      </w:r>
    </w:p>
    <w:p>
      <w:pPr>
        <w:ind w:left="940" w:hanging="284"/>
        <w:spacing w:after="0" w:line="225" w:lineRule="auto"/>
        <w:tabs>
          <w:tab w:leader="none" w:pos="9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 units,</w:t>
      </w:r>
    </w:p>
    <w:p>
      <w:pPr>
        <w:ind w:left="1000" w:hanging="344"/>
        <w:spacing w:after="0" w:line="225" w:lineRule="auto"/>
        <w:tabs>
          <w:tab w:leader="none" w:pos="10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shares, and</w:t>
      </w:r>
    </w:p>
    <w:p>
      <w:pPr>
        <w:ind w:left="1040" w:hanging="384"/>
        <w:spacing w:after="0"/>
        <w:tabs>
          <w:tab w:leader="none" w:pos="10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units.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reporting measures include:</w:t>
      </w:r>
    </w:p>
    <w:p>
      <w:pPr>
        <w:spacing w:after="0" w:line="8" w:lineRule="exact"/>
        <w:rPr>
          <w:sz w:val="20"/>
          <w:szCs w:val="20"/>
          <w:color w:val="auto"/>
        </w:rPr>
      </w:pPr>
    </w:p>
    <w:p>
      <w:pPr>
        <w:ind w:left="900" w:hanging="244"/>
        <w:spacing w:after="0"/>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stock price,</w:t>
      </w:r>
    </w:p>
    <w:p>
      <w:pPr>
        <w:ind w:left="940" w:hanging="284"/>
        <w:spacing w:after="0" w:line="225" w:lineRule="auto"/>
        <w:tabs>
          <w:tab w:leader="none" w:pos="9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shareholder return,</w:t>
      </w:r>
    </w:p>
    <w:p>
      <w:pPr>
        <w:ind w:left="1000" w:hanging="344"/>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w:t>
      </w:r>
    </w:p>
    <w:p>
      <w:pPr>
        <w:ind w:left="1000" w:hanging="344"/>
        <w:spacing w:after="0" w:line="225" w:lineRule="auto"/>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w:t>
      </w:r>
    </w:p>
    <w:p>
      <w:pPr>
        <w:ind w:left="940" w:hanging="284"/>
        <w:spacing w:after="0" w:line="225" w:lineRule="auto"/>
        <w:tabs>
          <w:tab w:leader="none" w:pos="9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before interest, taxes, depreciation, and amortization (EBITDA),</w:t>
      </w:r>
    </w:p>
    <w:p>
      <w:pPr>
        <w:ind w:left="1000" w:hanging="344"/>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measures such as working capital or operating cash flow,</w:t>
      </w:r>
    </w:p>
    <w:p>
      <w:pPr>
        <w:ind w:left="1040" w:hanging="384"/>
        <w:spacing w:after="0" w:line="225" w:lineRule="auto"/>
        <w:tabs>
          <w:tab w:leader="none" w:pos="10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measures such as return on invested capital or return on assets, and</w:t>
      </w:r>
    </w:p>
    <w:p>
      <w:pPr>
        <w:ind w:left="1100" w:hanging="444"/>
        <w:spacing w:after="0"/>
        <w:tabs>
          <w:tab w:leader="none" w:pos="11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measures such as earnings per share.</w:t>
      </w:r>
    </w:p>
    <w:p>
      <w:pPr>
        <w:sectPr>
          <w:pgSz w:w="11900" w:h="16838" w:orient="portrait"/>
          <w:cols w:equalWidth="0" w:num="1">
            <w:col w:w="11240"/>
          </w:cols>
          <w:pgMar w:left="320" w:top="1404" w:right="339" w:bottom="1440" w:gutter="0" w:footer="0" w:header="0"/>
        </w:sectPr>
      </w:pPr>
    </w:p>
    <w:bookmarkStart w:id="96" w:name="page97"/>
    <w:bookmarkEnd w:id="96"/>
    <w:p>
      <w:pPr>
        <w:jc w:val="both"/>
        <w:spacing w:after="0" w:line="241" w:lineRule="auto"/>
        <w:rPr>
          <w:sz w:val="20"/>
          <w:szCs w:val="20"/>
          <w:color w:val="auto"/>
        </w:rPr>
      </w:pPr>
      <w:r>
        <w:rPr>
          <w:rFonts w:ascii="Times New Roman" w:cs="Times New Roman" w:eastAsia="Times New Roman" w:hAnsi="Times New Roman"/>
          <w:sz w:val="20"/>
          <w:szCs w:val="20"/>
          <w:b w:val="1"/>
          <w:bCs w:val="1"/>
          <w:u w:val="single" w:color="auto"/>
          <w:color w:val="auto"/>
        </w:rPr>
        <w:t>Excess Incentive Compensation: Amount Subject to Recovery</w:t>
      </w:r>
      <w:r>
        <w:rPr>
          <w:rFonts w:ascii="Times New Roman" w:cs="Times New Roman" w:eastAsia="Times New Roman" w:hAnsi="Times New Roman"/>
          <w:sz w:val="20"/>
          <w:szCs w:val="20"/>
          <w:color w:val="auto"/>
        </w:rPr>
        <w:t>: The amount to be recovered will be the excess of the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paid to the Covered Executive based on the data used to calculate the Incentive Compensation prior to any material accounting restatement over the Incentive Compensation that would have been paid to the Covered Executive had it been based on the restated results, as determined by the Board (the “Excess Incentive Compensation”).</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Method of Recoupment</w:t>
      </w:r>
      <w:r>
        <w:rPr>
          <w:rFonts w:ascii="Times New Roman" w:cs="Times New Roman" w:eastAsia="Times New Roman" w:hAnsi="Times New Roman"/>
          <w:sz w:val="20"/>
          <w:szCs w:val="20"/>
          <w:color w:val="auto"/>
        </w:rPr>
        <w:t>: The Board will determine, in its sole discretion, the method for recouping Incentive Compensation hereunder</w:t>
      </w:r>
    </w:p>
    <w:p>
      <w:pPr>
        <w:spacing w:after="0" w:line="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which may include, without limitation: (a) requiring reimbursement of cash Incentive Compensation previously paid; (b) seeking recovery of any gain realized on the vesting, exercise, settlement, sale, transfer, or other disposition of any equity-based awards; (c) offsetting the recouped amount from any compensation otherwise owed by the Company to the Covered Executive; (d) cancelling outstanding vested or unvested equity awards; and/or (e) taking any other remedial and recovery action permitted by law, as determined by the Board.</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u w:val="single" w:color="auto"/>
          <w:color w:val="auto"/>
        </w:rPr>
        <w:t>No Indemnification</w:t>
      </w:r>
      <w:r>
        <w:rPr>
          <w:rFonts w:ascii="Times New Roman" w:cs="Times New Roman" w:eastAsia="Times New Roman" w:hAnsi="Times New Roman"/>
          <w:sz w:val="20"/>
          <w:szCs w:val="20"/>
          <w:color w:val="auto"/>
        </w:rPr>
        <w:t>: The Company shall not indemnify any Covered Executives against the loss of any incorrectly awarded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The Board is authorized to interpret and construe this Policy and to make all determinations necessary, appropriate,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210"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color w:val="auto"/>
        </w:rPr>
        <w:t>: This Policy shall be effective as of December 1, 2023 by the Board (the “</w:t>
      </w:r>
      <w:r>
        <w:rPr>
          <w:rFonts w:ascii="Times New Roman" w:cs="Times New Roman" w:eastAsia="Times New Roman" w:hAnsi="Times New Roman"/>
          <w:sz w:val="21"/>
          <w:szCs w:val="21"/>
          <w:color w:val="auto"/>
        </w:rPr>
        <w:t>Effective Date</w:t>
      </w:r>
      <w:r>
        <w:rPr>
          <w:rFonts w:ascii="Times New Roman" w:cs="Times New Roman" w:eastAsia="Times New Roman" w:hAnsi="Times New Roman"/>
          <w:sz w:val="20"/>
          <w:szCs w:val="20"/>
          <w:color w:val="auto"/>
        </w:rPr>
        <w:t>”) and shall apply to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that is approved, awarded, or granted to Covered Executives on or after that date.</w:t>
      </w:r>
    </w:p>
    <w:p>
      <w:pPr>
        <w:spacing w:after="0" w:line="1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u w:val="single" w:color="auto"/>
          <w:color w:val="auto"/>
        </w:rPr>
        <w:t>Amendment; Termination</w:t>
      </w:r>
      <w:r>
        <w:rPr>
          <w:rFonts w:ascii="Times New Roman" w:cs="Times New Roman" w:eastAsia="Times New Roman" w:hAnsi="Times New Roman"/>
          <w:sz w:val="20"/>
          <w:szCs w:val="20"/>
          <w:color w:val="auto"/>
        </w:rPr>
        <w:t>: The Board may amend this Policy from time to time in its discretion and shall amend this Policy as it deems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u w:val="single" w:color="auto"/>
          <w:color w:val="auto"/>
        </w:rPr>
        <w:t>Other Recoupment Rights</w:t>
      </w:r>
      <w:r>
        <w:rPr>
          <w:rFonts w:ascii="Times New Roman" w:cs="Times New Roman" w:eastAsia="Times New Roman" w:hAnsi="Times New Roman"/>
          <w:sz w:val="20"/>
          <w:szCs w:val="20"/>
          <w:color w:val="auto"/>
        </w:rPr>
        <w:t>: The Board intends that this Policy will be applied to the fullest extent of the law. The Board may require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u w:val="single" w:color="auto"/>
          <w:color w:val="auto"/>
        </w:rPr>
        <w:t>Impracticability</w:t>
      </w:r>
      <w:r>
        <w:rPr>
          <w:rFonts w:ascii="Times New Roman" w:cs="Times New Roman" w:eastAsia="Times New Roman" w:hAnsi="Times New Roman"/>
          <w:sz w:val="20"/>
          <w:szCs w:val="20"/>
          <w:color w:val="auto"/>
        </w:rPr>
        <w:t>: The Board shall recover any Excess Incentive Compensation in accordance with this Policy unless such recovery would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impracticable, as determined by the Board in accordance with Rule 10D-1 of the Exchange Act and the listing standards of the national securities exchange on which the Company’s securities are listed.</w:t>
      </w:r>
    </w:p>
    <w:p>
      <w:pPr>
        <w:sectPr>
          <w:pgSz w:w="11900" w:h="16838" w:orient="portrait"/>
          <w:cols w:equalWidth="0" w:num="1">
            <w:col w:w="11240"/>
          </w:cols>
          <w:pgMar w:left="320" w:top="1409" w:right="339" w:bottom="1440" w:gutter="0" w:footer="0" w:header="0"/>
        </w:sectPr>
      </w:pPr>
    </w:p>
    <w:bookmarkStart w:id="97" w:name="page98"/>
    <w:bookmarkEnd w:id="97"/>
    <w:p>
      <w:pPr>
        <w:spacing w:after="0" w:line="259" w:lineRule="auto"/>
        <w:rPr>
          <w:sz w:val="20"/>
          <w:szCs w:val="20"/>
          <w:color w:val="auto"/>
        </w:rPr>
      </w:pPr>
      <w:r>
        <w:rPr>
          <w:rFonts w:ascii="Times New Roman" w:cs="Times New Roman" w:eastAsia="Times New Roman" w:hAnsi="Times New Roman"/>
          <w:sz w:val="20"/>
          <w:szCs w:val="20"/>
          <w:b w:val="1"/>
          <w:bCs w:val="1"/>
          <w:u w:val="single" w:color="auto"/>
          <w:color w:val="auto"/>
        </w:rPr>
        <w:t>Successors</w:t>
      </w:r>
      <w:r>
        <w:rPr>
          <w:rFonts w:ascii="Times New Roman" w:cs="Times New Roman" w:eastAsia="Times New Roman" w:hAnsi="Times New Roman"/>
          <w:sz w:val="20"/>
          <w:szCs w:val="20"/>
          <w:color w:val="auto"/>
        </w:rPr>
        <w:t>: This Policy shall be binding and enforceable against all Covered Executives and their beneficiaries, heirs, executors,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administrators, or other legal representatives.</w:t>
      </w:r>
    </w:p>
    <w:sectPr>
      <w:pgSz w:w="11900" w:h="16838" w:orient="portrait"/>
      <w:cols w:equalWidth="0" w:num="1">
        <w:col w:w="10240"/>
      </w:cols>
      <w:pgMar w:left="320" w:top="1409"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2"/>
      <w:numFmt w:val="bullet"/>
      <w:start w:val="1"/>
    </w:lvl>
  </w:abstractNum>
  <w:abstractNum w:abstractNumId="9">
    <w:nsid w:val="25E45D32"/>
    <w:multiLevelType w:val="hybridMultilevel"/>
    <w:lvl w:ilvl="0">
      <w:lvlJc w:val="left"/>
      <w:lvlText w:val="3"/>
      <w:numFmt w:val="bullet"/>
      <w:start w:val="1"/>
    </w:lvl>
  </w:abstractNum>
  <w:abstractNum w:abstractNumId="10">
    <w:nsid w:val="519B500D"/>
    <w:multiLevelType w:val="hybridMultilevel"/>
    <w:lvl w:ilvl="0">
      <w:lvlJc w:val="left"/>
      <w:lvlText w:val="4"/>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2"/>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97"/>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Roman"/>
      <w:start w:val="1"/>
    </w:lvl>
    <w:lvl w:ilvl="1">
      <w:lvlJc w:val="left"/>
      <w:lvlText w:val="(%2)"/>
      <w:numFmt w:val="lowerRoman"/>
      <w:start w:val="3"/>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00" Type="http://schemas.openxmlformats.org/officeDocument/2006/relationships/hyperlink" Target="https://www.sec.gov/Archives/edgar/data/74046/000007404624000029/spa.htm" TargetMode="External"/><Relationship Id="rId101" Type="http://schemas.openxmlformats.org/officeDocument/2006/relationships/hyperlink" Target="http://www.sec.gov/Archives/edgar/data/74046/0000074046-98-000008.txt" TargetMode="External"/><Relationship Id="rId102" Type="http://schemas.openxmlformats.org/officeDocument/2006/relationships/hyperlink" Target="http://www.sec.gov/Archives/edgar/data/74046/000007404618000007/odcex301312018.htm" TargetMode="External"/><Relationship Id="rId106" Type="http://schemas.openxmlformats.org/officeDocument/2006/relationships/hyperlink" Target="https://www.sec.gov/Archives/edgar/data/74046/000007404620000083/exhibit101odcamproduct.htm" TargetMode="External"/><Relationship Id="rId107" Type="http://schemas.openxmlformats.org/officeDocument/2006/relationships/hyperlink" Target="http://www.sec.gov/Archives/edgar/data/74046/000120677407002369/exhibit10-2.htm" TargetMode="External"/><Relationship Id="rId108" Type="http://schemas.openxmlformats.org/officeDocument/2006/relationships/hyperlink" Target="https://www.sec.gov/Archives/edgar/data/74046/000007404620000083/exhibit102odcamproduct.htm" TargetMode="External"/><Relationship Id="rId109" Type="http://schemas.openxmlformats.org/officeDocument/2006/relationships/hyperlink" Target="https://www.sec.gov/Archives/edgar/data/74046/000007404620000083/exhibit103odcamproduct.htm" TargetMode="External"/><Relationship Id="rId110" Type="http://schemas.openxmlformats.org/officeDocument/2006/relationships/hyperlink" Target="https://www.sec.gov/Archives/edgar/data/74046/000007404620000083/exhibit104odcamproduct.htm" TargetMode="External"/><Relationship Id="rId111" Type="http://schemas.openxmlformats.org/officeDocument/2006/relationships/hyperlink" Target="https://www.sec.gov/Archives/edgar/data/74046/000007404623000024/exhibit101odcamproductsman.htm" TargetMode="External"/><Relationship Id="rId112" Type="http://schemas.openxmlformats.org/officeDocument/2006/relationships/hyperlink" Target="https://www.sec.gov/Archives/edgar/data/74046/000007404623000058/exhibit1040odcamproductsma.htm" TargetMode="External"/><Relationship Id="rId113" Type="http://schemas.openxmlformats.org/officeDocument/2006/relationships/hyperlink" Target="https://www.sec.gov/Archives/edgar/data/74046/000007404623000058/exhibit1041odcamproductsma.htm" TargetMode="External"/><Relationship Id="rId114" Type="http://schemas.openxmlformats.org/officeDocument/2006/relationships/hyperlink" Target="https://www.sec.gov/Archives/edgar/data/74046/000007404624000021/exhibit101odcamproductsman.htm" TargetMode="External"/><Relationship Id="rId115" Type="http://schemas.openxmlformats.org/officeDocument/2006/relationships/hyperlink" Target="https://www.sec.gov/Archives/edgar/data/74046/000007404620000083/exhibit105odcchurchand.htm" TargetMode="External"/><Relationship Id="rId116" Type="http://schemas.openxmlformats.org/officeDocument/2006/relationships/hyperlink" Target="http://www.sec.gov/Archives/edgar/data/74046/000101381606000051/form8k_020106ex101.txt" TargetMode="External"/><Relationship Id="rId117" Type="http://schemas.openxmlformats.org/officeDocument/2006/relationships/hyperlink" Target="http://www.sec.gov/Archives/edgar/data/74046/000114420409013035/v142330_ex10-1.htm" TargetMode="External"/><Relationship Id="rId118" Type="http://schemas.openxmlformats.org/officeDocument/2006/relationships/hyperlink" Target="http://www.sec.gov/Archives/edgar/data/74046/000114420411071922/v244230_ex10.htm" TargetMode="External"/><Relationship Id="rId121" Type="http://schemas.openxmlformats.org/officeDocument/2006/relationships/hyperlink" Target="http://www.sec.gov/Archives/edgar/data/74046/000007404612000012/odcex101207312012.htm" TargetMode="External"/><Relationship Id="rId122" Type="http://schemas.openxmlformats.org/officeDocument/2006/relationships/hyperlink" Target="http://www.sec.gov/Archives/edgar/data/74046/000007404614000017/odcex10110312014.htm" TargetMode="External"/><Relationship Id="rId123" Type="http://schemas.openxmlformats.org/officeDocument/2006/relationships/hyperlink" Target="http://www.sec.gov/Archives/edgar/data/74046/000007404619000008/fifthamendmenttocreditagre.htm" TargetMode="External"/><Relationship Id="rId124" Type="http://schemas.openxmlformats.org/officeDocument/2006/relationships/hyperlink" Target="http://www.sec.gov/Archives/edgar/data/74046/000007404619000008/annexa-final.htm" TargetMode="External"/><Relationship Id="rId125" Type="http://schemas.openxmlformats.org/officeDocument/2006/relationships/hyperlink" Target="https://www.sec.gov/Archives/edgar/data/74046/000007404622000047/odcex101oil-dri_bmoxconsen.htm" TargetMode="External"/><Relationship Id="rId126" Type="http://schemas.openxmlformats.org/officeDocument/2006/relationships/hyperlink" Target="https://www.sec.gov/Archives/edgar/data/74046/000007404622000058/oil-driaug302022xsixtham.htm" TargetMode="External"/><Relationship Id="rId127" Type="http://schemas.openxmlformats.org/officeDocument/2006/relationships/hyperlink" Target="http://www.sec.gov/Archives/edgar/data/74046/000114420410061518/v202918_ex10-1.htm" TargetMode="External"/><Relationship Id="rId128" Type="http://schemas.openxmlformats.org/officeDocument/2006/relationships/hyperlink" Target="https://www.sec.gov/Archives/edgar/data/74046/000007404620000025/odc20200515exh101.htm" TargetMode="External"/><Relationship Id="rId129" Type="http://schemas.openxmlformats.org/officeDocument/2006/relationships/hyperlink" Target="https://www.sec.gov/Archives/edgar/data/74046/000007404621000119/aex_amendmentno1toarnppsax.htm" TargetMode="External"/><Relationship Id="rId130" Type="http://schemas.openxmlformats.org/officeDocument/2006/relationships/hyperlink" Target="https://www.sec.gov/Archives/edgar/data/74046/000007404622000047/odcex102oildriprudentialam.htm" TargetMode="External"/><Relationship Id="rId131" Type="http://schemas.openxmlformats.org/officeDocument/2006/relationships/hyperlink" Target="https://www.sec.gov/Archives/edgar/data/74046/000007404622000058/amendmentno3toarnppsa-oilx.htm" TargetMode="External"/><Relationship Id="rId134" Type="http://schemas.openxmlformats.org/officeDocument/2006/relationships/hyperlink" Target="https://www.sec.gov/Archives/edgar/data/74046/000007404623000046/amendmentno4toarnppsa-oi.htm" TargetMode="External"/><Relationship Id="rId135" Type="http://schemas.openxmlformats.org/officeDocument/2006/relationships/hyperlink" Target="http://www.sec.gov/Archives/edgar/data/74046/000007404603000021/q3f03x10.txt" TargetMode="External"/><Relationship Id="rId136" Type="http://schemas.openxmlformats.org/officeDocument/2006/relationships/hyperlink" Target="http://www.sec.gov/Archives/edgar/data/74046/000114420408014071/v105960_ex10-1.htm" TargetMode="External"/><Relationship Id="rId137" Type="http://schemas.openxmlformats.org/officeDocument/2006/relationships/hyperlink" Target="http://www.sec.gov/Archives/edgar/data/74046/000114420408014071/v105960_ex10-2.htm" TargetMode="External"/><Relationship Id="rId138" Type="http://schemas.openxmlformats.org/officeDocument/2006/relationships/hyperlink" Target="http://www.sec.gov/Archives/edgar/data/74046/000114420408014071/v105960_ex10-4.htm" TargetMode="External"/><Relationship Id="rId139" Type="http://schemas.openxmlformats.org/officeDocument/2006/relationships/hyperlink" Target="http://www.sec.gov/Archives/edgar/data/74046/000114420408014071/v105960_ex10-3.htm" TargetMode="External"/><Relationship Id="rId140" Type="http://schemas.openxmlformats.org/officeDocument/2006/relationships/hyperlink" Target="https://www.sec.gov/Archives/edgar/data/74046/000007404620000052/odcex10247212020.htm" TargetMode="External"/><Relationship Id="rId141" Type="http://schemas.openxmlformats.org/officeDocument/2006/relationships/hyperlink" Target="http://www.sec.gov/Archives/edgar/data/74046/000120677406002257/oildri_nps.htm" TargetMode="External"/><Relationship Id="rId142" Type="http://schemas.openxmlformats.org/officeDocument/2006/relationships/hyperlink" Target="http://www.sec.gov/Archives/edgar/data/74046/000114420408014071/v105960_ex10-5.htm" TargetMode="External"/><Relationship Id="rId143" Type="http://schemas.openxmlformats.org/officeDocument/2006/relationships/hyperlink" Target="http://www.sec.gov/Archives/edgar/data/74046/000007404615000050/odcproxy07312015.htm#s249522831a274fd3a1b004bb0d87f4df" TargetMode="External"/><Relationship Id="rId144" Type="http://schemas.openxmlformats.org/officeDocument/2006/relationships/hyperlink" Target="https://www.sec.gov/Archives/edgar/data/74046/000007404619000066/odcproxy2019.htm" TargetMode="External"/><Relationship Id="rId145" Type="http://schemas.openxmlformats.org/officeDocument/2006/relationships/hyperlink" Target="http://www.sec.gov/Archives/edgar/data/74046/000127528706006429/od8243ex102.htm" TargetMode="External"/><Relationship Id="rId148" Type="http://schemas.openxmlformats.org/officeDocument/2006/relationships/hyperlink" Target="http://www.sec.gov/Archives/edgar/data/74046/000127528706006429/od8243ex103.htm" TargetMode="External"/><Relationship Id="rId149" Type="http://schemas.openxmlformats.org/officeDocument/2006/relationships/hyperlink" Target="http://www.sec.gov/Archives/edgar/data/74046/000127528706006429/od8243ex104.htm" TargetMode="External"/><Relationship Id="rId150" Type="http://schemas.openxmlformats.org/officeDocument/2006/relationships/hyperlink" Target="http://www.sec.gov/Archives/edgar/data/74046/000127528706006429/od8243ex105.htm" TargetMode="External"/><Relationship Id="rId151" Type="http://schemas.openxmlformats.org/officeDocument/2006/relationships/hyperlink" Target="http://www.sec.gov/Archives/edgar/data/74046/000127528706006429/od8243ex106.htm" TargetMode="External"/><Relationship Id="rId152" Type="http://schemas.openxmlformats.org/officeDocument/2006/relationships/hyperlink" Target="http://www.sec.gov/Archives/edgar/data/74046/000127528706006429/od8243ex107.htm" TargetMode="External"/><Relationship Id="rId153" Type="http://schemas.openxmlformats.org/officeDocument/2006/relationships/hyperlink" Target="http://www.sec.gov/Archives/edgar/data/74046/000127528706006429/od8243ex108.htm" TargetMode="External"/><Relationship Id="rId154" Type="http://schemas.openxmlformats.org/officeDocument/2006/relationships/hyperlink" Target="http://www.sec.gov/Archives/edgar/data/74046/000007404618000046/odcex10290731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2024-10-10T15:30:38Z</dcterms:created>
  <dcterms:modified xsi:type="dcterms:W3CDTF">2024-10-10T15:30:38Z</dcterms:modified>
</cp:coreProperties>
</file>