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16"/>
        </w:trPr>
        <w:tc>
          <w:tcPr>
            <w:tcW w:w="2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auto"/>
              </w:rPr>
              <w:t>SEC Form 3</w:t>
            </w:r>
          </w:p>
        </w:tc>
        <w:tc>
          <w:tcPr>
            <w:tcW w:w="6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0"/>
        </w:trPr>
        <w:tc>
          <w:tcPr>
            <w:tcW w:w="2160" w:type="dxa"/>
            <w:vAlign w:val="bottom"/>
          </w:tcPr>
          <w:p>
            <w:pPr>
              <w:ind w:left="760"/>
              <w:spacing w:after="0" w:line="20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9"/>
                <w:szCs w:val="19"/>
                <w:b w:val="1"/>
                <w:bCs w:val="1"/>
                <w:color w:val="auto"/>
              </w:rPr>
              <w:t>FORM 3</w:t>
            </w:r>
          </w:p>
        </w:tc>
        <w:tc>
          <w:tcPr>
            <w:tcW w:w="67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21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70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7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80" w:type="dxa"/>
            <w:vAlign w:val="bottom"/>
            <w:gridSpan w:val="3"/>
            <w:vMerge w:val="restart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1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700" w:type="dxa"/>
            <w:vAlign w:val="bottom"/>
            <w:vMerge w:val="restart"/>
          </w:tcPr>
          <w:p>
            <w:pPr>
              <w:jc w:val="center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b w:val="1"/>
                <w:bCs w:val="1"/>
                <w:color w:val="auto"/>
              </w:rPr>
              <w:t>INITIAL STATEMENT OF BENEFICIAL OWNERSHIP OF SECURITIES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7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>OMB Number: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>3235-0104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"/>
        </w:trPr>
        <w:tc>
          <w:tcPr>
            <w:tcW w:w="2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7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2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>Estimated average burden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2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70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>hours per response:</w:t>
            </w:r>
          </w:p>
        </w:tc>
        <w:tc>
          <w:tcPr>
            <w:tcW w:w="7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"/>
        </w:trPr>
        <w:tc>
          <w:tcPr>
            <w:tcW w:w="2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70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1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7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6930390</wp:posOffset>
            </wp:positionH>
            <wp:positionV relativeFrom="paragraph">
              <wp:posOffset>-505460</wp:posOffset>
            </wp:positionV>
            <wp:extent cx="51435" cy="51879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435" cy="5187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5614670</wp:posOffset>
            </wp:positionH>
            <wp:positionV relativeFrom="paragraph">
              <wp:posOffset>-505460</wp:posOffset>
            </wp:positionV>
            <wp:extent cx="51435" cy="51879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435" cy="5187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0"/>
          <w:szCs w:val="10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-10160</wp:posOffset>
            </wp:positionH>
            <wp:positionV relativeFrom="paragraph">
              <wp:posOffset>19685</wp:posOffset>
            </wp:positionV>
            <wp:extent cx="7019290" cy="290068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19290" cy="29006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1020"/>
          </w:cols>
          <w:pgMar w:left="440" w:top="202" w:right="439" w:bottom="1440" w:gutter="0" w:footer="0" w:header="0"/>
        </w:sectPr>
      </w:pPr>
    </w:p>
    <w:p>
      <w:pPr>
        <w:spacing w:after="0" w:line="42" w:lineRule="exact"/>
        <w:rPr>
          <w:sz w:val="24"/>
          <w:szCs w:val="24"/>
          <w:color w:val="auto"/>
        </w:rPr>
      </w:pPr>
    </w:p>
    <w:tbl>
      <w:tblPr>
        <w:tblLayout w:type="fixed"/>
        <w:tblInd w:w="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318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17"/>
                <w:szCs w:val="17"/>
                <w:color w:val="auto"/>
                <w:vertAlign w:val="superscript"/>
              </w:rPr>
              <w:t>*</w:t>
            </w:r>
          </w:p>
        </w:tc>
        <w:tc>
          <w:tcPr>
            <w:tcW w:w="142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2. Date of Event Requiring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20" w:type="dxa"/>
            <w:vAlign w:val="bottom"/>
            <w:vMerge w:val="restart"/>
          </w:tcPr>
          <w:p>
            <w:pPr>
              <w:spacing w:after="0" w:line="187" w:lineRule="exact"/>
              <w:rPr>
                <w:rFonts w:ascii="Times New Roman" w:cs="Times New Roman" w:eastAsia="Times New Roman" w:hAnsi="Times New Roman"/>
                <w:sz w:val="17"/>
                <w:szCs w:val="17"/>
                <w:color w:val="0000EE"/>
                <w:w w:val="93"/>
              </w:rPr>
            </w:pPr>
            <w:hyperlink r:id="rId11">
              <w:r>
                <w:rPr>
                  <w:rFonts w:ascii="Times New Roman" w:cs="Times New Roman" w:eastAsia="Times New Roman" w:hAnsi="Times New Roman"/>
                  <w:sz w:val="17"/>
                  <w:szCs w:val="17"/>
                  <w:color w:val="0000EE"/>
                  <w:w w:val="93"/>
                </w:rPr>
                <w:t>Robey Walter Wade</w:t>
              </w:r>
            </w:hyperlink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20" w:type="dxa"/>
            <w:vAlign w:val="bottom"/>
          </w:tcPr>
          <w:p>
            <w:pPr>
              <w:ind w:left="120"/>
              <w:spacing w:after="0" w:line="9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Statement (Month/Day/Year)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0000EE"/>
            </w:tcBorders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20" w:type="dxa"/>
            <w:vAlign w:val="bottom"/>
            <w:vMerge w:val="restart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2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12/13/2023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8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0"/>
          <w:szCs w:val="10"/>
          <w:color w:val="auto"/>
        </w:rPr>
        <w:t xml:space="preserve">3. Issuer Name </w:t>
      </w:r>
      <w:r>
        <w:rPr>
          <w:rFonts w:ascii="Arial" w:cs="Arial" w:eastAsia="Arial" w:hAnsi="Arial"/>
          <w:sz w:val="10"/>
          <w:szCs w:val="10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0"/>
          <w:szCs w:val="10"/>
          <w:color w:val="auto"/>
        </w:rPr>
        <w:t xml:space="preserve"> Ticker or Trading Symbol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16"/>
          <w:szCs w:val="16"/>
          <w:color w:val="0000EE"/>
        </w:rPr>
      </w:pPr>
      <w:hyperlink r:id="rId12">
        <w:r>
          <w:rPr>
            <w:rFonts w:ascii="Times New Roman" w:cs="Times New Roman" w:eastAsia="Times New Roman" w:hAnsi="Times New Roman"/>
            <w:sz w:val="16"/>
            <w:szCs w:val="16"/>
            <w:u w:val="single" w:color="auto"/>
            <w:color w:val="0000EE"/>
          </w:rPr>
          <w:t>Oil-Dri Corp of America</w:t>
        </w:r>
        <w:r>
          <w:rPr>
            <w:rFonts w:ascii="Times New Roman" w:cs="Times New Roman" w:eastAsia="Times New Roman" w:hAnsi="Times New Roman"/>
            <w:sz w:val="16"/>
            <w:szCs w:val="16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16"/>
          <w:szCs w:val="16"/>
          <w:color w:val="000000"/>
        </w:rPr>
        <w:t>[</w:t>
      </w:r>
      <w:r>
        <w:rPr>
          <w:rFonts w:ascii="Times New Roman" w:cs="Times New Roman" w:eastAsia="Times New Roman" w:hAnsi="Times New Roman"/>
          <w:sz w:val="16"/>
          <w:szCs w:val="16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2"/>
          <w:szCs w:val="12"/>
          <w:color w:val="0000FF"/>
        </w:rPr>
        <w:t>ODC</w:t>
      </w:r>
      <w:r>
        <w:rPr>
          <w:rFonts w:ascii="Times New Roman" w:cs="Times New Roman" w:eastAsia="Times New Roman" w:hAnsi="Times New Roman"/>
          <w:sz w:val="16"/>
          <w:szCs w:val="16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6"/>
          <w:szCs w:val="16"/>
          <w:color w:val="000000"/>
        </w:rPr>
        <w:t>]</w:t>
      </w:r>
    </w:p>
    <w:p>
      <w:pPr>
        <w:spacing w:after="0" w:line="30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4660" w:space="340"/>
            <w:col w:w="6020"/>
          </w:cols>
          <w:pgMar w:left="440" w:top="202" w:right="439" w:bottom="1440" w:gutter="0" w:footer="0" w:header="0"/>
          <w:type w:val="continuous"/>
        </w:sectPr>
      </w:pPr>
    </w:p>
    <w:tbl>
      <w:tblPr>
        <w:tblLayout w:type="fixed"/>
        <w:tblInd w:w="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(Last)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(First)</w:t>
            </w:r>
          </w:p>
        </w:tc>
        <w:tc>
          <w:tcPr>
            <w:tcW w:w="13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(Middle)</w:t>
            </w:r>
          </w:p>
        </w:tc>
      </w:tr>
      <w:tr>
        <w:trPr>
          <w:trHeight w:val="21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410 N. MICHIGAN AVE.</w:t>
            </w:r>
          </w:p>
        </w:tc>
        <w:tc>
          <w:tcPr>
            <w:tcW w:w="13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</w:tr>
      <w:tr>
        <w:trPr>
          <w:trHeight w:val="2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SUITE 400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</w:tr>
      <w:tr>
        <w:trPr>
          <w:trHeight w:val="1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</w:tr>
      <w:tr>
        <w:trPr>
          <w:trHeight w:val="208"/>
        </w:trPr>
        <w:tc>
          <w:tcPr>
            <w:tcW w:w="8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(Street)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</w:tr>
      <w:tr>
        <w:trPr>
          <w:trHeight w:val="18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CHICAGO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IL</w:t>
            </w:r>
          </w:p>
        </w:tc>
        <w:tc>
          <w:tcPr>
            <w:tcW w:w="13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60611-4213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-7" w:right="880" w:firstLine="7"/>
        <w:spacing w:after="0" w:line="270" w:lineRule="auto"/>
        <w:tabs>
          <w:tab w:leader="none" w:pos="108" w:val="left"/>
        </w:tabs>
        <w:numPr>
          <w:ilvl w:val="0"/>
          <w:numId w:val="1"/>
        </w:numPr>
        <w:rPr>
          <w:rFonts w:ascii="Arial" w:cs="Arial" w:eastAsia="Arial" w:hAnsi="Arial"/>
          <w:sz w:val="10"/>
          <w:szCs w:val="10"/>
          <w:color w:val="auto"/>
        </w:rPr>
      </w:pPr>
      <w:r>
        <w:rPr>
          <w:rFonts w:ascii="Arial" w:cs="Arial" w:eastAsia="Arial" w:hAnsi="Arial"/>
          <w:sz w:val="10"/>
          <w:szCs w:val="10"/>
          <w:color w:val="auto"/>
        </w:rPr>
        <w:t>Relationship of Reporting Person(s) to Issuer (Check all applicable)</w:t>
      </w:r>
    </w:p>
    <w:tbl>
      <w:tblPr>
        <w:tblLayout w:type="fixed"/>
        <w:tblInd w:w="21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6"/>
        </w:trPr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Director</w:t>
            </w:r>
          </w:p>
        </w:tc>
        <w:tc>
          <w:tcPr>
            <w:tcW w:w="13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X</w:t>
            </w:r>
          </w:p>
        </w:tc>
        <w:tc>
          <w:tcPr>
            <w:tcW w:w="12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Officer (give title</w:t>
            </w:r>
          </w:p>
        </w:tc>
        <w:tc>
          <w:tcPr>
            <w:tcW w:w="1380" w:type="dxa"/>
            <w:vAlign w:val="bottom"/>
            <w:vMerge w:val="restart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  <w:w w:val="99"/>
              </w:rPr>
              <w:t>Other (specify 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8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below)</w:t>
            </w:r>
          </w:p>
        </w:tc>
        <w:tc>
          <w:tcPr>
            <w:tcW w:w="13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</w:p>
    <w:p>
      <w:pPr>
        <w:ind w:left="733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00FF"/>
        </w:rPr>
        <w:t>VP, Ag ODC; President, Amlan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118" w:hanging="118"/>
        <w:spacing w:after="0"/>
        <w:tabs>
          <w:tab w:leader="none" w:pos="118" w:val="left"/>
        </w:tabs>
        <w:numPr>
          <w:ilvl w:val="0"/>
          <w:numId w:val="2"/>
        </w:numPr>
        <w:rPr>
          <w:rFonts w:ascii="Arial" w:cs="Arial" w:eastAsia="Arial" w:hAnsi="Arial"/>
          <w:sz w:val="10"/>
          <w:szCs w:val="10"/>
          <w:color w:val="auto"/>
        </w:rPr>
      </w:pPr>
      <w:r>
        <w:rPr>
          <w:rFonts w:ascii="Arial" w:cs="Arial" w:eastAsia="Arial" w:hAnsi="Arial"/>
          <w:sz w:val="10"/>
          <w:szCs w:val="10"/>
          <w:color w:val="auto"/>
        </w:rPr>
        <w:t>If Amendment, Date of Original Filed (Month/Day/Year)</w:t>
      </w:r>
    </w:p>
    <w:p>
      <w:pPr>
        <w:spacing w:after="0" w:line="289" w:lineRule="exact"/>
        <w:rPr>
          <w:rFonts w:ascii="Arial" w:cs="Arial" w:eastAsia="Arial" w:hAnsi="Arial"/>
          <w:sz w:val="10"/>
          <w:szCs w:val="10"/>
          <w:color w:val="auto"/>
        </w:rPr>
      </w:pPr>
    </w:p>
    <w:p>
      <w:pPr>
        <w:ind w:left="178" w:right="80" w:hanging="178"/>
        <w:spacing w:after="0" w:line="318" w:lineRule="auto"/>
        <w:tabs>
          <w:tab w:leader="none" w:pos="124" w:val="left"/>
        </w:tabs>
        <w:numPr>
          <w:ilvl w:val="0"/>
          <w:numId w:val="2"/>
        </w:numPr>
        <w:rPr>
          <w:rFonts w:ascii="Arial" w:cs="Arial" w:eastAsia="Arial" w:hAnsi="Arial"/>
          <w:sz w:val="10"/>
          <w:szCs w:val="10"/>
          <w:color w:val="auto"/>
        </w:rPr>
      </w:pPr>
      <w:r>
        <w:rPr>
          <w:rFonts w:ascii="Arial" w:cs="Arial" w:eastAsia="Arial" w:hAnsi="Arial"/>
          <w:sz w:val="10"/>
          <w:szCs w:val="10"/>
          <w:color w:val="auto"/>
        </w:rPr>
        <w:t xml:space="preserve">Individual or Joint/Group Filing (Check Applicable Line) </w:t>
      </w:r>
      <w:r>
        <w:rPr>
          <w:rFonts w:ascii="Times New Roman" w:cs="Times New Roman" w:eastAsia="Times New Roman" w:hAnsi="Times New Roman"/>
          <w:sz w:val="13"/>
          <w:szCs w:val="13"/>
          <w:color w:val="0000FF"/>
        </w:rPr>
        <w:t xml:space="preserve">X </w:t>
      </w:r>
      <w:r>
        <w:rPr>
          <w:rFonts w:ascii="Arial" w:cs="Arial" w:eastAsia="Arial" w:hAnsi="Arial"/>
          <w:sz w:val="10"/>
          <w:szCs w:val="10"/>
          <w:color w:val="000000"/>
        </w:rPr>
        <w:t>Form filed by One Reporting Person</w:t>
      </w:r>
    </w:p>
    <w:p>
      <w:pPr>
        <w:spacing w:after="0" w:line="1" w:lineRule="exact"/>
        <w:rPr>
          <w:rFonts w:ascii="Arial" w:cs="Arial" w:eastAsia="Arial" w:hAnsi="Arial"/>
          <w:sz w:val="10"/>
          <w:szCs w:val="10"/>
          <w:color w:val="auto"/>
        </w:rPr>
      </w:pPr>
    </w:p>
    <w:p>
      <w:pPr>
        <w:ind w:left="438"/>
        <w:spacing w:after="0"/>
        <w:rPr>
          <w:rFonts w:ascii="Arial" w:cs="Arial" w:eastAsia="Arial" w:hAnsi="Arial"/>
          <w:sz w:val="10"/>
          <w:szCs w:val="10"/>
          <w:color w:val="auto"/>
        </w:rPr>
      </w:pPr>
      <w:r>
        <w:rPr>
          <w:rFonts w:ascii="Arial" w:cs="Arial" w:eastAsia="Arial" w:hAnsi="Arial"/>
          <w:sz w:val="10"/>
          <w:szCs w:val="10"/>
          <w:color w:val="auto"/>
        </w:rPr>
        <w:t>Form filed by More than One Reporting Person</w:t>
      </w:r>
    </w:p>
    <w:p>
      <w:pPr>
        <w:spacing w:after="0" w:line="39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4287" w:space="720"/>
            <w:col w:w="3073" w:space="222"/>
            <w:col w:w="2718"/>
          </w:cols>
          <w:pgMar w:left="440" w:top="202" w:right="439" w:bottom="1440" w:gutter="0" w:footer="0" w:header="0"/>
          <w:type w:val="continuous"/>
        </w:sectPr>
      </w:pP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100"/>
        <w:spacing w:after="0"/>
        <w:tabs>
          <w:tab w:leader="none" w:pos="1140" w:val="left"/>
          <w:tab w:leader="none" w:pos="21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0"/>
          <w:szCs w:val="10"/>
          <w:color w:val="auto"/>
        </w:rPr>
        <w:t>(City)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0"/>
          <w:szCs w:val="10"/>
          <w:color w:val="auto"/>
        </w:rPr>
        <w:t>(State)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0"/>
          <w:szCs w:val="10"/>
          <w:color w:val="auto"/>
        </w:rPr>
        <w:t>(Zip)</w:t>
      </w:r>
    </w:p>
    <w:p>
      <w:pPr>
        <w:spacing w:after="0" w:line="153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Table I - Non-Derivative Securities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15"/>
        </w:trPr>
        <w:tc>
          <w:tcPr>
            <w:tcW w:w="31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1. Title of Security (Instr. 4)</w:t>
            </w:r>
          </w:p>
        </w:tc>
        <w:tc>
          <w:tcPr>
            <w:tcW w:w="3700" w:type="dxa"/>
            <w:vAlign w:val="bottom"/>
          </w:tcPr>
          <w:p>
            <w:pPr>
              <w:ind w:left="1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2. Amount of Securities Beneficially</w:t>
            </w:r>
          </w:p>
        </w:tc>
        <w:tc>
          <w:tcPr>
            <w:tcW w:w="126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3. Ownership Form:</w:t>
            </w:r>
          </w:p>
        </w:tc>
        <w:tc>
          <w:tcPr>
            <w:tcW w:w="29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4. Nature of Indirect Beneficial Ownership (Instr. 5)</w:t>
            </w:r>
          </w:p>
        </w:tc>
      </w:tr>
      <w:tr>
        <w:trPr>
          <w:trHeight w:val="114"/>
        </w:trPr>
        <w:tc>
          <w:tcPr>
            <w:tcW w:w="3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00" w:type="dxa"/>
            <w:vAlign w:val="bottom"/>
          </w:tcPr>
          <w:p>
            <w:pPr>
              <w:ind w:left="1760"/>
              <w:spacing w:after="0" w:line="11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Owned (Instr. 4)</w:t>
            </w:r>
          </w:p>
        </w:tc>
        <w:tc>
          <w:tcPr>
            <w:tcW w:w="1260" w:type="dxa"/>
            <w:vAlign w:val="bottom"/>
          </w:tcPr>
          <w:p>
            <w:pPr>
              <w:ind w:left="160"/>
              <w:spacing w:after="0" w:line="11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Direct (D) or Indirect</w:t>
            </w:r>
          </w:p>
        </w:tc>
        <w:tc>
          <w:tcPr>
            <w:tcW w:w="29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</w:tr>
      <w:tr>
        <w:trPr>
          <w:trHeight w:val="142"/>
        </w:trPr>
        <w:tc>
          <w:tcPr>
            <w:tcW w:w="3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(I) (Instr. 5)</w:t>
            </w:r>
          </w:p>
        </w:tc>
        <w:tc>
          <w:tcPr>
            <w:tcW w:w="29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</w:tr>
      <w:tr>
        <w:trPr>
          <w:trHeight w:val="25"/>
        </w:trPr>
        <w:tc>
          <w:tcPr>
            <w:tcW w:w="3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</w:tr>
    </w:tbl>
    <w:p>
      <w:pPr>
        <w:spacing w:after="0" w:line="32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760" w:type="dxa"/>
            <w:vAlign w:val="bottom"/>
            <w:tcBorders>
              <w:bottom w:val="single" w:sz="8" w:color="2C2C2C"/>
            </w:tcBorders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 Stock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12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88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12,706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8000"/>
                <w:vertAlign w:val="superscript"/>
              </w:rPr>
              <w:t>(1)(2)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20" w:type="dxa"/>
            <w:vAlign w:val="bottom"/>
            <w:tcBorders>
              <w:top w:val="single" w:sz="8" w:color="2C2C2C"/>
            </w:tcBorders>
            <w:gridSpan w:val="3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Table II - Derivative Securities Beneficially Owned</w:t>
            </w: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980" w:type="dxa"/>
            <w:vAlign w:val="bottom"/>
            <w:gridSpan w:val="5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1. Title of Derivative Security 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2. Date Exercisable and</w:t>
            </w:r>
          </w:p>
        </w:tc>
        <w:tc>
          <w:tcPr>
            <w:tcW w:w="2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3. Title and Amount of Securities Underlying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4.</w:t>
            </w:r>
          </w:p>
        </w:tc>
        <w:tc>
          <w:tcPr>
            <w:tcW w:w="8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5. Ownership</w:t>
            </w:r>
          </w:p>
        </w:tc>
        <w:tc>
          <w:tcPr>
            <w:tcW w:w="166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6. Nature of Indirect 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</w:tcPr>
          <w:p>
            <w:pPr>
              <w:ind w:left="60"/>
              <w:spacing w:after="0" w:line="11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2120" w:type="dxa"/>
            <w:vAlign w:val="bottom"/>
          </w:tcPr>
          <w:p>
            <w:pPr>
              <w:ind w:left="40"/>
              <w:spacing w:after="0" w:line="11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Derivative Security (Instr. 4)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1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80" w:type="dxa"/>
            <w:vAlign w:val="bottom"/>
          </w:tcPr>
          <w:p>
            <w:pPr>
              <w:ind w:left="100"/>
              <w:spacing w:after="0" w:line="11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1660" w:type="dxa"/>
            <w:vAlign w:val="bottom"/>
            <w:gridSpan w:val="2"/>
          </w:tcPr>
          <w:p>
            <w:pPr>
              <w:ind w:left="100"/>
              <w:spacing w:after="0" w:line="11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Ownership (Instr. 5)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</w:tcPr>
          <w:p>
            <w:pPr>
              <w:ind w:left="60"/>
              <w:spacing w:after="0" w:line="11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2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1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880" w:type="dxa"/>
            <w:vAlign w:val="bottom"/>
          </w:tcPr>
          <w:p>
            <w:pPr>
              <w:ind w:left="100"/>
              <w:spacing w:after="0" w:line="11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 w:line="11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Price of</w:t>
            </w:r>
          </w:p>
        </w:tc>
        <w:tc>
          <w:tcPr>
            <w:tcW w:w="880" w:type="dxa"/>
            <w:vAlign w:val="bottom"/>
            <w:vMerge w:val="restart"/>
          </w:tcPr>
          <w:p>
            <w:pPr>
              <w:ind w:left="100"/>
              <w:spacing w:after="0" w:line="11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(I) (Instr. 5)</w:t>
            </w: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Amount or</w:t>
            </w: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0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1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Date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1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212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Title</w:t>
            </w:r>
          </w:p>
        </w:tc>
        <w:tc>
          <w:tcPr>
            <w:tcW w:w="640" w:type="dxa"/>
            <w:vAlign w:val="bottom"/>
          </w:tcPr>
          <w:p>
            <w:pPr>
              <w:ind w:left="40"/>
              <w:spacing w:after="0" w:line="11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Number of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1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Date</w:t>
            </w:r>
          </w:p>
        </w:tc>
        <w:tc>
          <w:tcPr>
            <w:tcW w:w="21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Shares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6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0"/>
          <w:szCs w:val="10"/>
          <w:b w:val="1"/>
          <w:bCs w:val="1"/>
          <w:color w:val="auto"/>
        </w:rPr>
        <w:t>Explanation of Responses:</w:t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140" w:hanging="106"/>
        <w:spacing w:after="0"/>
        <w:tabs>
          <w:tab w:leader="none" w:pos="140" w:val="left"/>
        </w:tabs>
        <w:numPr>
          <w:ilvl w:val="0"/>
          <w:numId w:val="3"/>
        </w:numPr>
        <w:rPr>
          <w:rFonts w:ascii="Times New Roman" w:cs="Times New Roman" w:eastAsia="Times New Roman" w:hAnsi="Times New Roman"/>
          <w:sz w:val="10"/>
          <w:szCs w:val="10"/>
          <w:color w:val="008000"/>
        </w:rPr>
      </w:pPr>
      <w:r>
        <w:rPr>
          <w:rFonts w:ascii="Times New Roman" w:cs="Times New Roman" w:eastAsia="Times New Roman" w:hAnsi="Times New Roman"/>
          <w:sz w:val="10"/>
          <w:szCs w:val="10"/>
          <w:color w:val="008000"/>
        </w:rPr>
        <w:t>12, 000 of these shares are Restricted shares of Common Stock that were granted pursuant to the Oil-Dri Corporation 2006 Long Term Incentive Plan in a transaction exempt under rule 16b-3.</w:t>
      </w:r>
    </w:p>
    <w:p>
      <w:pPr>
        <w:spacing w:after="0" w:line="40" w:lineRule="exact"/>
        <w:rPr>
          <w:rFonts w:ascii="Times New Roman" w:cs="Times New Roman" w:eastAsia="Times New Roman" w:hAnsi="Times New Roman"/>
          <w:sz w:val="10"/>
          <w:szCs w:val="10"/>
          <w:color w:val="008000"/>
        </w:rPr>
      </w:pPr>
    </w:p>
    <w:p>
      <w:pPr>
        <w:ind w:left="140" w:hanging="106"/>
        <w:spacing w:after="0"/>
        <w:tabs>
          <w:tab w:leader="none" w:pos="140" w:val="left"/>
        </w:tabs>
        <w:numPr>
          <w:ilvl w:val="0"/>
          <w:numId w:val="3"/>
        </w:numPr>
        <w:rPr>
          <w:rFonts w:ascii="Times New Roman" w:cs="Times New Roman" w:eastAsia="Times New Roman" w:hAnsi="Times New Roman"/>
          <w:sz w:val="10"/>
          <w:szCs w:val="10"/>
          <w:color w:val="008000"/>
        </w:rPr>
      </w:pPr>
      <w:r>
        <w:rPr>
          <w:rFonts w:ascii="Times New Roman" w:cs="Times New Roman" w:eastAsia="Times New Roman" w:hAnsi="Times New Roman"/>
          <w:sz w:val="10"/>
          <w:szCs w:val="10"/>
          <w:color w:val="008000"/>
        </w:rPr>
        <w:t>The shares are scheduled to vest as follows: 1,000 shares on each of the subsequent anniversaries of January 20th during the years 2024-2026, 5,000 shares on October 19, 2027, and 4,000 shares on December 15, 2027.</w:t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Remarks:</w:t>
      </w:r>
    </w:p>
    <w:p>
      <w:pPr>
        <w:spacing w:after="0" w:line="106" w:lineRule="exact"/>
        <w:rPr>
          <w:sz w:val="24"/>
          <w:szCs w:val="24"/>
          <w:color w:val="auto"/>
        </w:rPr>
      </w:pPr>
    </w:p>
    <w:tbl>
      <w:tblPr>
        <w:tblLayout w:type="fixed"/>
        <w:tblInd w:w="4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/s/ Laura G. Scheland by Power of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12/21/2023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vMerge w:val="restart"/>
          </w:tcPr>
          <w:p>
            <w:pPr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9"/>
              </w:rPr>
              <w:t>Attorney</w:t>
            </w:r>
          </w:p>
        </w:tc>
        <w:tc>
          <w:tcPr>
            <w:tcW w:w="15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8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** Signature of Reporting Person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860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Reminder: Report on a separate line for each class of securities beneficially owned directly or indirectly.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860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 xml:space="preserve">* If the form is filed by more than one reporting person, </w:t>
            </w:r>
            <w:r>
              <w:rPr>
                <w:rFonts w:ascii="Arial" w:cs="Arial" w:eastAsia="Arial" w:hAnsi="Arial"/>
                <w:sz w:val="10"/>
                <w:szCs w:val="10"/>
                <w:i w:val="1"/>
                <w:iCs w:val="1"/>
                <w:color w:val="auto"/>
              </w:rPr>
              <w:t>see</w:t>
            </w: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 xml:space="preserve"> Instruction 5 (b)(v).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860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 xml:space="preserve">** Intentional misstatements or omissions of facts constitute Federal Criminal Violations </w:t>
            </w:r>
            <w:r>
              <w:rPr>
                <w:rFonts w:ascii="Arial" w:cs="Arial" w:eastAsia="Arial" w:hAnsi="Arial"/>
                <w:sz w:val="10"/>
                <w:szCs w:val="10"/>
                <w:i w:val="1"/>
                <w:iCs w:val="1"/>
                <w:color w:val="auto"/>
              </w:rPr>
              <w:t>See</w:t>
            </w: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 xml:space="preserve"> 18 U.S.C. 1001 and 15 U.S.C. 78ff(a).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860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 xml:space="preserve">Note: File three copies of this Form, one of which must be manually signed. If space is insufficient, </w:t>
            </w:r>
            <w:r>
              <w:rPr>
                <w:rFonts w:ascii="Arial" w:cs="Arial" w:eastAsia="Arial" w:hAnsi="Arial"/>
                <w:sz w:val="10"/>
                <w:szCs w:val="10"/>
                <w:i w:val="1"/>
                <w:iCs w:val="1"/>
                <w:color w:val="auto"/>
              </w:rPr>
              <w:t>see</w:t>
            </w: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 xml:space="preserve"> Instruction 6 for procedure.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1"/>
        </w:trPr>
        <w:tc>
          <w:tcPr>
            <w:tcW w:w="860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Persons who respond to the collection of information contained in this form are not required to respond unless the form displays a currently valid OMB Number.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ectPr>
          <w:pgSz w:w="11900" w:h="16838" w:orient="portrait"/>
          <w:cols w:equalWidth="0" w:num="1">
            <w:col w:w="11020"/>
          </w:cols>
          <w:pgMar w:left="440" w:top="202" w:right="439" w:bottom="1440" w:gutter="0" w:footer="0" w:header="0"/>
          <w:type w:val="continuous"/>
        </w:sectPr>
      </w:pPr>
    </w:p>
    <w:bookmarkStart w:id="1" w:name="page2"/>
    <w:bookmarkEnd w:id="1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383540</wp:posOffset>
            </wp:positionH>
            <wp:positionV relativeFrom="page">
              <wp:posOffset>299720</wp:posOffset>
            </wp:positionV>
            <wp:extent cx="6944360" cy="910272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44360" cy="91027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2" w:name="page3"/>
    <w:bookmarkEnd w:id="2"/>
    <w:sectPr>
      <w:pgSz w:w="11900" w:h="16838" w:orient="portrait"/>
      <w:cols w:equalWidth="1" w:num="1" w:space="0"/>
      <w:pgMar w:left="1440" w:top="1440" w:right="1440" w:bottom="875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4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5"/>
    </w:lvl>
  </w:abstractNum>
  <w:abstractNum w:abstractNumId="2">
    <w:nsid w:val="19495CFF"/>
    <w:multiLevelType w:val="hybridMultilevel"/>
    <w:lvl w:ilvl="0">
      <w:lvlJc w:val="left"/>
      <w:lvlText w:val="%1."/>
      <w:numFmt w:val="decimal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pn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3" Type="http://schemas.openxmlformats.org/officeDocument/2006/relationships/image" Target="media/image4.png"/><Relationship Id="rId11" Type="http://schemas.openxmlformats.org/officeDocument/2006/relationships/hyperlink" Target="http://www.sec.gov/cgi-bin/browse-edgar?action=getcompany&amp;CIK=0002005575" TargetMode="External"/><Relationship Id="rId12" Type="http://schemas.openxmlformats.org/officeDocument/2006/relationships/hyperlink" Target="http://www.sec.gov/cgi-bin/browse-edgar?action=getcompany&amp;CIK=0000074046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2023-12-21T17:30:09Z</dcterms:created>
  <dcterms:modified xsi:type="dcterms:W3CDTF">2023-12-21T17:30:09Z</dcterms:modified>
</cp:coreProperties>
</file>