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204988_8k.htm"/>
      <w:bookmarkStart w:id="1" w:name="ksv204988_8k"/>
      <w:bookmarkStart w:id="2" w:name="v204988_8k.htm"/>
      <w:bookmarkStart w:id="3" w:name="ksv204988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593"/>
        <w:gridCol w:w="203"/>
        <w:gridCol w:w="5409"/>
      </w:tblGrid>
      <w:tr>
        <w:trPr/>
        <w:tc>
          <w:tcPr>
            <w:tcW w:w="459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203" w:type="dxa"/>
            <w:tcBorders/>
            <w:shd w:fill="auto" w:val="clear"/>
          </w:tcPr>
          <w:p>
            <w:pPr>
              <w:pStyle w:val="TableContents"/>
              <w:spacing w:before="0" w:after="283"/>
              <w:jc w:val="left"/>
              <w:rPr/>
            </w:pPr>
            <w:r>
              <w:rPr/>
              <w:t> </w:t>
            </w:r>
          </w:p>
        </w:tc>
        <w:tc>
          <w:tcPr>
            <w:tcW w:w="540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8, 2010</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401"/>
        <w:gridCol w:w="3402"/>
        <w:gridCol w:w="3402"/>
      </w:tblGrid>
      <w:tr>
        <w:trPr/>
        <w:tc>
          <w:tcPr>
            <w:tcW w:w="340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40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591"/>
        <w:gridCol w:w="203"/>
        <w:gridCol w:w="5411"/>
      </w:tblGrid>
      <w:tr>
        <w:trPr/>
        <w:tc>
          <w:tcPr>
            <w:tcW w:w="45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203" w:type="dxa"/>
            <w:tcBorders/>
            <w:shd w:fill="auto" w:val="clear"/>
          </w:tcPr>
          <w:p>
            <w:pPr>
              <w:pStyle w:val="TableContents"/>
              <w:spacing w:before="0" w:after="283"/>
              <w:jc w:val="left"/>
              <w:rPr/>
            </w:pPr>
            <w:r>
              <w:rPr/>
              <w:t> </w:t>
            </w:r>
          </w:p>
        </w:tc>
        <w:tc>
          <w:tcPr>
            <w:tcW w:w="541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bl>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283"/>
              <w:rPr/>
            </w:pPr>
            <w:r>
              <w:rPr/>
              <w:t xml:space="preserve">    </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13e-4(c) under the Exchange Act (17 CFR 240.13e-4(c))</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4" w:name="hangingindent"/>
      <w:bookmarkStart w:id="5" w:name="hangingindent"/>
      <w:bookmarkEnd w:id="5"/>
    </w:p>
    <w:tbl>
      <w:tblPr>
        <w:tblW w:w="5000" w:type="pct"/>
        <w:jc w:val="left"/>
        <w:tblInd w:w="0" w:type="dxa"/>
        <w:tblCellMar>
          <w:top w:w="0" w:type="dxa"/>
          <w:left w:w="0" w:type="dxa"/>
          <w:bottom w:w="0" w:type="dxa"/>
          <w:right w:w="0" w:type="dxa"/>
        </w:tblCellMar>
      </w:tblPr>
      <w:tblGrid>
        <w:gridCol w:w="1739"/>
        <w:gridCol w:w="8466"/>
      </w:tblGrid>
      <w:tr>
        <w:trPr/>
        <w:tc>
          <w:tcPr>
            <w:tcW w:w="1739" w:type="dxa"/>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Item 2.02</w:t>
            </w:r>
          </w:p>
        </w:tc>
        <w:tc>
          <w:tcPr>
            <w:tcW w:w="8466"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Results of Operations and Financial Condition.</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December 8, 2010, Oil-Dri Corporation of America (the “Registrant”) issued a press release announcing its results of operations for its first quarter ended October 31, 2010.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Item 9.01</w:t>
            </w:r>
          </w:p>
        </w:tc>
        <w:tc>
          <w:tcPr>
            <w:tcW w:w="79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8" w:name="hangingindent2"/>
      <w:bookmarkStart w:id="9" w:name="hangingindent2"/>
      <w:bookmarkEnd w:id="9"/>
    </w:p>
    <w:tbl>
      <w:tblPr>
        <w:tblW w:w="5000" w:type="pct"/>
        <w:jc w:val="left"/>
        <w:tblInd w:w="0" w:type="dxa"/>
        <w:tblCellMar>
          <w:top w:w="0" w:type="dxa"/>
          <w:left w:w="0" w:type="dxa"/>
          <w:bottom w:w="0" w:type="dxa"/>
          <w:right w:w="0" w:type="dxa"/>
        </w:tblCellMar>
      </w:tblPr>
      <w:tblGrid>
        <w:gridCol w:w="2959"/>
        <w:gridCol w:w="7246"/>
      </w:tblGrid>
      <w:tr>
        <w:trPr/>
        <w:tc>
          <w:tcPr>
            <w:tcW w:w="29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 </w:t>
            </w:r>
          </w:p>
        </w:tc>
        <w:tc>
          <w:tcPr>
            <w:tcW w:w="724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r>
    </w:tbl>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10" w:name="hangingindent3"/>
      <w:bookmarkStart w:id="11" w:name="hangingindent3"/>
      <w:bookmarkEnd w:id="11"/>
    </w:p>
    <w:tbl>
      <w:tblPr>
        <w:tblW w:w="5000" w:type="pct"/>
        <w:jc w:val="left"/>
        <w:tblInd w:w="0" w:type="dxa"/>
        <w:tblCellMar>
          <w:top w:w="0" w:type="dxa"/>
          <w:left w:w="0" w:type="dxa"/>
          <w:bottom w:w="0" w:type="dxa"/>
          <w:right w:w="0" w:type="dxa"/>
        </w:tblCellMar>
      </w:tblPr>
      <w:tblGrid>
        <w:gridCol w:w="110"/>
        <w:gridCol w:w="1227"/>
        <w:gridCol w:w="8868"/>
      </w:tblGrid>
      <w:tr>
        <w:trPr/>
        <w:tc>
          <w:tcPr>
            <w:tcW w:w="110" w:type="dxa"/>
            <w:tcBorders/>
            <w:shd w:fill="auto" w:val="clear"/>
          </w:tcPr>
          <w:p>
            <w:pPr>
              <w:pStyle w:val="TableContents"/>
              <w:spacing w:before="0" w:after="283"/>
              <w:rPr/>
            </w:pPr>
            <w:r>
              <w:rPr/>
              <w:t> </w:t>
            </w:r>
          </w:p>
        </w:tc>
        <w:tc>
          <w:tcPr>
            <w:tcW w:w="122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Exhibit</w:t>
              <w:br/>
            </w:r>
            <w:r>
              <w:rPr>
                <w:rFonts w:ascii="times new roman" w:hAnsi="times new roman"/>
                <w:strike w:val="false"/>
                <w:dstrike w:val="false"/>
                <w:sz w:val="20"/>
                <w:u w:val="single"/>
                <w:effect w:val="none"/>
              </w:rPr>
              <w:t>Number</w:t>
            </w:r>
          </w:p>
        </w:tc>
        <w:tc>
          <w:tcPr>
            <w:tcW w:w="8868"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110" w:type="dxa"/>
            <w:tcBorders/>
            <w:shd w:fill="auto" w:val="clear"/>
          </w:tcPr>
          <w:p>
            <w:pPr>
              <w:pStyle w:val="TableContents"/>
              <w:spacing w:before="0" w:after="283"/>
              <w:rPr/>
            </w:pPr>
            <w:r>
              <w:rPr/>
              <w:t> </w:t>
            </w:r>
          </w:p>
        </w:tc>
        <w:tc>
          <w:tcPr>
            <w:tcW w:w="1227" w:type="dxa"/>
            <w:tcBorders/>
            <w:shd w:fill="auto" w:val="clear"/>
          </w:tcPr>
          <w:p>
            <w:pPr>
              <w:pStyle w:val="TableContents"/>
              <w:spacing w:before="0" w:after="283"/>
              <w:jc w:val="right"/>
              <w:rPr/>
            </w:pPr>
            <w:r>
              <w:rPr/>
              <w:t> </w:t>
            </w:r>
          </w:p>
        </w:tc>
        <w:tc>
          <w:tcPr>
            <w:tcW w:w="8868" w:type="dxa"/>
            <w:tcBorders/>
            <w:shd w:fill="auto" w:val="clear"/>
          </w:tcPr>
          <w:p>
            <w:pPr>
              <w:pStyle w:val="TableContents"/>
              <w:spacing w:before="0" w:after="283"/>
              <w:jc w:val="left"/>
              <w:rPr/>
            </w:pPr>
            <w:r>
              <w:rPr/>
              <w:t> </w:t>
            </w:r>
          </w:p>
        </w:tc>
      </w:tr>
      <w:tr>
        <w:trPr/>
        <w:tc>
          <w:tcPr>
            <w:tcW w:w="110" w:type="dxa"/>
            <w:tcBorders/>
            <w:shd w:fill="auto" w:val="clear"/>
          </w:tcPr>
          <w:p>
            <w:pPr>
              <w:pStyle w:val="TableContents"/>
              <w:spacing w:before="0" w:after="283"/>
              <w:rPr>
                <w:sz w:val="4"/>
                <w:szCs w:val="4"/>
              </w:rPr>
            </w:pPr>
            <w:r>
              <w:rPr>
                <w:sz w:val="4"/>
                <w:szCs w:val="4"/>
              </w:rPr>
            </w:r>
          </w:p>
        </w:tc>
        <w:tc>
          <w:tcPr>
            <w:tcW w:w="12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99.1 </w:t>
            </w:r>
          </w:p>
        </w:tc>
        <w:tc>
          <w:tcPr>
            <w:tcW w:w="88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December 8, 2010 (Quarterly Earnings)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
      <w:bookmarkStart w:id="13" w:name="PGBRK"/>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FTR"/>
      <w:bookmarkStart w:id="15" w:name="FT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 w:name="GLFTR"/>
      <w:bookmarkEnd w:id="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 w:name="PN"/>
      <w:bookmarkEnd w:id="17"/>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 w:name="GLHDR"/>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Angela M. Hatseras</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Angela M. Hatseras</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Acting General Counsel</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December 8,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 w:name="PGBRK1"/>
      <w:bookmarkStart w:id="22" w:name="PGBRK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FTR1"/>
      <w:bookmarkStart w:id="24" w:name="FT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 w:name="GLFTR1"/>
      <w:bookmarkEnd w:id="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 w:name="PN1"/>
      <w:bookmarkEnd w:id="26"/>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1"/>
      <w:bookmarkStart w:id="28" w:name="HD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 w:name="GLHDR1"/>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30" w:name="hangingindent4"/>
      <w:bookmarkStart w:id="31" w:name="hangingindent4"/>
      <w:bookmarkEnd w:id="31"/>
    </w:p>
    <w:tbl>
      <w:tblPr>
        <w:tblW w:w="5000" w:type="pct"/>
        <w:jc w:val="left"/>
        <w:tblInd w:w="0" w:type="dxa"/>
        <w:tblCellMar>
          <w:top w:w="0" w:type="dxa"/>
          <w:left w:w="0" w:type="dxa"/>
          <w:bottom w:w="0" w:type="dxa"/>
          <w:right w:w="0" w:type="dxa"/>
        </w:tblCellMar>
      </w:tblPr>
      <w:tblGrid>
        <w:gridCol w:w="110"/>
        <w:gridCol w:w="1227"/>
        <w:gridCol w:w="8868"/>
      </w:tblGrid>
      <w:tr>
        <w:trPr/>
        <w:tc>
          <w:tcPr>
            <w:tcW w:w="110" w:type="dxa"/>
            <w:tcBorders/>
            <w:shd w:fill="auto" w:val="clear"/>
          </w:tcPr>
          <w:p>
            <w:pPr>
              <w:pStyle w:val="TableContents"/>
              <w:spacing w:before="0" w:after="0"/>
              <w:rPr/>
            </w:pPr>
            <w:r>
              <w:rPr/>
              <w:t> </w:t>
            </w:r>
          </w:p>
        </w:tc>
        <w:tc>
          <w:tcPr>
            <w:tcW w:w="122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Exhibit</w:t>
              <w:br/>
            </w:r>
            <w:r>
              <w:rPr>
                <w:rFonts w:ascii="times new roman" w:hAnsi="times new roman"/>
                <w:strike w:val="false"/>
                <w:dstrike w:val="false"/>
                <w:sz w:val="20"/>
                <w:u w:val="single"/>
                <w:effect w:val="none"/>
              </w:rPr>
              <w:t>Number</w:t>
            </w:r>
          </w:p>
        </w:tc>
        <w:tc>
          <w:tcPr>
            <w:tcW w:w="8868"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110" w:type="dxa"/>
            <w:tcBorders/>
            <w:shd w:fill="auto" w:val="clear"/>
          </w:tcPr>
          <w:p>
            <w:pPr>
              <w:pStyle w:val="TableContents"/>
              <w:spacing w:before="0" w:after="0"/>
              <w:rPr/>
            </w:pPr>
            <w:r>
              <w:rPr/>
              <w:t> </w:t>
            </w:r>
          </w:p>
        </w:tc>
        <w:tc>
          <w:tcPr>
            <w:tcW w:w="1227" w:type="dxa"/>
            <w:tcBorders/>
            <w:shd w:fill="auto" w:val="clear"/>
          </w:tcPr>
          <w:p>
            <w:pPr>
              <w:pStyle w:val="TableContents"/>
              <w:spacing w:before="0" w:after="0"/>
              <w:jc w:val="right"/>
              <w:rPr/>
            </w:pPr>
            <w:r>
              <w:rPr/>
              <w:t> </w:t>
            </w:r>
          </w:p>
        </w:tc>
        <w:tc>
          <w:tcPr>
            <w:tcW w:w="8868" w:type="dxa"/>
            <w:tcBorders/>
            <w:shd w:fill="auto" w:val="clear"/>
          </w:tcPr>
          <w:p>
            <w:pPr>
              <w:pStyle w:val="TableContents"/>
              <w:spacing w:before="0" w:after="283"/>
              <w:jc w:val="left"/>
              <w:rPr/>
            </w:pPr>
            <w:r>
              <w:rPr/>
              <w:t> </w:t>
            </w:r>
          </w:p>
        </w:tc>
      </w:tr>
      <w:tr>
        <w:trPr/>
        <w:tc>
          <w:tcPr>
            <w:tcW w:w="110" w:type="dxa"/>
            <w:tcBorders/>
            <w:shd w:fill="auto" w:val="clear"/>
          </w:tcPr>
          <w:p>
            <w:pPr>
              <w:pStyle w:val="TableContents"/>
              <w:spacing w:before="0" w:after="283"/>
              <w:rPr>
                <w:sz w:val="4"/>
                <w:szCs w:val="4"/>
              </w:rPr>
            </w:pPr>
            <w:r>
              <w:rPr>
                <w:sz w:val="4"/>
                <w:szCs w:val="4"/>
              </w:rPr>
            </w:r>
          </w:p>
        </w:tc>
        <w:tc>
          <w:tcPr>
            <w:tcW w:w="12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99.1 </w:t>
            </w:r>
          </w:p>
        </w:tc>
        <w:tc>
          <w:tcPr>
            <w:tcW w:w="88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December 8, 2010 (Quarterly Earnings)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2"/>
      <w:bookmarkStart w:id="33" w:name="PGBRK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2"/>
      <w:bookmarkStart w:id="35" w:name="FT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2"/>
      <w:bookmarkEnd w:id="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 w:name="PN2"/>
      <w:bookmarkEnd w:id="37"/>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2"/>
      <w:bookmarkStart w:id="39" w:name="HD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2"/>
      <w:bookmarkEnd w:id="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1800" w:right="720" w:hanging="0"/>
        <w:jc w:val="right"/>
        <w:rPr/>
      </w:pPr>
      <w:r>
        <w:rPr/>
        <w:t> </w:t>
      </w:r>
      <w:r>
        <w:br w:type="page"/>
      </w:r>
    </w:p>
    <w:p>
      <w:pPr>
        <w:pStyle w:val="TextBody"/>
        <w:spacing w:before="0" w:after="0"/>
        <w:ind w:left="0" w:right="0" w:hanging="0"/>
        <w:jc w:val="right"/>
        <w:rPr/>
      </w:pPr>
      <w:bookmarkStart w:id="41" w:name="v204988_ex99-1.htm"/>
      <w:bookmarkStart w:id="42" w:name="ksv204988_ex991"/>
      <w:bookmarkEnd w:id="41"/>
      <w:bookmarkEnd w:id="42"/>
      <w:r>
        <w:rPr/>
        <w:t> </w:t>
      </w:r>
    </w:p>
    <w:p>
      <w:pPr>
        <w:pStyle w:val="TextBody"/>
        <w:spacing w:before="0" w:after="0"/>
        <w:ind w:left="0" w:right="0" w:hanging="0"/>
        <w:jc w:val="right"/>
        <w:rPr/>
      </w:pPr>
      <w:r>
        <w:rPr/>
        <w:t> </w:t>
      </w:r>
    </w:p>
    <w:tbl>
      <w:tblPr>
        <w:tblW w:w="5000" w:type="pct"/>
        <w:jc w:val="center"/>
        <w:tblInd w:w="0" w:type="dxa"/>
        <w:shd w:fill="FFFFFF" w:val="clear"/>
        <w:tblCellMar>
          <w:top w:w="0" w:type="dxa"/>
          <w:left w:w="0" w:type="dxa"/>
          <w:bottom w:w="0" w:type="dxa"/>
          <w:right w:w="0" w:type="dxa"/>
        </w:tblCellMar>
      </w:tblPr>
      <w:tblGrid>
        <w:gridCol w:w="1815"/>
        <w:gridCol w:w="4629"/>
        <w:gridCol w:w="1103"/>
        <w:gridCol w:w="2658"/>
      </w:tblGrid>
      <w:tr>
        <w:trPr/>
        <w:tc>
          <w:tcPr>
            <w:tcW w:w="1815" w:type="dxa"/>
            <w:vMerge w:val="restart"/>
            <w:tcBorders/>
            <w:shd w:fill="FFFFFF" w:val="clear"/>
          </w:tcPr>
          <w:p>
            <w:pPr>
              <w:pStyle w:val="TableContents"/>
              <w:spacing w:before="0" w:after="0"/>
              <w:rPr/>
            </w:pPr>
            <w:r>
              <w:rPr/>
              <w:drawing>
                <wp:inline distT="0" distB="0" distL="0" distR="0">
                  <wp:extent cx="114300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9144000"/>
                          </a:xfrm>
                          <a:prstGeom prst="rect">
                            <a:avLst/>
                          </a:prstGeom>
                        </pic:spPr>
                      </pic:pic>
                    </a:graphicData>
                  </a:graphic>
                </wp:inline>
              </w:drawing>
            </w:r>
          </w:p>
        </w:tc>
        <w:tc>
          <w:tcPr>
            <w:tcW w:w="4629"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103" w:type="dxa"/>
            <w:tcBorders>
              <w:bottom w:val="single" w:sz="12" w:space="0" w:color="000000"/>
            </w:tcBorders>
            <w:shd w:fill="FFFFFF" w:val="clear"/>
            <w:tcMar>
              <w:bottom w:w="28" w:type="dxa"/>
            </w:tcMar>
            <w:vAlign w:val="center"/>
          </w:tcPr>
          <w:p>
            <w:pPr>
              <w:pStyle w:val="TableContents"/>
              <w:spacing w:before="0" w:after="283"/>
              <w:rPr/>
            </w:pPr>
            <w:r>
              <w:rPr/>
              <w:t> </w:t>
            </w:r>
          </w:p>
        </w:tc>
        <w:tc>
          <w:tcPr>
            <w:tcW w:w="2658" w:type="dxa"/>
            <w:tcBorders>
              <w:bottom w:val="single" w:sz="12"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color w:val="000000"/>
                <w:sz w:val="20"/>
              </w:rPr>
            </w:pPr>
            <w:r>
              <w:rPr>
                <w:rFonts w:ascii="times new roman" w:hAnsi="times new roman"/>
                <w:color w:val="000000"/>
                <w:sz w:val="20"/>
              </w:rPr>
              <w:t>Exhibit 99.1</w:t>
            </w:r>
          </w:p>
          <w:p>
            <w:pPr>
              <w:pStyle w:val="TableContents"/>
              <w:spacing w:before="0" w:after="0"/>
              <w:ind w:left="0" w:right="0" w:hanging="0"/>
              <w:jc w:val="right"/>
              <w:rPr/>
            </w:pPr>
            <w:r>
              <w:rPr/>
              <w:t> </w:t>
            </w:r>
          </w:p>
          <w:p>
            <w:pPr>
              <w:pStyle w:val="TableContents"/>
              <w:spacing w:before="0" w:after="0"/>
              <w:ind w:left="0" w:right="0" w:hanging="0"/>
              <w:jc w:val="left"/>
              <w:rPr>
                <w:rFonts w:ascii="times new roman" w:hAnsi="times new roman"/>
                <w:b/>
                <w:color w:val="0000FF"/>
                <w:sz w:val="48"/>
              </w:rPr>
            </w:pPr>
            <w:r>
              <w:rPr>
                <w:rFonts w:ascii="times new roman" w:hAnsi="times new roman"/>
                <w:b/>
                <w:color w:val="0000FF"/>
                <w:sz w:val="48"/>
              </w:rPr>
              <w:t>News Release</w:t>
            </w:r>
          </w:p>
        </w:tc>
      </w:tr>
      <w:tr>
        <w:trPr/>
        <w:tc>
          <w:tcPr>
            <w:tcW w:w="1815" w:type="dxa"/>
            <w:vMerge w:val="continue"/>
            <w:tcBorders/>
            <w:shd w:fill="FFFFFF" w:val="clear"/>
          </w:tcPr>
          <w:p>
            <w:pPr>
              <w:pStyle w:val="Normal"/>
              <w:rPr/>
            </w:pPr>
            <w:r>
              <w:rPr/>
            </w:r>
          </w:p>
        </w:tc>
        <w:tc>
          <w:tcPr>
            <w:tcW w:w="4629" w:type="dxa"/>
            <w:tcBorders/>
            <w:shd w:fill="FFFFFF" w:val="clear"/>
          </w:tcPr>
          <w:p>
            <w:pPr>
              <w:pStyle w:val="TableContents"/>
              <w:spacing w:before="0" w:after="0"/>
              <w:ind w:left="180" w:right="0" w:hanging="0"/>
              <w:jc w:val="left"/>
              <w:rPr>
                <w:rFonts w:ascii="times new roman" w:hAnsi="times new roman"/>
                <w:sz w:val="20"/>
              </w:rPr>
            </w:pPr>
            <w:r>
              <w:rPr>
                <w:rFonts w:ascii="times new roman" w:hAnsi="times new roman"/>
                <w:b/>
                <w:sz w:val="20"/>
              </w:rPr>
              <w:t>Release:</w:t>
            </w:r>
            <w:r>
              <w:rPr>
                <w:rFonts w:ascii="times new roman" w:hAnsi="times new roman"/>
                <w:sz w:val="20"/>
              </w:rPr>
              <w:t>  Immediate</w:t>
            </w:r>
          </w:p>
        </w:tc>
        <w:tc>
          <w:tcPr>
            <w:tcW w:w="1103" w:type="dxa"/>
            <w:tcBorders/>
            <w:shd w:fill="FFFF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w:t>
            </w:r>
          </w:p>
        </w:tc>
        <w:tc>
          <w:tcPr>
            <w:tcW w:w="2658"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r>
        <w:trPr/>
        <w:tc>
          <w:tcPr>
            <w:tcW w:w="1815" w:type="dxa"/>
            <w:vMerge w:val="continue"/>
            <w:tcBorders/>
            <w:shd w:fill="FFFFFF" w:val="clear"/>
          </w:tcPr>
          <w:p>
            <w:pPr>
              <w:pStyle w:val="Normal"/>
              <w:rPr/>
            </w:pPr>
            <w:r>
              <w:rPr/>
            </w:r>
          </w:p>
        </w:tc>
        <w:tc>
          <w:tcPr>
            <w:tcW w:w="8390" w:type="dxa"/>
            <w:gridSpan w:val="3"/>
            <w:tcBorders/>
            <w:shd w:fill="FFFFFF" w:val="clear"/>
          </w:tcPr>
          <w:p>
            <w:pPr>
              <w:pStyle w:val="TableContents"/>
              <w:spacing w:before="0" w:after="0"/>
              <w:ind w:left="18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Oil-Dri Announces First Quarter Results For Fiscal 2011</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CHICAGO – (December 8, 2010) – Oil-Dri Corporation of America (NYSE: ODC) today announced net sales for the first quarter of $56,285,000, a 5% increase compared with net sales of $53,404,000 for the previous fiscal year.  Net income for the first quarter was $2,519,000, or $0.35 per diluted share, a 17% increase compared with net income of $2,194,000, or $0.30 per diluted share one year ago.</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b/>
                <w:i w:val="false"/>
                <w:smallCaps/>
                <w:sz w:val="20"/>
              </w:rPr>
            </w:pPr>
            <w:r>
              <w:rPr>
                <w:rFonts w:ascii="times new roman" w:hAnsi="times new roman"/>
                <w:b/>
                <w:i w:val="false"/>
                <w:smallCaps/>
                <w:sz w:val="20"/>
              </w:rPr>
              <w:t>First Quarter Review</w:t>
            </w:r>
          </w:p>
          <w:p>
            <w:pPr>
              <w:pStyle w:val="TableContents"/>
              <w:spacing w:before="0" w:after="0"/>
              <w:ind w:left="18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President and Chief Executive Officer Daniel S. Jaffee said, “Our business performed well during the first quarter with net sales increases in both reporting segments and volume increases within the Business to Business Products Group.  A combination of a favorable product mix and lower cost of fuel for production helped to offset increases in freight, materials and packaging costs.”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b/>
                <w:i w:val="false"/>
                <w:smallCaps/>
                <w:sz w:val="20"/>
              </w:rPr>
            </w:pPr>
            <w:r>
              <w:rPr>
                <w:rFonts w:ascii="times new roman" w:hAnsi="times new roman"/>
                <w:b/>
                <w:i w:val="false"/>
                <w:smallCaps/>
                <w:sz w:val="20"/>
              </w:rPr>
              <w:t>Business Review</w:t>
            </w:r>
          </w:p>
          <w:p>
            <w:pPr>
              <w:pStyle w:val="TableContents"/>
              <w:spacing w:before="0" w:after="0"/>
              <w:ind w:left="18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Net sales for the Company’s Business to Business Products Group were $19,045,000 and group income was $5,288,000 for the quarter.  Net sales and unit volume were up for bleaching clay products and agricultural chemical carriers.  Bleaching clay products were up due to the characteristics of this year’s soybean crop, which required more clay to remove impurities during oil processing.  Agricultural chemical carriers were up due to an increase in customers’ demand, which reflected a return to more historical inventory levels.  Overall freight, materials and packaging costs have increased from the prior year.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Net sales for the Company’s Retail and Wholesale Products Group were $37,240,000 and group income was $3,066,000 for the quarter.  Net sales and unit volume were up for branded scoopable litters and floor absorbents.  Improved unit sales to a major customer and reduced trade spending slightly increased the Group’s net sales in the quarter.  Freight, materials and packaging costs were up in the quarter versus one year ago.</w:t>
            </w:r>
          </w:p>
        </w:tc>
      </w:tr>
    </w:tbl>
    <w:p>
      <w:pPr>
        <w:pStyle w:val="TextBody"/>
        <w:spacing w:before="0" w:after="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3"/>
      <w:bookmarkStart w:id="44" w:name="PGBRK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3"/>
      <w:bookmarkStart w:id="46" w:name="FT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GLFTR3"/>
      <w:bookmarkStart w:id="48" w:name="GLFT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9" w:name="PN3"/>
      <w:bookmarkStart w:id="50" w:name="PN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HDR3"/>
      <w:bookmarkStart w:id="52" w:name="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GLHDR3"/>
      <w:bookmarkStart w:id="54" w:name="GLHDR3"/>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712"/>
        <w:gridCol w:w="5921"/>
        <w:gridCol w:w="1020"/>
        <w:gridCol w:w="2552"/>
      </w:tblGrid>
      <w:tr>
        <w:trPr/>
        <w:tc>
          <w:tcPr>
            <w:tcW w:w="712" w:type="dxa"/>
            <w:vMerge w:val="restart"/>
            <w:tcBorders/>
            <w:shd w:fill="FFFFFF" w:val="clear"/>
          </w:tcPr>
          <w:p>
            <w:pPr>
              <w:pStyle w:val="TableContents"/>
              <w:spacing w:before="0" w:after="283"/>
              <w:rPr>
                <w:sz w:val="4"/>
                <w:szCs w:val="4"/>
              </w:rPr>
            </w:pPr>
            <w:r>
              <w:rPr>
                <w:sz w:val="4"/>
                <w:szCs w:val="4"/>
              </w:rPr>
            </w:r>
          </w:p>
        </w:tc>
        <w:tc>
          <w:tcPr>
            <w:tcW w:w="5921" w:type="dxa"/>
            <w:tcBorders/>
            <w:shd w:fill="FFFFFF" w:val="clear"/>
            <w:vAlign w:val="center"/>
          </w:tcPr>
          <w:p>
            <w:pPr>
              <w:pStyle w:val="TableContents"/>
              <w:spacing w:before="0" w:after="283"/>
              <w:rPr/>
            </w:pPr>
            <w:r>
              <w:rPr/>
              <w:t> </w:t>
            </w:r>
          </w:p>
        </w:tc>
        <w:tc>
          <w:tcPr>
            <w:tcW w:w="1020" w:type="dxa"/>
            <w:tcBorders/>
            <w:shd w:fill="FFFFFF" w:val="clear"/>
            <w:vAlign w:val="center"/>
          </w:tcPr>
          <w:p>
            <w:pPr>
              <w:pStyle w:val="TableContents"/>
              <w:spacing w:before="0" w:after="283"/>
              <w:rPr/>
            </w:pPr>
            <w:r>
              <w:rPr/>
              <w:t> </w:t>
            </w:r>
          </w:p>
        </w:tc>
        <w:tc>
          <w:tcPr>
            <w:tcW w:w="2552" w:type="dxa"/>
            <w:tcBorders/>
            <w:shd w:fill="FFFFFF" w:val="clear"/>
            <w:vAlign w:val="bottom"/>
          </w:tcPr>
          <w:p>
            <w:pPr>
              <w:pStyle w:val="TableContents"/>
              <w:spacing w:before="0" w:after="0"/>
              <w:ind w:left="0" w:right="0" w:hanging="0"/>
              <w:jc w:val="right"/>
              <w:rPr/>
            </w:pPr>
            <w:r>
              <w:rPr/>
              <w:t> </w:t>
            </w:r>
          </w:p>
        </w:tc>
      </w:tr>
      <w:tr>
        <w:trPr/>
        <w:tc>
          <w:tcPr>
            <w:tcW w:w="712" w:type="dxa"/>
            <w:vMerge w:val="continue"/>
            <w:tcBorders/>
            <w:shd w:fill="FFFFFF" w:val="clear"/>
          </w:tcPr>
          <w:p>
            <w:pPr>
              <w:pStyle w:val="Normal"/>
              <w:rPr/>
            </w:pPr>
            <w:r>
              <w:rPr/>
            </w:r>
          </w:p>
        </w:tc>
        <w:tc>
          <w:tcPr>
            <w:tcW w:w="5921" w:type="dxa"/>
            <w:tcBorders/>
            <w:shd w:fill="FFFFFF" w:val="clear"/>
          </w:tcPr>
          <w:p>
            <w:pPr>
              <w:pStyle w:val="TableContents"/>
              <w:spacing w:before="0" w:after="0"/>
              <w:ind w:left="0" w:right="0" w:hanging="0"/>
              <w:jc w:val="left"/>
              <w:rPr/>
            </w:pPr>
            <w:r>
              <w:rPr/>
              <w:t> </w:t>
            </w:r>
          </w:p>
        </w:tc>
        <w:tc>
          <w:tcPr>
            <w:tcW w:w="1020" w:type="dxa"/>
            <w:tcBorders/>
            <w:shd w:fill="FFFFFF" w:val="clear"/>
          </w:tcPr>
          <w:p>
            <w:pPr>
              <w:pStyle w:val="TableContents"/>
              <w:spacing w:before="0" w:after="0"/>
              <w:ind w:left="0" w:right="0" w:hanging="0"/>
              <w:jc w:val="left"/>
              <w:rPr/>
            </w:pPr>
            <w:r>
              <w:rPr/>
              <w:t> </w:t>
            </w:r>
          </w:p>
        </w:tc>
        <w:tc>
          <w:tcPr>
            <w:tcW w:w="2552" w:type="dxa"/>
            <w:tcBorders/>
            <w:shd w:fill="FFFFFF" w:val="clear"/>
          </w:tcPr>
          <w:p>
            <w:pPr>
              <w:pStyle w:val="TableContents"/>
              <w:spacing w:before="0" w:after="0"/>
              <w:ind w:left="0" w:right="0" w:hanging="0"/>
              <w:jc w:val="left"/>
              <w:rPr/>
            </w:pPr>
            <w:r>
              <w:rPr/>
              <w:t> </w:t>
            </w:r>
          </w:p>
        </w:tc>
      </w:tr>
      <w:tr>
        <w:trPr/>
        <w:tc>
          <w:tcPr>
            <w:tcW w:w="712" w:type="dxa"/>
            <w:vMerge w:val="continue"/>
            <w:tcBorders/>
            <w:shd w:fill="FFFFFF" w:val="clear"/>
          </w:tcPr>
          <w:p>
            <w:pPr>
              <w:pStyle w:val="Normal"/>
              <w:rPr/>
            </w:pPr>
            <w:r>
              <w:rPr/>
            </w:r>
          </w:p>
        </w:tc>
        <w:tc>
          <w:tcPr>
            <w:tcW w:w="9493" w:type="dxa"/>
            <w:gridSpan w:val="3"/>
            <w:tcBorders/>
            <w:shd w:fill="FFFFFF" w:val="clear"/>
          </w:tcPr>
          <w:p>
            <w:pPr>
              <w:pStyle w:val="TableContents"/>
              <w:spacing w:before="0" w:after="0"/>
              <w:ind w:left="180" w:right="0" w:hanging="0"/>
              <w:jc w:val="left"/>
              <w:rPr>
                <w:rFonts w:ascii="times new roman" w:hAnsi="times new roman"/>
                <w:b/>
                <w:smallCaps/>
                <w:sz w:val="20"/>
              </w:rPr>
            </w:pPr>
            <w:r>
              <w:rPr>
                <w:rFonts w:ascii="times new roman" w:hAnsi="times new roman"/>
                <w:b/>
                <w:smallCaps/>
                <w:sz w:val="20"/>
              </w:rPr>
              <w:t>Financial Review</w:t>
            </w:r>
          </w:p>
          <w:p>
            <w:pPr>
              <w:pStyle w:val="TableContents"/>
              <w:spacing w:before="0" w:after="0"/>
              <w:ind w:left="180" w:right="0" w:hanging="0"/>
              <w:jc w:val="left"/>
              <w:rPr>
                <w:rFonts w:ascii="times new roman" w:hAnsi="times new roman"/>
                <w:sz w:val="20"/>
              </w:rPr>
            </w:pPr>
            <w:r>
              <w:rPr>
                <w:rFonts w:ascii="times new roman" w:hAnsi="times new roman"/>
                <w:sz w:val="20"/>
              </w:rPr>
              <w:t>Cash, cash equivalents and short-term investments at October 31, 2010, totaled $19,953,000.  Cash used in operations was $464,000 for the first quarter primarily due to increases in accounts receivable and inventories driven by net sales increases.  Cash provided by operations in the first quarter of fiscal 2010 was $7,639,000 primarily due to decreases in accounts receivable and inventories commensurate with net sales declines.</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Capital expenditures for the first quarter totaled $1,638,000, which was $416,000 less than the depreciation and amortization for the quarter of $2,054,000.</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On October 14, 2010, Oil-Dri’s Board of Directors declared quarterly cash dividends of $0.16 per share of outstanding Common Stock and $0.12 per share of outstanding Class B Stock.  The dividends were payable December 3, 2010 to stockholders of record at the close of business on November 19, 2010.</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At the first quarter closing price of $21.99 per share and assuming cash dividends continue at the same rate, the annual yield on the Company’s Common Stock is 2.9%.  The Company has paid cash dividends continuously since 1974 and has increased dividends annually for the past seven years.</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During the first quarter, the Company repurchased 24,057 shares of Common Stock at an average price of $ $21.23 per share.  The Company’s current repurchase authorization has 209,943 shares of Common Stock remaining.</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On November 12, 2010, the Company sold at face value $18,500,000 of senior unsecured notes. The notes have a final maturity of ten years and bear interest at 3.96% per annum.  The proceeds of the sale may be used to fund future principal payments of the Company’s debt, acquisitions, stock repurchases, capital expenditures and for working capital purposes.</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5" w:name="PGBRK4"/>
      <w:bookmarkStart w:id="56" w:name="PGBRK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 w:name="FTR4"/>
      <w:bookmarkStart w:id="58" w:name="FT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9" w:name="GLFTR4"/>
      <w:bookmarkStart w:id="60" w:name="GLFTR4"/>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61" w:name="PN4"/>
      <w:bookmarkStart w:id="62" w:name="PN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3" w:name="HDR4"/>
      <w:bookmarkStart w:id="64" w:name="HDR4"/>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5" w:name="GLHDR4"/>
      <w:bookmarkStart w:id="66" w:name="GLHDR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714"/>
        <w:gridCol w:w="5920"/>
        <w:gridCol w:w="1020"/>
        <w:gridCol w:w="2551"/>
      </w:tblGrid>
      <w:tr>
        <w:trPr/>
        <w:tc>
          <w:tcPr>
            <w:tcW w:w="714" w:type="dxa"/>
            <w:vMerge w:val="restart"/>
            <w:tcBorders/>
            <w:shd w:fill="FFFFFF" w:val="clear"/>
          </w:tcPr>
          <w:p>
            <w:pPr>
              <w:pStyle w:val="TableContents"/>
              <w:spacing w:before="0" w:after="283"/>
              <w:rPr>
                <w:sz w:val="4"/>
                <w:szCs w:val="4"/>
              </w:rPr>
            </w:pPr>
            <w:r>
              <w:rPr>
                <w:sz w:val="4"/>
                <w:szCs w:val="4"/>
              </w:rPr>
            </w:r>
          </w:p>
        </w:tc>
        <w:tc>
          <w:tcPr>
            <w:tcW w:w="5920" w:type="dxa"/>
            <w:tcBorders/>
            <w:shd w:fill="FFFFFF" w:val="clear"/>
            <w:vAlign w:val="center"/>
          </w:tcPr>
          <w:p>
            <w:pPr>
              <w:pStyle w:val="TableContents"/>
              <w:spacing w:before="0" w:after="283"/>
              <w:rPr/>
            </w:pPr>
            <w:r>
              <w:rPr/>
              <w:t> </w:t>
            </w:r>
          </w:p>
        </w:tc>
        <w:tc>
          <w:tcPr>
            <w:tcW w:w="1020" w:type="dxa"/>
            <w:tcBorders/>
            <w:shd w:fill="FFFFFF" w:val="clear"/>
            <w:vAlign w:val="center"/>
          </w:tcPr>
          <w:p>
            <w:pPr>
              <w:pStyle w:val="TableContents"/>
              <w:spacing w:before="0" w:after="283"/>
              <w:rPr/>
            </w:pPr>
            <w:r>
              <w:rPr/>
              <w:t> </w:t>
            </w:r>
          </w:p>
        </w:tc>
        <w:tc>
          <w:tcPr>
            <w:tcW w:w="2551" w:type="dxa"/>
            <w:tcBorders/>
            <w:shd w:fill="FFFFFF" w:val="clear"/>
            <w:vAlign w:val="bottom"/>
          </w:tcPr>
          <w:p>
            <w:pPr>
              <w:pStyle w:val="TableContents"/>
              <w:spacing w:before="0" w:after="0"/>
              <w:ind w:left="0" w:right="0" w:hanging="0"/>
              <w:jc w:val="right"/>
              <w:rPr/>
            </w:pPr>
            <w:r>
              <w:rPr/>
              <w:t> </w:t>
            </w:r>
          </w:p>
        </w:tc>
      </w:tr>
      <w:tr>
        <w:trPr/>
        <w:tc>
          <w:tcPr>
            <w:tcW w:w="714" w:type="dxa"/>
            <w:vMerge w:val="continue"/>
            <w:tcBorders/>
            <w:shd w:fill="FFFFFF" w:val="clear"/>
          </w:tcPr>
          <w:p>
            <w:pPr>
              <w:pStyle w:val="Normal"/>
              <w:rPr/>
            </w:pPr>
            <w:r>
              <w:rPr/>
            </w:r>
          </w:p>
        </w:tc>
        <w:tc>
          <w:tcPr>
            <w:tcW w:w="5920" w:type="dxa"/>
            <w:tcBorders/>
            <w:shd w:fill="FFFFFF" w:val="clear"/>
          </w:tcPr>
          <w:p>
            <w:pPr>
              <w:pStyle w:val="TableContents"/>
              <w:spacing w:before="0" w:after="0"/>
              <w:ind w:left="0" w:right="0" w:hanging="0"/>
              <w:jc w:val="left"/>
              <w:rPr/>
            </w:pPr>
            <w:r>
              <w:rPr/>
              <w:t> </w:t>
            </w:r>
          </w:p>
        </w:tc>
        <w:tc>
          <w:tcPr>
            <w:tcW w:w="1020" w:type="dxa"/>
            <w:tcBorders/>
            <w:shd w:fill="FFFFFF" w:val="clear"/>
          </w:tcPr>
          <w:p>
            <w:pPr>
              <w:pStyle w:val="TableContents"/>
              <w:spacing w:before="0" w:after="0"/>
              <w:ind w:left="0" w:right="0" w:hanging="0"/>
              <w:jc w:val="left"/>
              <w:rPr/>
            </w:pPr>
            <w:r>
              <w:rPr/>
              <w:t> </w:t>
            </w:r>
          </w:p>
        </w:tc>
        <w:tc>
          <w:tcPr>
            <w:tcW w:w="2551" w:type="dxa"/>
            <w:tcBorders/>
            <w:shd w:fill="FFFFFF" w:val="clear"/>
          </w:tcPr>
          <w:p>
            <w:pPr>
              <w:pStyle w:val="TableContents"/>
              <w:spacing w:before="0" w:after="0"/>
              <w:ind w:left="0" w:right="0" w:hanging="0"/>
              <w:jc w:val="left"/>
              <w:rPr/>
            </w:pPr>
            <w:r>
              <w:rPr/>
              <w:t> </w:t>
            </w:r>
          </w:p>
        </w:tc>
      </w:tr>
      <w:tr>
        <w:trPr/>
        <w:tc>
          <w:tcPr>
            <w:tcW w:w="714" w:type="dxa"/>
            <w:vMerge w:val="continue"/>
            <w:tcBorders/>
            <w:shd w:fill="FFFFFF" w:val="clear"/>
          </w:tcPr>
          <w:p>
            <w:pPr>
              <w:pStyle w:val="Normal"/>
              <w:rPr/>
            </w:pPr>
            <w:r>
              <w:rPr/>
            </w:r>
          </w:p>
        </w:tc>
        <w:tc>
          <w:tcPr>
            <w:tcW w:w="9491" w:type="dxa"/>
            <w:gridSpan w:val="3"/>
            <w:tcBorders/>
            <w:shd w:fill="FFFFFF" w:val="clear"/>
          </w:tcPr>
          <w:p>
            <w:pPr>
              <w:pStyle w:val="TableContents"/>
              <w:spacing w:before="0" w:after="0"/>
              <w:ind w:left="180" w:right="0" w:hanging="0"/>
              <w:jc w:val="left"/>
              <w:rPr>
                <w:rFonts w:ascii="times new roman" w:hAnsi="times new roman"/>
                <w:b/>
                <w:smallCaps/>
                <w:sz w:val="20"/>
              </w:rPr>
            </w:pPr>
            <w:r>
              <w:rPr>
                <w:rFonts w:ascii="times new roman" w:hAnsi="times new roman"/>
                <w:b/>
                <w:smallCaps/>
                <w:sz w:val="20"/>
              </w:rPr>
              <w:t>Looking Forward</w:t>
            </w:r>
          </w:p>
          <w:p>
            <w:pPr>
              <w:pStyle w:val="TableContents"/>
              <w:spacing w:before="0" w:after="0"/>
              <w:ind w:left="180" w:right="0" w:hanging="0"/>
              <w:jc w:val="left"/>
              <w:rPr>
                <w:rFonts w:ascii="times new roman" w:hAnsi="times new roman"/>
                <w:sz w:val="20"/>
              </w:rPr>
            </w:pPr>
            <w:r>
              <w:rPr>
                <w:rFonts w:ascii="times new roman" w:hAnsi="times new roman"/>
                <w:sz w:val="20"/>
              </w:rPr>
              <w:t>Jaffee continued, “We continue to be optimistic about the fiscal year.  We are pleased with the positive start in the first quarter and are hopeful that subsequent quarters will continue the trend of improved net sales and unit volume.”</w:t>
            </w:r>
          </w:p>
          <w:p>
            <w:pPr>
              <w:pStyle w:val="TableContents"/>
              <w:spacing w:before="0" w:after="0"/>
              <w:ind w:left="0" w:right="0" w:hanging="0"/>
              <w:jc w:val="left"/>
              <w:rPr/>
            </w:pPr>
            <w:r>
              <w:rPr/>
            </w:r>
          </w:p>
          <w:p>
            <w:pPr>
              <w:pStyle w:val="TableContents"/>
              <w:spacing w:before="0" w:after="0"/>
              <w:ind w:left="18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The Company will offer a live webcast of the first quarter earnings teleconference on December 9, 2010 from 10:00 a.m. to 10:30 a.m., Chicago Time.  To listen to the call via the web, please visit </w:t>
            </w:r>
            <w:r>
              <w:rPr>
                <w:rFonts w:ascii="times new roman" w:hAnsi="times new roman"/>
                <w:sz w:val="20"/>
                <w:u w:val="single"/>
              </w:rPr>
              <w:t>www.streetevents.com</w:t>
            </w:r>
            <w:r>
              <w:rPr>
                <w:rFonts w:ascii="times new roman" w:hAnsi="times new roman"/>
                <w:sz w:val="20"/>
              </w:rPr>
              <w:t xml:space="preserve"> or </w:t>
            </w:r>
            <w:r>
              <w:rPr>
                <w:rFonts w:ascii="times new roman" w:hAnsi="times new roman"/>
                <w:sz w:val="20"/>
                <w:u w:val="single"/>
              </w:rPr>
              <w:t>www.oildri.com</w:t>
            </w:r>
            <w:r>
              <w:rPr>
                <w:rFonts w:ascii="times new roman" w:hAnsi="times new roman"/>
                <w:sz w:val="20"/>
              </w:rPr>
              <w:t>.  An archived recording of the call and written transcripts of all teleconferences are posted on the Oil-Dri website.</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ableContents"/>
              <w:spacing w:before="0" w:after="0"/>
              <w:ind w:left="0" w:right="0" w:hanging="0"/>
              <w:jc w:val="left"/>
              <w:rPr/>
            </w:pPr>
            <w:r>
              <w:rPr/>
            </w:r>
          </w:p>
          <w:p>
            <w:pPr>
              <w:pStyle w:val="TableContents"/>
              <w:spacing w:before="0" w:after="0"/>
              <w:ind w:left="18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7" w:name="PGBRK5"/>
      <w:bookmarkStart w:id="68" w:name="PGBRK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9" w:name="FTR5"/>
      <w:bookmarkStart w:id="70" w:name="FT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1" w:name="GLFTR5"/>
      <w:bookmarkStart w:id="72" w:name="GLFTR5"/>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73" w:name="PN5"/>
      <w:bookmarkStart w:id="74" w:name="PN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5" w:name="HDR5"/>
      <w:bookmarkStart w:id="76" w:name="HDR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7" w:name="GLHDR5"/>
      <w:bookmarkStart w:id="78" w:name="GLHDR5"/>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OIL-DRI CORPORATION OF AMERICA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Income</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493"/>
        <w:gridCol w:w="111"/>
        <w:gridCol w:w="153"/>
        <w:gridCol w:w="1075"/>
        <w:gridCol w:w="124"/>
        <w:gridCol w:w="111"/>
        <w:gridCol w:w="111"/>
        <w:gridCol w:w="970"/>
        <w:gridCol w:w="191"/>
        <w:gridCol w:w="111"/>
        <w:gridCol w:w="152"/>
        <w:gridCol w:w="1075"/>
        <w:gridCol w:w="124"/>
        <w:gridCol w:w="111"/>
        <w:gridCol w:w="111"/>
        <w:gridCol w:w="970"/>
        <w:gridCol w:w="212"/>
      </w:tblGrid>
      <w:tr>
        <w:trPr/>
        <w:tc>
          <w:tcPr>
            <w:tcW w:w="449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5389"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October 31,</w:t>
            </w:r>
          </w:p>
        </w:tc>
        <w:tc>
          <w:tcPr>
            <w:tcW w:w="212" w:type="dxa"/>
            <w:tcBorders/>
            <w:shd w:fill="auto" w:val="clear"/>
            <w:vAlign w:val="bottom"/>
          </w:tcPr>
          <w:p>
            <w:pPr>
              <w:pStyle w:val="TableContents"/>
              <w:spacing w:before="0" w:after="283"/>
              <w:jc w:val="left"/>
              <w:rPr/>
            </w:pPr>
            <w:r>
              <w:rPr/>
              <w:t> </w:t>
            </w:r>
          </w:p>
        </w:tc>
      </w:tr>
      <w:tr>
        <w:trPr/>
        <w:tc>
          <w:tcPr>
            <w:tcW w:w="449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0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4"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0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12" w:type="dxa"/>
            <w:tcBorders/>
            <w:shd w:fill="auto"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56,285</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53,404</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1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11" w:type="dxa"/>
            <w:tcBorders/>
            <w:shd w:fill="FFFFFF" w:val="clear"/>
            <w:vAlign w:val="bottom"/>
          </w:tcPr>
          <w:p>
            <w:pPr>
              <w:pStyle w:val="TableContents"/>
              <w:spacing w:before="0" w:after="283"/>
              <w:jc w:val="right"/>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(43,077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76.5</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(41,081</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76.9</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13,208</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12,323</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21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11" w:type="dxa"/>
            <w:tcBorders/>
            <w:shd w:fill="FFFFFF" w:val="clear"/>
            <w:vAlign w:val="bottom"/>
          </w:tcPr>
          <w:p>
            <w:pPr>
              <w:pStyle w:val="TableContents"/>
              <w:spacing w:before="0" w:after="283"/>
              <w:jc w:val="right"/>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(9,386</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(8,971</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283"/>
              <w:rPr/>
            </w:pPr>
            <w:r>
              <w:rPr/>
              <w:t xml:space="preserve">  </w:t>
            </w:r>
          </w:p>
        </w:tc>
        <w:tc>
          <w:tcPr>
            <w:tcW w:w="111" w:type="dxa"/>
            <w:tcBorders/>
            <w:shd w:fill="CCFFCC" w:val="clear"/>
            <w:vAlign w:val="bottom"/>
          </w:tcPr>
          <w:p>
            <w:pPr>
              <w:pStyle w:val="TableContents"/>
              <w:spacing w:before="0" w:after="283"/>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1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3,822</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3,352</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2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21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11" w:type="dxa"/>
            <w:tcBorders/>
            <w:shd w:fill="FFFFFF" w:val="clear"/>
            <w:vAlign w:val="bottom"/>
          </w:tcPr>
          <w:p>
            <w:pPr>
              <w:pStyle w:val="TableContents"/>
              <w:spacing w:before="0" w:after="283"/>
              <w:jc w:val="right"/>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283"/>
              <w:rPr/>
            </w:pPr>
            <w:r>
              <w:rPr/>
              <w:t xml:space="preserve">  </w:t>
            </w:r>
          </w:p>
        </w:tc>
        <w:tc>
          <w:tcPr>
            <w:tcW w:w="111" w:type="dxa"/>
            <w:tcBorders/>
            <w:shd w:fill="CCFFCC" w:val="clear"/>
            <w:vAlign w:val="bottom"/>
          </w:tcPr>
          <w:p>
            <w:pPr>
              <w:pStyle w:val="TableContents"/>
              <w:spacing w:before="0" w:after="283"/>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1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3,055</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11" w:type="dxa"/>
            <w:tcBorders/>
            <w:shd w:fill="CCFFCC" w:val="clear"/>
            <w:vAlign w:val="bottom"/>
          </w:tcPr>
          <w:p>
            <w:pPr>
              <w:pStyle w:val="TableContents"/>
              <w:spacing w:before="0" w:after="283"/>
              <w:jc w:val="right"/>
              <w:rPr/>
            </w:pPr>
            <w:r>
              <w:rPr/>
              <w:t> </w:t>
            </w:r>
          </w:p>
        </w:tc>
        <w:tc>
          <w:tcPr>
            <w:tcW w:w="15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(961</w:t>
            </w:r>
          </w:p>
        </w:tc>
        <w:tc>
          <w:tcPr>
            <w:tcW w:w="12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1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52"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7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FFCC" w:val="clear"/>
            <w:vAlign w:val="bottom"/>
          </w:tcPr>
          <w:p>
            <w:pPr>
              <w:pStyle w:val="TableContents"/>
              <w:spacing w:before="0" w:after="283"/>
              <w:jc w:val="right"/>
              <w:rPr/>
            </w:pPr>
            <w:r>
              <w:rPr/>
              <w:t> </w:t>
            </w:r>
          </w:p>
        </w:tc>
        <w:tc>
          <w:tcPr>
            <w:tcW w:w="11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1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1" w:type="dxa"/>
            <w:tcBorders/>
            <w:shd w:fill="FFFFFF" w:val="clear"/>
            <w:vAlign w:val="bottom"/>
          </w:tcPr>
          <w:p>
            <w:pPr>
              <w:pStyle w:val="TableContents"/>
              <w:spacing w:before="0" w:after="283"/>
              <w:jc w:val="right"/>
              <w:rPr/>
            </w:pPr>
            <w:r>
              <w:rPr/>
              <w:t> </w:t>
            </w:r>
          </w:p>
        </w:tc>
        <w:tc>
          <w:tcPr>
            <w:tcW w:w="15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2,519</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right"/>
              <w:rPr/>
            </w:pPr>
            <w:r>
              <w:rPr/>
              <w:t> </w:t>
            </w:r>
          </w:p>
        </w:tc>
        <w:tc>
          <w:tcPr>
            <w:tcW w:w="15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2,194</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1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FFCC" w:val="clear"/>
            <w:vAlign w:val="bottom"/>
          </w:tcPr>
          <w:p>
            <w:pPr>
              <w:pStyle w:val="TableContents"/>
              <w:spacing w:before="0" w:after="283"/>
              <w:rPr/>
            </w:pPr>
            <w:r>
              <w:rPr/>
              <w:t xml:space="preserve">  </w:t>
            </w:r>
          </w:p>
        </w:tc>
        <w:tc>
          <w:tcPr>
            <w:tcW w:w="111" w:type="dxa"/>
            <w:tcBorders/>
            <w:shd w:fill="CCFFCC" w:val="clear"/>
            <w:vAlign w:val="bottom"/>
          </w:tcPr>
          <w:p>
            <w:pPr>
              <w:pStyle w:val="TableContents"/>
              <w:spacing w:before="0" w:after="283"/>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11" w:type="dxa"/>
            <w:tcBorders/>
            <w:shd w:fill="CCFFCC" w:val="clear"/>
            <w:vAlign w:val="bottom"/>
          </w:tcPr>
          <w:p>
            <w:pPr>
              <w:pStyle w:val="TableContents"/>
              <w:spacing w:before="0" w:after="283"/>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Basic Common</w:t>
            </w:r>
          </w:p>
        </w:tc>
        <w:tc>
          <w:tcPr>
            <w:tcW w:w="11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Basic Class B Common</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Diluted</w:t>
            </w:r>
          </w:p>
        </w:tc>
        <w:tc>
          <w:tcPr>
            <w:tcW w:w="11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283"/>
              <w:rPr/>
            </w:pPr>
            <w:r>
              <w:rPr/>
              <w:t xml:space="preserve">  </w:t>
            </w:r>
          </w:p>
        </w:tc>
        <w:tc>
          <w:tcPr>
            <w:tcW w:w="111" w:type="dxa"/>
            <w:tcBorders/>
            <w:shd w:fill="CCFFCC" w:val="clear"/>
            <w:vAlign w:val="bottom"/>
          </w:tcPr>
          <w:p>
            <w:pPr>
              <w:pStyle w:val="TableContents"/>
              <w:spacing w:before="0" w:after="283"/>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pPr>
            <w:r>
              <w:rPr/>
              <w:t> </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11"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Basic Common</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5,086</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5,193</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r>
        <w:trPr/>
        <w:tc>
          <w:tcPr>
            <w:tcW w:w="4493"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Basic Class B Common</w:t>
            </w:r>
          </w:p>
        </w:tc>
        <w:tc>
          <w:tcPr>
            <w:tcW w:w="11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1,897</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10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24"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4493"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Diluted</w:t>
            </w:r>
          </w:p>
        </w:tc>
        <w:tc>
          <w:tcPr>
            <w:tcW w:w="111" w:type="dxa"/>
            <w:tcBorders/>
            <w:shd w:fill="CCFFCC" w:val="clear"/>
            <w:vAlign w:val="bottom"/>
          </w:tcPr>
          <w:p>
            <w:pPr>
              <w:pStyle w:val="TableContents"/>
              <w:spacing w:before="0" w:after="283"/>
              <w:jc w:val="right"/>
              <w:rPr/>
            </w:pPr>
            <w:r>
              <w:rPr/>
              <w:t> </w:t>
            </w:r>
          </w:p>
        </w:tc>
        <w:tc>
          <w:tcPr>
            <w:tcW w:w="153"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7,123</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jc w:val="right"/>
              <w:rPr/>
            </w:pPr>
            <w:r>
              <w:rPr/>
              <w:t> </w:t>
            </w:r>
          </w:p>
        </w:tc>
        <w:tc>
          <w:tcPr>
            <w:tcW w:w="152" w:type="dxa"/>
            <w:tcBorders/>
            <w:shd w:fill="CCFFCC" w:val="clear"/>
            <w:vAlign w:val="bottom"/>
          </w:tcPr>
          <w:p>
            <w:pPr>
              <w:pStyle w:val="TableContents"/>
              <w:spacing w:before="0" w:after="283"/>
              <w:jc w:val="left"/>
              <w:rPr/>
            </w:pPr>
            <w:r>
              <w:rPr/>
              <w:t> </w:t>
            </w:r>
          </w:p>
        </w:tc>
        <w:tc>
          <w:tcPr>
            <w:tcW w:w="107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7,248</w:t>
            </w:r>
          </w:p>
        </w:tc>
        <w:tc>
          <w:tcPr>
            <w:tcW w:w="124" w:type="dxa"/>
            <w:tcBorders/>
            <w:shd w:fill="CCFFCC" w:val="clear"/>
            <w:vAlign w:val="bottom"/>
          </w:tcPr>
          <w:p>
            <w:pPr>
              <w:pStyle w:val="TableContents"/>
              <w:spacing w:before="0" w:after="283"/>
              <w:jc w:val="left"/>
              <w:rPr/>
            </w:pPr>
            <w:r>
              <w:rPr/>
              <w:t> </w:t>
            </w:r>
          </w:p>
        </w:tc>
        <w:tc>
          <w:tcPr>
            <w:tcW w:w="111" w:type="dxa"/>
            <w:tcBorders/>
            <w:shd w:fill="CCFFCC" w:val="clear"/>
            <w:vAlign w:val="bottom"/>
          </w:tcPr>
          <w:p>
            <w:pPr>
              <w:pStyle w:val="TableContents"/>
              <w:spacing w:before="0" w:after="283"/>
              <w:rPr/>
            </w:pPr>
            <w:r>
              <w:rPr/>
              <w:t> </w:t>
            </w:r>
          </w:p>
        </w:tc>
        <w:tc>
          <w:tcPr>
            <w:tcW w:w="111" w:type="dxa"/>
            <w:tcBorders/>
            <w:shd w:fill="CCFFCC" w:val="clear"/>
            <w:vAlign w:val="bottom"/>
          </w:tcPr>
          <w:p>
            <w:pPr>
              <w:pStyle w:val="TableContents"/>
              <w:spacing w:before="0" w:after="283"/>
              <w:jc w:val="left"/>
              <w:rPr/>
            </w:pPr>
            <w:r>
              <w:rPr/>
              <w:t> </w:t>
            </w:r>
          </w:p>
        </w:tc>
        <w:tc>
          <w:tcPr>
            <w:tcW w:w="970" w:type="dxa"/>
            <w:tcBorders/>
            <w:shd w:fill="CCFFCC" w:val="clear"/>
            <w:vAlign w:val="bottom"/>
          </w:tcPr>
          <w:p>
            <w:pPr>
              <w:pStyle w:val="TableContents"/>
              <w:spacing w:before="0" w:after="283"/>
              <w:jc w:val="right"/>
              <w:rPr/>
            </w:pPr>
            <w:r>
              <w:rPr/>
              <w:t> </w:t>
            </w:r>
          </w:p>
        </w:tc>
        <w:tc>
          <w:tcPr>
            <w:tcW w:w="212" w:type="dxa"/>
            <w:tcBorders/>
            <w:shd w:fill="CCFFCC"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9" w:name="PGBRK6"/>
      <w:bookmarkStart w:id="80" w:name="PGBRK6"/>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 w:name="FTR6"/>
      <w:bookmarkStart w:id="82" w:name="FTR6"/>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3" w:name="GLFTR6"/>
      <w:bookmarkStart w:id="84" w:name="GLFTR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85" w:name="PN6"/>
      <w:bookmarkStart w:id="86" w:name="PN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7" w:name="HDR6"/>
      <w:bookmarkStart w:id="88" w:name="HDR6"/>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9" w:name="GLHDR6"/>
      <w:bookmarkStart w:id="90" w:name="GLHDR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OIL-DRI CORPORATION OF AMERICA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007"/>
        <w:gridCol w:w="1478"/>
        <w:gridCol w:w="107"/>
        <w:gridCol w:w="125"/>
        <w:gridCol w:w="1015"/>
        <w:gridCol w:w="107"/>
        <w:gridCol w:w="107"/>
        <w:gridCol w:w="125"/>
        <w:gridCol w:w="1015"/>
        <w:gridCol w:w="119"/>
      </w:tblGrid>
      <w:tr>
        <w:trPr/>
        <w:tc>
          <w:tcPr>
            <w:tcW w:w="6007" w:type="dxa"/>
            <w:tcBorders/>
            <w:shd w:fill="auto" w:val="clear"/>
            <w:vAlign w:val="bottom"/>
          </w:tcPr>
          <w:p>
            <w:pPr>
              <w:pStyle w:val="TableContents"/>
              <w:spacing w:before="0" w:after="283"/>
              <w:rPr/>
            </w:pPr>
            <w:r>
              <w:rPr/>
              <w:t xml:space="preserve">  </w:t>
            </w:r>
          </w:p>
        </w:tc>
        <w:tc>
          <w:tcPr>
            <w:tcW w:w="147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49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October 31,</w:t>
            </w:r>
          </w:p>
        </w:tc>
        <w:tc>
          <w:tcPr>
            <w:tcW w:w="119" w:type="dxa"/>
            <w:tcBorders/>
            <w:shd w:fill="auto" w:val="clear"/>
            <w:vAlign w:val="bottom"/>
          </w:tcPr>
          <w:p>
            <w:pPr>
              <w:pStyle w:val="TableContents"/>
              <w:spacing w:before="0" w:after="283"/>
              <w:jc w:val="left"/>
              <w:rPr/>
            </w:pPr>
            <w:r>
              <w:rPr/>
              <w:t> </w:t>
            </w:r>
          </w:p>
        </w:tc>
      </w:tr>
      <w:tr>
        <w:trPr/>
        <w:tc>
          <w:tcPr>
            <w:tcW w:w="6007" w:type="dxa"/>
            <w:tcBorders/>
            <w:shd w:fill="auto" w:val="clear"/>
            <w:vAlign w:val="bottom"/>
          </w:tcPr>
          <w:p>
            <w:pPr>
              <w:pStyle w:val="TableContents"/>
              <w:spacing w:before="0" w:after="283"/>
              <w:rPr/>
            </w:pPr>
            <w:r>
              <w:rPr/>
              <w:t xml:space="preserve">  </w:t>
            </w:r>
          </w:p>
        </w:tc>
        <w:tc>
          <w:tcPr>
            <w:tcW w:w="147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9" w:type="dxa"/>
            <w:tcBorders/>
            <w:shd w:fill="auto" w:val="clear"/>
            <w:vAlign w:val="bottom"/>
          </w:tcPr>
          <w:p>
            <w:pPr>
              <w:pStyle w:val="TableContents"/>
              <w:spacing w:before="0" w:after="283"/>
              <w:jc w:val="left"/>
              <w:rPr/>
            </w:pPr>
            <w:r>
              <w:rPr/>
              <w:t> </w:t>
            </w:r>
          </w:p>
        </w:tc>
      </w:tr>
      <w:tr>
        <w:trPr/>
        <w:tc>
          <w:tcPr>
            <w:tcW w:w="6007" w:type="dxa"/>
            <w:tcBorders/>
            <w:shd w:fill="auto" w:val="clear"/>
            <w:vAlign w:val="bottom"/>
          </w:tcPr>
          <w:p>
            <w:pPr>
              <w:pStyle w:val="TableContents"/>
              <w:spacing w:before="0" w:after="283"/>
              <w:rPr/>
            </w:pPr>
            <w:r>
              <w:rPr/>
              <w:t xml:space="preserve">  </w:t>
            </w:r>
          </w:p>
        </w:tc>
        <w:tc>
          <w:tcPr>
            <w:tcW w:w="147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478"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140" w:type="dxa"/>
            <w:gridSpan w:val="2"/>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140" w:type="dxa"/>
            <w:gridSpan w:val="2"/>
            <w:tcBorders/>
            <w:shd w:fill="CCFFCC" w:val="clear"/>
            <w:vAlign w:val="bottom"/>
          </w:tcPr>
          <w:p>
            <w:pPr>
              <w:pStyle w:val="TableContents"/>
              <w:spacing w:before="0" w:after="283"/>
              <w:rPr/>
            </w:pPr>
            <w:r>
              <w:rPr/>
              <w:t> </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Cash and Cash Equivalents</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16,099</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16,028</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Investment in Short-term Securities</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0"/>
              <w:ind w:left="360" w:right="0" w:hanging="0"/>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3,854</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8,997</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Accounts Receivable, net</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28,037</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25,569</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Inventories</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17,296</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16,398</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Prepaid Expenses</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8,761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7,304</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900" w:right="0" w:hanging="0"/>
              <w:rPr>
                <w:rFonts w:ascii="times new roman" w:hAnsi="times new roman"/>
                <w:b/>
                <w:sz w:val="20"/>
              </w:rPr>
            </w:pPr>
            <w:r>
              <w:rPr>
                <w:rFonts w:ascii="times new roman" w:hAnsi="times new roman"/>
                <w:b/>
                <w:sz w:val="20"/>
              </w:rPr>
              <w:t>Total Current Assets</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74,047</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74,296</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Plant and Equipment</w:t>
            </w:r>
          </w:p>
        </w:tc>
        <w:tc>
          <w:tcPr>
            <w:tcW w:w="147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62,091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58,995</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Assets</w:t>
            </w:r>
          </w:p>
        </w:tc>
        <w:tc>
          <w:tcPr>
            <w:tcW w:w="1478"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15,205</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15,835</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47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151,343</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149,126</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283"/>
              <w:rPr/>
            </w:pPr>
            <w:r>
              <w:rPr/>
              <w:t xml:space="preserve">  </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47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Current Maturities of Notes Payable</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4,100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Accounts Payable</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6,424</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Dividends Payable</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1,061</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Accrued Expenses</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13,105</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900" w:right="0" w:hanging="0"/>
              <w:rPr>
                <w:rFonts w:ascii="times new roman" w:hAnsi="times new roman"/>
                <w:b/>
                <w:sz w:val="20"/>
              </w:rPr>
            </w:pPr>
            <w:r>
              <w:rPr>
                <w:rFonts w:ascii="times new roman" w:hAnsi="times new roman"/>
                <w:b/>
                <w:sz w:val="20"/>
              </w:rPr>
              <w:t>Total Current Liabilities</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25,521</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23,101</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Liabilities</w:t>
            </w:r>
          </w:p>
        </w:tc>
        <w:tc>
          <w:tcPr>
            <w:tcW w:w="147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Notes Payable</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12,700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540" w:right="0" w:hanging="0"/>
              <w:rPr>
                <w:rFonts w:ascii="times new roman" w:hAnsi="times new roman"/>
                <w:b/>
                <w:sz w:val="20"/>
              </w:rPr>
            </w:pPr>
            <w:r>
              <w:rPr>
                <w:rFonts w:ascii="times new roman" w:hAnsi="times new roman"/>
                <w:b/>
                <w:sz w:val="20"/>
              </w:rPr>
              <w:t>Other Noncurrent Liabilities</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20,971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18,261</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900" w:right="0" w:hanging="0"/>
              <w:rPr>
                <w:rFonts w:ascii="times new roman" w:hAnsi="times new roman"/>
                <w:b/>
                <w:sz w:val="20"/>
              </w:rPr>
            </w:pPr>
            <w:r>
              <w:rPr>
                <w:rFonts w:ascii="times new roman" w:hAnsi="times new roman"/>
                <w:b/>
                <w:sz w:val="20"/>
              </w:rPr>
              <w:t>Total Long-Term Liabilities</w:t>
            </w:r>
          </w:p>
        </w:tc>
        <w:tc>
          <w:tcPr>
            <w:tcW w:w="1478" w:type="dxa"/>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33,671</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35,061</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147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92,151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90,964</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1478"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151,343</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149,126</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283"/>
              <w:rPr/>
            </w:pPr>
            <w:r>
              <w:rPr/>
              <w:t xml:space="preserve">  </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Book Value Per Share Outstanding</w:t>
            </w:r>
          </w:p>
        </w:tc>
        <w:tc>
          <w:tcPr>
            <w:tcW w:w="1478"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12.86</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283"/>
              <w:rPr/>
            </w:pPr>
            <w:r>
              <w:rPr/>
              <w:t xml:space="preserve">  </w:t>
            </w:r>
          </w:p>
        </w:tc>
        <w:tc>
          <w:tcPr>
            <w:tcW w:w="1478"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Acquisitions of</w:t>
            </w:r>
          </w:p>
        </w:tc>
        <w:tc>
          <w:tcPr>
            <w:tcW w:w="1478"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r>
      <w:tr>
        <w:trPr/>
        <w:tc>
          <w:tcPr>
            <w:tcW w:w="600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Property, Plant and Equipment</w:t>
            </w:r>
          </w:p>
        </w:tc>
        <w:tc>
          <w:tcPr>
            <w:tcW w:w="1478"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First Quarter</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1,327</w:t>
            </w:r>
          </w:p>
        </w:tc>
        <w:tc>
          <w:tcPr>
            <w:tcW w:w="119" w:type="dxa"/>
            <w:tcBorders/>
            <w:shd w:fill="FFFFFF" w:val="clear"/>
            <w:vAlign w:val="bottom"/>
          </w:tcPr>
          <w:p>
            <w:pPr>
              <w:pStyle w:val="TableContents"/>
              <w:spacing w:before="0" w:after="283"/>
              <w:jc w:val="left"/>
              <w:rPr/>
            </w:pPr>
            <w:r>
              <w:rPr/>
              <w:t> </w:t>
            </w:r>
          </w:p>
        </w:tc>
      </w:tr>
      <w:tr>
        <w:trPr/>
        <w:tc>
          <w:tcPr>
            <w:tcW w:w="6007" w:type="dxa"/>
            <w:tcBorders/>
            <w:shd w:fill="CCFFCC" w:val="clear"/>
            <w:vAlign w:val="bottom"/>
          </w:tcPr>
          <w:p>
            <w:pPr>
              <w:pStyle w:val="TableContents"/>
              <w:spacing w:before="0" w:after="283"/>
              <w:jc w:val="left"/>
              <w:rPr>
                <w:rFonts w:ascii="times new roman" w:hAnsi="times new roman"/>
                <w:b/>
                <w:sz w:val="20"/>
              </w:rPr>
            </w:pPr>
            <w:r>
              <w:rPr>
                <w:rFonts w:ascii="times new roman" w:hAnsi="times new roman"/>
                <w:b/>
                <w:sz w:val="20"/>
              </w:rPr>
              <w:t>Depreciation and Amortization Charges</w:t>
            </w:r>
          </w:p>
        </w:tc>
        <w:tc>
          <w:tcPr>
            <w:tcW w:w="1478" w:type="dxa"/>
            <w:tcBorders/>
            <w:shd w:fill="CCFFCC" w:val="clear"/>
            <w:vAlign w:val="bottom"/>
          </w:tcPr>
          <w:p>
            <w:pPr>
              <w:pStyle w:val="TableContents"/>
              <w:spacing w:before="0" w:after="283"/>
              <w:jc w:val="left"/>
              <w:rPr>
                <w:rFonts w:ascii="times new roman" w:hAnsi="times new roman"/>
                <w:b/>
                <w:sz w:val="20"/>
              </w:rPr>
            </w:pPr>
            <w:r>
              <w:rPr>
                <w:rFonts w:ascii="times new roman" w:hAnsi="times new roman"/>
                <w:b/>
                <w:sz w:val="20"/>
              </w:rPr>
              <w:t>First Quarter</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2,054</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119" w:type="dxa"/>
            <w:tcBorders/>
            <w:shd w:fill="CCFFCC"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right"/>
        <w:rPr/>
      </w:pPr>
      <w:r>
        <w:rPr/>
      </w:r>
      <w:bookmarkStart w:id="91" w:name="PGBRK7"/>
      <w:bookmarkStart w:id="92" w:name="PGBRK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93" w:name="FTR7"/>
      <w:bookmarkStart w:id="94" w:name="FTR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95" w:name="GLFTR7"/>
      <w:bookmarkStart w:id="96" w:name="GLFTR7"/>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7" w:name="PN7"/>
      <w:bookmarkStart w:id="98" w:name="PN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99" w:name="HDR7"/>
      <w:bookmarkStart w:id="100" w:name="HDR7"/>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01" w:name="GLHDR7"/>
      <w:bookmarkStart w:id="102" w:name="GLHDR7"/>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OIL-DRI CORPORATION OF AMERICA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left"/>
        <w:rPr>
          <w:rFonts w:ascii="Times New Roman" w:hAnsi="Times New Roman"/>
          <w:sz w:val="20"/>
        </w:rPr>
      </w:pPr>
      <w:r>
        <w:rPr>
          <w:rFonts w:ascii="Times New Roman" w:hAnsi="Times New Roman"/>
          <w:sz w:val="20"/>
        </w:rPr>
        <w:t>(in thousands)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509"/>
        <w:gridCol w:w="109"/>
        <w:gridCol w:w="125"/>
        <w:gridCol w:w="996"/>
        <w:gridCol w:w="114"/>
        <w:gridCol w:w="109"/>
        <w:gridCol w:w="125"/>
        <w:gridCol w:w="996"/>
        <w:gridCol w:w="122"/>
      </w:tblGrid>
      <w:tr>
        <w:trPr/>
        <w:tc>
          <w:tcPr>
            <w:tcW w:w="750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6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Twelve Months Ended</w:t>
            </w:r>
          </w:p>
        </w:tc>
        <w:tc>
          <w:tcPr>
            <w:tcW w:w="122" w:type="dxa"/>
            <w:tcBorders/>
            <w:shd w:fill="auto" w:val="clear"/>
            <w:vAlign w:val="bottom"/>
          </w:tcPr>
          <w:p>
            <w:pPr>
              <w:pStyle w:val="TableContents"/>
              <w:spacing w:before="0" w:after="283"/>
              <w:jc w:val="left"/>
              <w:rPr/>
            </w:pPr>
            <w:r>
              <w:rPr/>
              <w:t> </w:t>
            </w:r>
          </w:p>
        </w:tc>
      </w:tr>
      <w:tr>
        <w:trPr/>
        <w:tc>
          <w:tcPr>
            <w:tcW w:w="750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6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tc>
        <w:tc>
          <w:tcPr>
            <w:tcW w:w="122" w:type="dxa"/>
            <w:tcBorders/>
            <w:shd w:fill="auto"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9" w:type="dxa"/>
            <w:tcBorders/>
            <w:shd w:fill="FFFFFF" w:val="clear"/>
            <w:vAlign w:val="bottom"/>
          </w:tcPr>
          <w:p>
            <w:pPr>
              <w:pStyle w:val="TableContents"/>
              <w:spacing w:before="0" w:after="283"/>
              <w:rPr/>
            </w:pPr>
            <w:r>
              <w:rPr/>
              <w:t> </w:t>
            </w:r>
          </w:p>
        </w:tc>
        <w:tc>
          <w:tcPr>
            <w:tcW w:w="1121"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121"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121" w:type="dxa"/>
            <w:gridSpan w:val="2"/>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121" w:type="dxa"/>
            <w:gridSpan w:val="2"/>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2,519</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2,194</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Adjustments to reconcile net income to net cash</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provided by operating activities:</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Depreciation and Amortization</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(Increase) Decrease in Accounts Receivable</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(897</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3,486</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(Increase) Decrease in Inventories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1,397</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Increase (Decrease) in Accounts Payable</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(829</w:t>
            </w:r>
          </w:p>
        </w:tc>
        <w:tc>
          <w:tcPr>
            <w:tcW w:w="12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(Decrease) in Accrued Expenses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(2,830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(1,165</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Other</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Adjustments</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(2,983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5,445</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Net Cash (Used in) Provided by Operating Activities</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7,639</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Capital Expenditures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(1,638</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(1,327</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Net Dispositions (Purchases) of Investment Securities</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12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Other</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Net Cash Provided by (Used in) Investing Activities</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(2,323</w:t>
            </w:r>
          </w:p>
        </w:tc>
        <w:tc>
          <w:tcPr>
            <w:tcW w:w="12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Principal Payments on Long-Term Debt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Dividends Paid</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(1,043</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(995</w:t>
            </w:r>
          </w:p>
        </w:tc>
        <w:tc>
          <w:tcPr>
            <w:tcW w:w="122"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Purchase of Treasury Stock</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pPr>
            <w:r>
              <w:rPr/>
              <w:t>     </w:t>
            </w:r>
            <w:r>
              <w:rPr>
                <w:rFonts w:ascii="times new roman" w:hAnsi="times new roman"/>
                <w:b/>
                <w:sz w:val="20"/>
              </w:rPr>
              <w:t>Other</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Net Cash Used in Financing Activities</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(2,634</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9" w:type="dxa"/>
            <w:tcBorders/>
            <w:shd w:fill="CCFFCC" w:val="clear"/>
            <w:vAlign w:val="bottom"/>
          </w:tcPr>
          <w:p>
            <w:pPr>
              <w:pStyle w:val="TableContents"/>
              <w:spacing w:before="0" w:after="283"/>
              <w:rPr/>
            </w:pPr>
            <w:r>
              <w:rPr/>
              <w:t xml:space="preserve">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Effect of exchange rate changes on cash and cash equivalents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283"/>
              <w:rPr/>
            </w:pPr>
            <w:r>
              <w:rPr/>
              <w:t xml:space="preserve">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96" w:type="dxa"/>
            <w:tcBorders/>
            <w:shd w:fill="CCFFCC" w:val="clear"/>
            <w:vAlign w:val="bottom"/>
          </w:tcPr>
          <w:p>
            <w:pPr>
              <w:pStyle w:val="TableContents"/>
              <w:spacing w:before="0" w:after="283"/>
              <w:jc w:val="right"/>
              <w:rPr/>
            </w:pPr>
            <w:r>
              <w:rPr/>
              <w:t> </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(Decrease) Increase in Cash and Cash Equivalents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(2,663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4,189</w:t>
            </w:r>
          </w:p>
        </w:tc>
        <w:tc>
          <w:tcPr>
            <w:tcW w:w="122" w:type="dxa"/>
            <w:tcBorders/>
            <w:shd w:fill="FFFFFF" w:val="clear"/>
            <w:vAlign w:val="bottom"/>
          </w:tcPr>
          <w:p>
            <w:pPr>
              <w:pStyle w:val="TableContents"/>
              <w:spacing w:before="0" w:after="283"/>
              <w:jc w:val="left"/>
              <w:rPr/>
            </w:pPr>
            <w:r>
              <w:rPr/>
              <w:t> </w:t>
            </w:r>
          </w:p>
        </w:tc>
      </w:tr>
      <w:tr>
        <w:trPr/>
        <w:tc>
          <w:tcPr>
            <w:tcW w:w="7509"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18,762</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22" w:type="dxa"/>
            <w:tcBorders/>
            <w:shd w:fill="CCFFCC" w:val="clear"/>
            <w:vAlign w:val="bottom"/>
          </w:tcPr>
          <w:p>
            <w:pPr>
              <w:pStyle w:val="TableContents"/>
              <w:spacing w:before="0" w:after="283"/>
              <w:jc w:val="left"/>
              <w:rPr/>
            </w:pPr>
            <w:r>
              <w:rPr/>
              <w:t> </w:t>
            </w:r>
          </w:p>
        </w:tc>
      </w:tr>
      <w:tr>
        <w:trPr/>
        <w:tc>
          <w:tcPr>
            <w:tcW w:w="750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October 31</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16,099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16,028</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right"/>
        <w:rPr/>
      </w:pPr>
      <w:r>
        <w:rPr/>
      </w:r>
      <w:bookmarkStart w:id="103" w:name="PGBRK8"/>
      <w:bookmarkStart w:id="104" w:name="PGBRK8"/>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05" w:name="FTR8"/>
      <w:bookmarkStart w:id="106" w:name="FTR8"/>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07" w:name="GLFTR8"/>
      <w:bookmarkStart w:id="108" w:name="GLFTR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09" w:name="PN8"/>
      <w:bookmarkStart w:id="110" w:name="PN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11" w:name="HDR8"/>
      <w:bookmarkStart w:id="112" w:name="HDR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13" w:name="GLHDR8"/>
      <w:bookmarkStart w:id="114" w:name="GLHD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1974</Words>
  <CharactersWithSpaces>13365</CharactersWithSpaces>
  <Paragraphs>1212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