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8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Page 1 of 4</w:t>
      </w:r>
    </w:p>
    <w:p>
      <w:pPr>
        <w:spacing w:after="0" w:line="207" w:lineRule="exact"/>
        <w:rPr>
          <w:sz w:val="24"/>
          <w:szCs w:val="24"/>
          <w:color w:val="auto"/>
        </w:rPr>
      </w:pPr>
    </w:p>
    <w:p>
      <w:pPr>
        <w:jc w:val="center"/>
        <w:ind w:right="8859"/>
        <w:spacing w:after="0"/>
        <w:rPr>
          <w:sz w:val="20"/>
          <w:szCs w:val="20"/>
          <w:color w:val="auto"/>
        </w:rPr>
      </w:pPr>
      <w:r>
        <w:rPr>
          <w:rFonts w:ascii="Courier New" w:cs="Courier New" w:eastAsia="Courier New" w:hAnsi="Courier New"/>
          <w:sz w:val="16"/>
          <w:szCs w:val="16"/>
          <w:color w:val="auto"/>
        </w:rPr>
        <w:t>SCHEDULE 13G</w:t>
      </w:r>
    </w:p>
    <w:p>
      <w:pPr>
        <w:spacing w:after="0" w:line="16" w:lineRule="exact"/>
        <w:rPr>
          <w:sz w:val="24"/>
          <w:szCs w:val="24"/>
          <w:color w:val="auto"/>
        </w:rPr>
      </w:pPr>
    </w:p>
    <w:p>
      <w:pPr>
        <w:jc w:val="center"/>
        <w:ind w:right="8859"/>
        <w:spacing w:after="0"/>
        <w:rPr>
          <w:sz w:val="20"/>
          <w:szCs w:val="20"/>
          <w:color w:val="auto"/>
        </w:rPr>
      </w:pPr>
      <w:r>
        <w:rPr>
          <w:rFonts w:ascii="Courier New" w:cs="Courier New" w:eastAsia="Courier New" w:hAnsi="Courier New"/>
          <w:sz w:val="18"/>
          <w:szCs w:val="18"/>
          <w:color w:val="auto"/>
        </w:rPr>
        <w:t>(12/31/99)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OIL DRI CORP AMER</w:t>
      </w:r>
    </w:p>
    <w:p>
      <w:pPr>
        <w:spacing w:after="0" w:line="238" w:lineRule="auto"/>
        <w:rPr>
          <w:sz w:val="20"/>
          <w:szCs w:val="20"/>
          <w:color w:val="auto"/>
        </w:rPr>
      </w:pPr>
      <w:r>
        <w:rPr>
          <w:rFonts w:ascii="Courier New" w:cs="Courier New" w:eastAsia="Courier New" w:hAnsi="Courier New"/>
          <w:sz w:val="18"/>
          <w:szCs w:val="18"/>
          <w:color w:val="auto"/>
        </w:rPr>
        <w:t>Cusip # 677864100</w:t>
      </w:r>
    </w:p>
    <w:p>
      <w:pPr>
        <w:spacing w:after="0" w:line="238" w:lineRule="auto"/>
        <w:rPr>
          <w:sz w:val="20"/>
          <w:szCs w:val="20"/>
          <w:color w:val="auto"/>
        </w:rPr>
      </w:pPr>
      <w:r>
        <w:rPr>
          <w:rFonts w:ascii="Courier New" w:cs="Courier New" w:eastAsia="Courier New" w:hAnsi="Courier New"/>
          <w:sz w:val="18"/>
          <w:szCs w:val="18"/>
          <w:color w:val="auto"/>
        </w:rPr>
        <w:t>Amendment</w:t>
      </w:r>
    </w:p>
    <w:p>
      <w:pPr>
        <w:spacing w:after="0" w:line="202"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9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Page 2 of 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677864100</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54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5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w:t>
            </w:r>
          </w:p>
        </w:tc>
        <w:tc>
          <w:tcPr>
            <w:tcW w:w="2060" w:type="dxa"/>
            <w:vAlign w:val="bottom"/>
          </w:tcPr>
          <w:p>
            <w:pPr>
              <w:ind w:left="220"/>
              <w:spacing w:after="0"/>
              <w:rPr>
                <w:sz w:val="20"/>
                <w:szCs w:val="20"/>
                <w:color w:val="auto"/>
              </w:rPr>
            </w:pPr>
            <w:r>
              <w:rPr>
                <w:rFonts w:ascii="Courier New" w:cs="Courier New" w:eastAsia="Courier New" w:hAnsi="Courier New"/>
                <w:sz w:val="18"/>
                <w:szCs w:val="18"/>
                <w:color w:val="auto"/>
                <w:w w:val="99"/>
              </w:rPr>
              <w:t>REPORTING PERSONS</w:t>
            </w:r>
          </w:p>
        </w:tc>
        <w:tc>
          <w:tcPr>
            <w:tcW w:w="3520" w:type="dxa"/>
            <w:vAlign w:val="bottom"/>
          </w:tcPr>
          <w:p>
            <w:pPr>
              <w:spacing w:after="0"/>
              <w:rPr>
                <w:sz w:val="17"/>
                <w:szCs w:val="17"/>
                <w:color w:val="auto"/>
              </w:rPr>
            </w:pPr>
          </w:p>
        </w:tc>
      </w:tr>
      <w:tr>
        <w:trPr>
          <w:trHeight w:val="202"/>
        </w:trPr>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5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6"/>
              </w:rPr>
              <w:t>Dimensional Fund Advisors Inc. (Tax ID: 22-2370029)</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5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4:</w:t>
            </w:r>
          </w:p>
        </w:tc>
        <w:tc>
          <w:tcPr>
            <w:tcW w:w="2060" w:type="dxa"/>
            <w:vAlign w:val="bottom"/>
          </w:tcPr>
          <w:p>
            <w:pPr>
              <w:ind w:left="220"/>
              <w:spacing w:after="0"/>
              <w:rPr>
                <w:sz w:val="20"/>
                <w:szCs w:val="20"/>
                <w:color w:val="auto"/>
              </w:rPr>
            </w:pPr>
            <w:r>
              <w:rPr>
                <w:rFonts w:ascii="Courier New" w:cs="Courier New" w:eastAsia="Courier New" w:hAnsi="Courier New"/>
                <w:sz w:val="18"/>
                <w:szCs w:val="18"/>
                <w:color w:val="auto"/>
              </w:rPr>
              <w:t>CITIZENSHIP</w:t>
            </w:r>
          </w:p>
        </w:tc>
        <w:tc>
          <w:tcPr>
            <w:tcW w:w="3520" w:type="dxa"/>
            <w:vAlign w:val="bottom"/>
          </w:tcPr>
          <w:p>
            <w:pPr>
              <w:spacing w:after="0"/>
              <w:rPr>
                <w:sz w:val="24"/>
                <w:szCs w:val="24"/>
                <w:color w:val="auto"/>
              </w:rPr>
            </w:pPr>
          </w:p>
        </w:tc>
      </w:tr>
      <w:tr>
        <w:trPr>
          <w:trHeight w:val="203"/>
        </w:trPr>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5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Delaware Corporation</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5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5:</w:t>
            </w:r>
          </w:p>
        </w:tc>
        <w:tc>
          <w:tcPr>
            <w:tcW w:w="2060" w:type="dxa"/>
            <w:vAlign w:val="bottom"/>
          </w:tcPr>
          <w:p>
            <w:pPr>
              <w:ind w:left="220"/>
              <w:spacing w:after="0"/>
              <w:rPr>
                <w:sz w:val="20"/>
                <w:szCs w:val="20"/>
                <w:color w:val="auto"/>
              </w:rPr>
            </w:pPr>
            <w:r>
              <w:rPr>
                <w:rFonts w:ascii="Courier New" w:cs="Courier New" w:eastAsia="Courier New" w:hAnsi="Courier New"/>
                <w:sz w:val="18"/>
                <w:szCs w:val="18"/>
                <w:color w:val="auto"/>
                <w:w w:val="99"/>
              </w:rPr>
              <w:t>SOLE VOTING POWER</w:t>
            </w:r>
          </w:p>
        </w:tc>
        <w:tc>
          <w:tcPr>
            <w:tcW w:w="3520" w:type="dxa"/>
            <w:vAlign w:val="bottom"/>
          </w:tcPr>
          <w:p>
            <w:pPr>
              <w:spacing w:after="0"/>
              <w:rPr>
                <w:sz w:val="24"/>
                <w:szCs w:val="24"/>
                <w:color w:val="auto"/>
              </w:rPr>
            </w:pPr>
          </w:p>
        </w:tc>
      </w:tr>
      <w:tr>
        <w:trPr>
          <w:trHeight w:val="203"/>
        </w:trPr>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331,700</w:t>
            </w:r>
          </w:p>
        </w:tc>
        <w:tc>
          <w:tcPr>
            <w:tcW w:w="3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 see Note 1 **</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5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6:</w:t>
            </w:r>
          </w:p>
        </w:tc>
        <w:tc>
          <w:tcPr>
            <w:tcW w:w="55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SHARED VOTING POWER --</w:t>
            </w:r>
          </w:p>
        </w:tc>
      </w:tr>
      <w:tr>
        <w:trPr>
          <w:trHeight w:val="203"/>
        </w:trPr>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None</w:t>
            </w:r>
          </w:p>
        </w:tc>
        <w:tc>
          <w:tcPr>
            <w:tcW w:w="3520" w:type="dxa"/>
            <w:vAlign w:val="bottom"/>
          </w:tcPr>
          <w:p>
            <w:pPr>
              <w:spacing w:after="0"/>
              <w:rPr>
                <w:sz w:val="17"/>
                <w:szCs w:val="17"/>
                <w:color w:val="auto"/>
              </w:rPr>
            </w:pP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5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7:</w:t>
            </w:r>
          </w:p>
        </w:tc>
        <w:tc>
          <w:tcPr>
            <w:tcW w:w="55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SOLE DISPOSITIVE POWER --</w:t>
            </w:r>
          </w:p>
        </w:tc>
      </w:tr>
      <w:tr>
        <w:trPr>
          <w:trHeight w:val="203"/>
        </w:trPr>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331,700</w:t>
            </w:r>
          </w:p>
        </w:tc>
        <w:tc>
          <w:tcPr>
            <w:tcW w:w="3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 see Note 1 **</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5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8:</w:t>
            </w:r>
          </w:p>
        </w:tc>
        <w:tc>
          <w:tcPr>
            <w:tcW w:w="55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SHARED DISPOSITIVE POWER --</w:t>
            </w:r>
          </w:p>
        </w:tc>
      </w:tr>
      <w:tr>
        <w:trPr>
          <w:trHeight w:val="203"/>
        </w:trPr>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0</w:t>
            </w:r>
          </w:p>
        </w:tc>
        <w:tc>
          <w:tcPr>
            <w:tcW w:w="3520" w:type="dxa"/>
            <w:vAlign w:val="bottom"/>
          </w:tcPr>
          <w:p>
            <w:pPr>
              <w:spacing w:after="0"/>
              <w:rPr>
                <w:sz w:val="17"/>
                <w:szCs w:val="17"/>
                <w:color w:val="auto"/>
              </w:rPr>
            </w:pP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5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9:</w:t>
            </w:r>
          </w:p>
        </w:tc>
        <w:tc>
          <w:tcPr>
            <w:tcW w:w="55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AGGREGATE AMOUNT BENEFICIALLY OWNED --</w:t>
            </w:r>
          </w:p>
        </w:tc>
      </w:tr>
      <w:tr>
        <w:trPr>
          <w:trHeight w:val="203"/>
        </w:trPr>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331,700</w:t>
            </w:r>
          </w:p>
        </w:tc>
        <w:tc>
          <w:tcPr>
            <w:tcW w:w="3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 see Note 1 **</w:t>
            </w:r>
          </w:p>
        </w:tc>
      </w:tr>
      <w:tr>
        <w:trPr>
          <w:trHeight w:val="405"/>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rPr>
              <w:t>Item 11:</w:t>
            </w:r>
          </w:p>
        </w:tc>
        <w:tc>
          <w:tcPr>
            <w:tcW w:w="55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PERCENT OF CLASS REPRESENTED BY LINE 9 --</w:t>
            </w:r>
          </w:p>
        </w:tc>
      </w:tr>
      <w:tr>
        <w:trPr>
          <w:trHeight w:val="203"/>
        </w:trPr>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7.44</w:t>
            </w:r>
          </w:p>
        </w:tc>
        <w:tc>
          <w:tcPr>
            <w:tcW w:w="3520" w:type="dxa"/>
            <w:vAlign w:val="bottom"/>
          </w:tcPr>
          <w:p>
            <w:pPr>
              <w:spacing w:after="0"/>
              <w:rPr>
                <w:sz w:val="17"/>
                <w:szCs w:val="17"/>
                <w:color w:val="auto"/>
              </w:rPr>
            </w:pPr>
          </w:p>
        </w:tc>
      </w:tr>
      <w:tr>
        <w:trPr>
          <w:trHeight w:val="405"/>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rPr>
              <w:t>Item 12:</w:t>
            </w:r>
          </w:p>
        </w:tc>
        <w:tc>
          <w:tcPr>
            <w:tcW w:w="55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TYPE OF REPORTING PERSON --</w:t>
            </w:r>
          </w:p>
        </w:tc>
      </w:tr>
      <w:tr>
        <w:trPr>
          <w:trHeight w:val="203"/>
        </w:trPr>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IA</w:t>
            </w:r>
          </w:p>
        </w:tc>
        <w:tc>
          <w:tcPr>
            <w:tcW w:w="3520" w:type="dxa"/>
            <w:vAlign w:val="bottom"/>
          </w:tcPr>
          <w:p>
            <w:pPr>
              <w:spacing w:after="0"/>
              <w:rPr>
                <w:sz w:val="17"/>
                <w:szCs w:val="17"/>
                <w:color w:val="auto"/>
              </w:rPr>
            </w:pPr>
          </w:p>
        </w:tc>
      </w:tr>
    </w:tbl>
    <w:p>
      <w:pPr>
        <w:spacing w:after="0" w:line="207"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Page 3 of 4</w:t>
      </w:r>
    </w:p>
    <w:p>
      <w:pPr>
        <w:spacing w:after="0" w:line="201"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OIL DRI CORP AMER</w:t>
      </w:r>
    </w:p>
    <w:p>
      <w:pPr>
        <w:spacing w:after="0" w:line="201"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w:t>
      </w: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410 North Michigan Avenue</w:t>
      </w:r>
    </w:p>
    <w:p>
      <w:pPr>
        <w:ind w:left="1280"/>
        <w:spacing w:after="0" w:line="238" w:lineRule="auto"/>
        <w:rPr>
          <w:sz w:val="20"/>
          <w:szCs w:val="20"/>
          <w:color w:val="auto"/>
        </w:rPr>
      </w:pPr>
      <w:r>
        <w:rPr>
          <w:rFonts w:ascii="Courier New" w:cs="Courier New" w:eastAsia="Courier New" w:hAnsi="Courier New"/>
          <w:sz w:val="18"/>
          <w:szCs w:val="18"/>
          <w:color w:val="auto"/>
        </w:rPr>
        <w:t>Suite 400</w:t>
      </w:r>
    </w:p>
    <w:p>
      <w:pPr>
        <w:ind w:left="1280"/>
        <w:spacing w:after="0"/>
        <w:tabs>
          <w:tab w:leader="none" w:pos="2620" w:val="left"/>
        </w:tabs>
        <w:rPr>
          <w:sz w:val="20"/>
          <w:szCs w:val="20"/>
          <w:color w:val="auto"/>
        </w:rPr>
      </w:pPr>
      <w:r>
        <w:rPr>
          <w:rFonts w:ascii="Courier New" w:cs="Courier New" w:eastAsia="Courier New" w:hAnsi="Courier New"/>
          <w:sz w:val="18"/>
          <w:szCs w:val="18"/>
          <w:color w:val="auto"/>
        </w:rPr>
        <w:t>Chicago, IL</w:t>
      </w:r>
      <w:r>
        <w:rPr>
          <w:sz w:val="20"/>
          <w:szCs w:val="20"/>
          <w:color w:val="auto"/>
        </w:rPr>
        <w:tab/>
      </w:r>
      <w:r>
        <w:rPr>
          <w:rFonts w:ascii="Courier New" w:cs="Courier New" w:eastAsia="Courier New" w:hAnsi="Courier New"/>
          <w:sz w:val="16"/>
          <w:szCs w:val="16"/>
          <w:color w:val="auto"/>
        </w:rPr>
        <w:t>60611</w:t>
      </w:r>
    </w:p>
    <w:p>
      <w:pPr>
        <w:spacing w:after="0" w:line="202"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jc w:val="center"/>
        <w:ind w:right="4959"/>
        <w:spacing w:after="0"/>
        <w:rPr>
          <w:sz w:val="20"/>
          <w:szCs w:val="20"/>
          <w:color w:val="auto"/>
        </w:rPr>
      </w:pPr>
      <w:r>
        <w:rPr>
          <w:rFonts w:ascii="Courier New" w:cs="Courier New" w:eastAsia="Courier New" w:hAnsi="Courier New"/>
          <w:sz w:val="18"/>
          <w:szCs w:val="18"/>
          <w:color w:val="auto"/>
        </w:rPr>
        <w:t>Dimensional Fund Advisors</w:t>
      </w:r>
    </w:p>
    <w:p>
      <w:pPr>
        <w:spacing w:after="0" w:line="201"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w:t>
      </w:r>
    </w:p>
    <w:p>
      <w:pPr>
        <w:spacing w:after="0" w:line="201" w:lineRule="exact"/>
        <w:rPr>
          <w:sz w:val="24"/>
          <w:szCs w:val="24"/>
          <w:color w:val="auto"/>
        </w:rPr>
      </w:pPr>
    </w:p>
    <w:p>
      <w:pPr>
        <w:ind w:left="1280"/>
        <w:spacing w:after="0"/>
        <w:tabs>
          <w:tab w:leader="none" w:pos="6420" w:val="left"/>
        </w:tabs>
        <w:rPr>
          <w:sz w:val="20"/>
          <w:szCs w:val="20"/>
          <w:color w:val="auto"/>
        </w:rPr>
      </w:pPr>
      <w:r>
        <w:rPr>
          <w:rFonts w:ascii="Courier New" w:cs="Courier New" w:eastAsia="Courier New" w:hAnsi="Courier New"/>
          <w:sz w:val="18"/>
          <w:szCs w:val="18"/>
          <w:color w:val="auto"/>
        </w:rPr>
        <w:t>1299 Ocean Avenue, 11th Floor, Santa Monica, CA</w:t>
      </w:r>
      <w:r>
        <w:rPr>
          <w:sz w:val="20"/>
          <w:szCs w:val="20"/>
          <w:color w:val="auto"/>
        </w:rPr>
        <w:tab/>
      </w:r>
      <w:r>
        <w:rPr>
          <w:rFonts w:ascii="Courier New" w:cs="Courier New" w:eastAsia="Courier New" w:hAnsi="Courier New"/>
          <w:sz w:val="16"/>
          <w:szCs w:val="16"/>
          <w:color w:val="auto"/>
        </w:rPr>
        <w:t>90401</w:t>
      </w:r>
    </w:p>
    <w:p>
      <w:pPr>
        <w:spacing w:after="0" w:line="201"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A Delaware Corporation</w:t>
      </w:r>
    </w:p>
    <w:p>
      <w:pPr>
        <w:spacing w:after="0" w:line="201"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677864100</w:t>
      </w:r>
    </w:p>
    <w:p>
      <w:pPr>
        <w:spacing w:after="0" w:line="207" w:lineRule="exact"/>
        <w:rPr>
          <w:sz w:val="24"/>
          <w:szCs w:val="24"/>
          <w:color w:val="auto"/>
        </w:rPr>
      </w:pPr>
    </w:p>
    <w:p>
      <w:pPr>
        <w:ind w:left="1280" w:right="2979" w:hanging="1263"/>
        <w:spacing w:after="0" w:line="237" w:lineRule="auto"/>
        <w:tabs>
          <w:tab w:leader="none" w:pos="12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8"/>
          <w:szCs w:val="18"/>
          <w:color w:val="auto"/>
        </w:rPr>
        <w:t>This statement is filed pursuant to Rule 13d-1 (b), or 13d-2 (b) and the person filing is an investment advisor registered under section 203 of the Investment Advisors Act of 1940.</w:t>
      </w:r>
    </w:p>
    <w:p>
      <w:pPr>
        <w:sectPr>
          <w:pgSz w:w="11900" w:h="16838" w:orient="portrait"/>
          <w:cols w:equalWidth="0" w:num="1">
            <w:col w:w="10139"/>
          </w:cols>
          <w:pgMar w:left="320" w:top="447" w:right="1440" w:bottom="0" w:gutter="0" w:footer="0" w:header="0"/>
        </w:sectPr>
      </w:pPr>
    </w:p>
    <w:bookmarkStart w:id="1" w:name="page2"/>
    <w:bookmarkEnd w:id="1"/>
    <w:p>
      <w:pPr>
        <w:ind w:left="220" w:hanging="212"/>
        <w:spacing w:after="0"/>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Page 4 of 4</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2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2260" w:type="dxa"/>
            <w:vAlign w:val="bottom"/>
          </w:tcPr>
          <w:p>
            <w:pPr>
              <w:ind w:left="60"/>
              <w:spacing w:after="0"/>
              <w:rPr>
                <w:sz w:val="20"/>
                <w:szCs w:val="20"/>
                <w:color w:val="auto"/>
              </w:rPr>
            </w:pPr>
            <w:r>
              <w:rPr>
                <w:rFonts w:ascii="Courier New" w:cs="Courier New" w:eastAsia="Courier New" w:hAnsi="Courier New"/>
                <w:sz w:val="18"/>
                <w:szCs w:val="18"/>
                <w:color w:val="auto"/>
              </w:rPr>
              <w:t>OWNERSHIP</w:t>
            </w:r>
          </w:p>
        </w:tc>
        <w:tc>
          <w:tcPr>
            <w:tcW w:w="1520" w:type="dxa"/>
            <w:vAlign w:val="bottom"/>
          </w:tcPr>
          <w:p>
            <w:pPr>
              <w:spacing w:after="0"/>
              <w:rPr>
                <w:sz w:val="17"/>
                <w:szCs w:val="17"/>
                <w:color w:val="auto"/>
              </w:rPr>
            </w:pPr>
          </w:p>
        </w:tc>
        <w:tc>
          <w:tcPr>
            <w:tcW w:w="3120" w:type="dxa"/>
            <w:vAlign w:val="bottom"/>
          </w:tcPr>
          <w:p>
            <w:pPr>
              <w:spacing w:after="0"/>
              <w:rPr>
                <w:sz w:val="17"/>
                <w:szCs w:val="17"/>
                <w:color w:val="auto"/>
              </w:rPr>
            </w:pPr>
          </w:p>
        </w:tc>
      </w:tr>
      <w:tr>
        <w:trPr>
          <w:trHeight w:val="202"/>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4(a).</w:t>
            </w:r>
          </w:p>
        </w:tc>
        <w:tc>
          <w:tcPr>
            <w:tcW w:w="37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AMOUNT BENEFICIALLY OWNED</w:t>
            </w:r>
          </w:p>
        </w:tc>
        <w:tc>
          <w:tcPr>
            <w:tcW w:w="3120" w:type="dxa"/>
            <w:vAlign w:val="bottom"/>
          </w:tcPr>
          <w:p>
            <w:pPr>
              <w:spacing w:after="0"/>
              <w:rPr>
                <w:sz w:val="17"/>
                <w:szCs w:val="17"/>
                <w:color w:val="auto"/>
              </w:rPr>
            </w:pPr>
          </w:p>
        </w:tc>
      </w:tr>
      <w:tr>
        <w:trPr>
          <w:trHeight w:val="203"/>
        </w:trPr>
        <w:tc>
          <w:tcPr>
            <w:tcW w:w="1220" w:type="dxa"/>
            <w:vAlign w:val="bottom"/>
          </w:tcPr>
          <w:p>
            <w:pPr>
              <w:spacing w:after="0"/>
              <w:rPr>
                <w:sz w:val="17"/>
                <w:szCs w:val="17"/>
                <w:color w:val="auto"/>
              </w:rPr>
            </w:pPr>
          </w:p>
        </w:tc>
        <w:tc>
          <w:tcPr>
            <w:tcW w:w="22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331,700</w:t>
            </w:r>
          </w:p>
        </w:tc>
        <w:tc>
          <w:tcPr>
            <w:tcW w:w="4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see Note 1 **</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4(b).</w:t>
            </w:r>
          </w:p>
        </w:tc>
        <w:tc>
          <w:tcPr>
            <w:tcW w:w="2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PERCENT OF CLASS</w:t>
            </w:r>
          </w:p>
        </w:tc>
        <w:tc>
          <w:tcPr>
            <w:tcW w:w="1520" w:type="dxa"/>
            <w:vAlign w:val="bottom"/>
          </w:tcPr>
          <w:p>
            <w:pPr>
              <w:spacing w:after="0"/>
              <w:rPr>
                <w:sz w:val="17"/>
                <w:szCs w:val="17"/>
                <w:color w:val="auto"/>
              </w:rPr>
            </w:pPr>
          </w:p>
        </w:tc>
        <w:tc>
          <w:tcPr>
            <w:tcW w:w="3120" w:type="dxa"/>
            <w:vAlign w:val="bottom"/>
          </w:tcPr>
          <w:p>
            <w:pPr>
              <w:spacing w:after="0"/>
              <w:rPr>
                <w:sz w:val="17"/>
                <w:szCs w:val="17"/>
                <w:color w:val="auto"/>
              </w:rPr>
            </w:pPr>
          </w:p>
        </w:tc>
      </w:tr>
      <w:tr>
        <w:trPr>
          <w:trHeight w:val="203"/>
        </w:trPr>
        <w:tc>
          <w:tcPr>
            <w:tcW w:w="1220" w:type="dxa"/>
            <w:vAlign w:val="bottom"/>
          </w:tcPr>
          <w:p>
            <w:pPr>
              <w:spacing w:after="0"/>
              <w:rPr>
                <w:sz w:val="17"/>
                <w:szCs w:val="17"/>
                <w:color w:val="auto"/>
              </w:rPr>
            </w:pPr>
          </w:p>
        </w:tc>
        <w:tc>
          <w:tcPr>
            <w:tcW w:w="2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7.44</w:t>
            </w:r>
          </w:p>
        </w:tc>
        <w:tc>
          <w:tcPr>
            <w:tcW w:w="1520" w:type="dxa"/>
            <w:vAlign w:val="bottom"/>
          </w:tcPr>
          <w:p>
            <w:pPr>
              <w:spacing w:after="0"/>
              <w:rPr>
                <w:sz w:val="17"/>
                <w:szCs w:val="17"/>
                <w:color w:val="auto"/>
              </w:rPr>
            </w:pPr>
          </w:p>
        </w:tc>
        <w:tc>
          <w:tcPr>
            <w:tcW w:w="3120" w:type="dxa"/>
            <w:vAlign w:val="bottom"/>
          </w:tcPr>
          <w:p>
            <w:pPr>
              <w:spacing w:after="0"/>
              <w:rPr>
                <w:sz w:val="17"/>
                <w:szCs w:val="17"/>
                <w:color w:val="auto"/>
              </w:rPr>
            </w:pP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4(c).</w:t>
            </w:r>
          </w:p>
        </w:tc>
        <w:tc>
          <w:tcPr>
            <w:tcW w:w="69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NUMBER OF SHARE AS TO WHICH SUCH PERSON HAS:</w:t>
            </w:r>
          </w:p>
        </w:tc>
      </w:tr>
      <w:tr>
        <w:trPr>
          <w:trHeight w:val="203"/>
        </w:trPr>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(i).</w:t>
            </w:r>
          </w:p>
        </w:tc>
        <w:tc>
          <w:tcPr>
            <w:tcW w:w="69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SOLE POWER TO VOTE OR DIRECT THE VOTE --</w:t>
            </w:r>
          </w:p>
        </w:tc>
      </w:tr>
      <w:tr>
        <w:trPr>
          <w:trHeight w:val="203"/>
        </w:trPr>
        <w:tc>
          <w:tcPr>
            <w:tcW w:w="1220" w:type="dxa"/>
            <w:vAlign w:val="bottom"/>
          </w:tcPr>
          <w:p>
            <w:pPr>
              <w:spacing w:after="0"/>
              <w:rPr>
                <w:sz w:val="17"/>
                <w:szCs w:val="17"/>
                <w:color w:val="auto"/>
              </w:rPr>
            </w:pPr>
          </w:p>
        </w:tc>
        <w:tc>
          <w:tcPr>
            <w:tcW w:w="22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331,700</w:t>
            </w:r>
          </w:p>
        </w:tc>
        <w:tc>
          <w:tcPr>
            <w:tcW w:w="4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see Note 1 **</w:t>
            </w:r>
          </w:p>
        </w:tc>
      </w:tr>
      <w:tr>
        <w:trPr>
          <w:trHeight w:val="203"/>
        </w:trPr>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(ii).</w:t>
            </w:r>
          </w:p>
        </w:tc>
        <w:tc>
          <w:tcPr>
            <w:tcW w:w="69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SHARED POWER TO VOTE OR TO DIRECT THE VOTE --</w:t>
            </w:r>
          </w:p>
        </w:tc>
      </w:tr>
      <w:tr>
        <w:trPr>
          <w:trHeight w:val="203"/>
        </w:trPr>
        <w:tc>
          <w:tcPr>
            <w:tcW w:w="1220" w:type="dxa"/>
            <w:vAlign w:val="bottom"/>
          </w:tcPr>
          <w:p>
            <w:pPr>
              <w:spacing w:after="0"/>
              <w:rPr>
                <w:sz w:val="17"/>
                <w:szCs w:val="17"/>
                <w:color w:val="auto"/>
              </w:rPr>
            </w:pPr>
          </w:p>
        </w:tc>
        <w:tc>
          <w:tcPr>
            <w:tcW w:w="2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None</w:t>
            </w:r>
          </w:p>
        </w:tc>
        <w:tc>
          <w:tcPr>
            <w:tcW w:w="1520" w:type="dxa"/>
            <w:vAlign w:val="bottom"/>
          </w:tcPr>
          <w:p>
            <w:pPr>
              <w:spacing w:after="0"/>
              <w:rPr>
                <w:sz w:val="17"/>
                <w:szCs w:val="17"/>
                <w:color w:val="auto"/>
              </w:rPr>
            </w:pPr>
          </w:p>
        </w:tc>
        <w:tc>
          <w:tcPr>
            <w:tcW w:w="3120" w:type="dxa"/>
            <w:vAlign w:val="bottom"/>
          </w:tcPr>
          <w:p>
            <w:pPr>
              <w:spacing w:after="0"/>
              <w:rPr>
                <w:sz w:val="17"/>
                <w:szCs w:val="17"/>
                <w:color w:val="auto"/>
              </w:rPr>
            </w:pPr>
          </w:p>
        </w:tc>
      </w:tr>
      <w:tr>
        <w:trPr>
          <w:trHeight w:val="203"/>
        </w:trPr>
        <w:tc>
          <w:tcPr>
            <w:tcW w:w="1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(iii).</w:t>
            </w:r>
          </w:p>
        </w:tc>
        <w:tc>
          <w:tcPr>
            <w:tcW w:w="69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SOLE POWER TO DISPOSE OR TO DIRECT DISPOSITION OF --</w:t>
            </w:r>
          </w:p>
        </w:tc>
      </w:tr>
      <w:tr>
        <w:trPr>
          <w:trHeight w:val="203"/>
        </w:trPr>
        <w:tc>
          <w:tcPr>
            <w:tcW w:w="1220" w:type="dxa"/>
            <w:vAlign w:val="bottom"/>
          </w:tcPr>
          <w:p>
            <w:pPr>
              <w:spacing w:after="0"/>
              <w:rPr>
                <w:sz w:val="17"/>
                <w:szCs w:val="17"/>
                <w:color w:val="auto"/>
              </w:rPr>
            </w:pPr>
          </w:p>
        </w:tc>
        <w:tc>
          <w:tcPr>
            <w:tcW w:w="22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331,700</w:t>
            </w:r>
          </w:p>
        </w:tc>
        <w:tc>
          <w:tcPr>
            <w:tcW w:w="4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see Note 1 **</w:t>
            </w:r>
          </w:p>
        </w:tc>
      </w:tr>
      <w:tr>
        <w:trPr>
          <w:trHeight w:val="203"/>
        </w:trPr>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(iv).</w:t>
            </w:r>
          </w:p>
        </w:tc>
        <w:tc>
          <w:tcPr>
            <w:tcW w:w="69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SHARE POWER TO DISPOSE OR TO DIRECT DISPOSISTION OF --</w:t>
            </w:r>
          </w:p>
        </w:tc>
      </w:tr>
      <w:tr>
        <w:trPr>
          <w:trHeight w:val="203"/>
        </w:trPr>
        <w:tc>
          <w:tcPr>
            <w:tcW w:w="1220" w:type="dxa"/>
            <w:vAlign w:val="bottom"/>
          </w:tcPr>
          <w:p>
            <w:pPr>
              <w:spacing w:after="0"/>
              <w:rPr>
                <w:sz w:val="17"/>
                <w:szCs w:val="17"/>
                <w:color w:val="auto"/>
              </w:rPr>
            </w:pPr>
          </w:p>
        </w:tc>
        <w:tc>
          <w:tcPr>
            <w:tcW w:w="2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None</w:t>
            </w:r>
          </w:p>
        </w:tc>
        <w:tc>
          <w:tcPr>
            <w:tcW w:w="1520" w:type="dxa"/>
            <w:vAlign w:val="bottom"/>
          </w:tcPr>
          <w:p>
            <w:pPr>
              <w:spacing w:after="0"/>
              <w:rPr>
                <w:sz w:val="17"/>
                <w:szCs w:val="17"/>
                <w:color w:val="auto"/>
              </w:rPr>
            </w:pPr>
          </w:p>
        </w:tc>
        <w:tc>
          <w:tcPr>
            <w:tcW w:w="3120" w:type="dxa"/>
            <w:vAlign w:val="bottom"/>
          </w:tcPr>
          <w:p>
            <w:pPr>
              <w:spacing w:after="0"/>
              <w:rPr>
                <w:sz w:val="17"/>
                <w:szCs w:val="17"/>
                <w:color w:val="auto"/>
              </w:rPr>
            </w:pPr>
          </w:p>
        </w:tc>
      </w:tr>
      <w:tr>
        <w:trPr>
          <w:trHeight w:val="405"/>
        </w:trPr>
        <w:tc>
          <w:tcPr>
            <w:tcW w:w="1220" w:type="dxa"/>
            <w:vAlign w:val="bottom"/>
          </w:tcPr>
          <w:p>
            <w:pPr>
              <w:ind w:left="420"/>
              <w:spacing w:after="0"/>
              <w:rPr>
                <w:sz w:val="20"/>
                <w:szCs w:val="20"/>
                <w:color w:val="auto"/>
              </w:rPr>
            </w:pPr>
            <w:r>
              <w:rPr>
                <w:rFonts w:ascii="Courier New" w:cs="Courier New" w:eastAsia="Courier New" w:hAnsi="Courier New"/>
                <w:sz w:val="18"/>
                <w:szCs w:val="18"/>
                <w:color w:val="auto"/>
              </w:rPr>
              <w:t>** Note</w:t>
            </w:r>
          </w:p>
        </w:tc>
        <w:tc>
          <w:tcPr>
            <w:tcW w:w="2260" w:type="dxa"/>
            <w:vAlign w:val="bottom"/>
          </w:tcPr>
          <w:p>
            <w:pPr>
              <w:ind w:left="60"/>
              <w:spacing w:after="0"/>
              <w:rPr>
                <w:sz w:val="20"/>
                <w:szCs w:val="20"/>
                <w:color w:val="auto"/>
              </w:rPr>
            </w:pPr>
            <w:r>
              <w:rPr>
                <w:rFonts w:ascii="Courier New" w:cs="Courier New" w:eastAsia="Courier New" w:hAnsi="Courier New"/>
                <w:sz w:val="18"/>
                <w:szCs w:val="18"/>
                <w:color w:val="auto"/>
              </w:rPr>
              <w:t>1 **</w:t>
            </w:r>
          </w:p>
        </w:tc>
        <w:tc>
          <w:tcPr>
            <w:tcW w:w="152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203"/>
        </w:trPr>
        <w:tc>
          <w:tcPr>
            <w:tcW w:w="8120" w:type="dxa"/>
            <w:vAlign w:val="bottom"/>
            <w:gridSpan w:val="4"/>
          </w:tcPr>
          <w:p>
            <w:pPr>
              <w:ind w:left="420"/>
              <w:spacing w:after="0" w:line="203" w:lineRule="exact"/>
              <w:rPr>
                <w:sz w:val="20"/>
                <w:szCs w:val="20"/>
                <w:color w:val="auto"/>
              </w:rPr>
            </w:pPr>
            <w:r>
              <w:rPr>
                <w:rFonts w:ascii="Courier New" w:cs="Courier New" w:eastAsia="Courier New" w:hAnsi="Courier New"/>
                <w:sz w:val="18"/>
                <w:szCs w:val="18"/>
                <w:color w:val="auto"/>
              </w:rPr>
              <w:t>Dimensional Fund Advisors Inc. ("Dimensional"), an investment advisor</w:t>
            </w:r>
          </w:p>
        </w:tc>
      </w:tr>
      <w:tr>
        <w:trPr>
          <w:trHeight w:val="203"/>
        </w:trPr>
        <w:tc>
          <w:tcPr>
            <w:tcW w:w="8120" w:type="dxa"/>
            <w:vAlign w:val="bottom"/>
            <w:gridSpan w:val="4"/>
          </w:tcPr>
          <w:p>
            <w:pPr>
              <w:ind w:left="420"/>
              <w:spacing w:after="0" w:line="203" w:lineRule="exact"/>
              <w:rPr>
                <w:sz w:val="20"/>
                <w:szCs w:val="20"/>
                <w:color w:val="auto"/>
              </w:rPr>
            </w:pPr>
            <w:r>
              <w:rPr>
                <w:rFonts w:ascii="Courier New" w:cs="Courier New" w:eastAsia="Courier New" w:hAnsi="Courier New"/>
                <w:sz w:val="18"/>
                <w:szCs w:val="18"/>
                <w:color w:val="auto"/>
              </w:rPr>
              <w:t>registered under Section 203 of the Investment Advisors Act of 1940,</w:t>
            </w:r>
          </w:p>
        </w:tc>
      </w:tr>
      <w:tr>
        <w:trPr>
          <w:trHeight w:val="203"/>
        </w:trPr>
        <w:tc>
          <w:tcPr>
            <w:tcW w:w="8120" w:type="dxa"/>
            <w:vAlign w:val="bottom"/>
            <w:gridSpan w:val="4"/>
          </w:tcPr>
          <w:p>
            <w:pPr>
              <w:ind w:left="420"/>
              <w:spacing w:after="0" w:line="203" w:lineRule="exact"/>
              <w:rPr>
                <w:sz w:val="20"/>
                <w:szCs w:val="20"/>
                <w:color w:val="auto"/>
              </w:rPr>
            </w:pPr>
            <w:r>
              <w:rPr>
                <w:rFonts w:ascii="Courier New" w:cs="Courier New" w:eastAsia="Courier New" w:hAnsi="Courier New"/>
                <w:sz w:val="18"/>
                <w:szCs w:val="18"/>
                <w:color w:val="auto"/>
              </w:rPr>
              <w:t>furnishes investment advice to four investment companies registered</w:t>
            </w:r>
          </w:p>
        </w:tc>
      </w:tr>
      <w:tr>
        <w:trPr>
          <w:trHeight w:val="203"/>
        </w:trPr>
        <w:tc>
          <w:tcPr>
            <w:tcW w:w="8120" w:type="dxa"/>
            <w:vAlign w:val="bottom"/>
            <w:gridSpan w:val="4"/>
          </w:tcPr>
          <w:p>
            <w:pPr>
              <w:ind w:left="420"/>
              <w:spacing w:after="0" w:line="203" w:lineRule="exact"/>
              <w:rPr>
                <w:sz w:val="20"/>
                <w:szCs w:val="20"/>
                <w:color w:val="auto"/>
              </w:rPr>
            </w:pPr>
            <w:r>
              <w:rPr>
                <w:rFonts w:ascii="Courier New" w:cs="Courier New" w:eastAsia="Courier New" w:hAnsi="Courier New"/>
                <w:sz w:val="18"/>
                <w:szCs w:val="18"/>
                <w:color w:val="auto"/>
              </w:rPr>
              <w:t>under the Investment Company Act of 1940, and serves as investment</w:t>
            </w:r>
          </w:p>
        </w:tc>
      </w:tr>
      <w:tr>
        <w:trPr>
          <w:trHeight w:val="203"/>
        </w:trPr>
        <w:tc>
          <w:tcPr>
            <w:tcW w:w="1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manager</w:t>
            </w:r>
          </w:p>
        </w:tc>
        <w:tc>
          <w:tcPr>
            <w:tcW w:w="69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to certain other commingled group trusts and separate accounts.</w:t>
            </w:r>
          </w:p>
        </w:tc>
      </w:tr>
      <w:tr>
        <w:trPr>
          <w:trHeight w:val="203"/>
        </w:trPr>
        <w:tc>
          <w:tcPr>
            <w:tcW w:w="8120" w:type="dxa"/>
            <w:vAlign w:val="bottom"/>
            <w:gridSpan w:val="4"/>
          </w:tcPr>
          <w:p>
            <w:pPr>
              <w:ind w:left="420"/>
              <w:spacing w:after="0" w:line="203" w:lineRule="exact"/>
              <w:rPr>
                <w:sz w:val="20"/>
                <w:szCs w:val="20"/>
                <w:color w:val="auto"/>
              </w:rPr>
            </w:pPr>
            <w:r>
              <w:rPr>
                <w:rFonts w:ascii="Courier New" w:cs="Courier New" w:eastAsia="Courier New" w:hAnsi="Courier New"/>
                <w:sz w:val="18"/>
                <w:szCs w:val="18"/>
                <w:color w:val="auto"/>
              </w:rPr>
              <w:t>These investment companies, trusts and accounts are the "Funds". In its</w:t>
            </w:r>
          </w:p>
        </w:tc>
      </w:tr>
      <w:tr>
        <w:trPr>
          <w:trHeight w:val="203"/>
        </w:trPr>
        <w:tc>
          <w:tcPr>
            <w:tcW w:w="1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role as</w:t>
            </w:r>
          </w:p>
        </w:tc>
        <w:tc>
          <w:tcPr>
            <w:tcW w:w="69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investment adviser or manager, Dimensional possesses voting</w:t>
            </w:r>
          </w:p>
        </w:tc>
      </w:tr>
      <w:tr>
        <w:trPr>
          <w:trHeight w:val="203"/>
        </w:trPr>
        <w:tc>
          <w:tcPr>
            <w:tcW w:w="500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w w:val="98"/>
              </w:rPr>
              <w:t>and/or investment power over the securities</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the Issuer described</w:t>
            </w:r>
          </w:p>
        </w:tc>
      </w:tr>
      <w:tr>
        <w:trPr>
          <w:trHeight w:val="203"/>
        </w:trPr>
        <w:tc>
          <w:tcPr>
            <w:tcW w:w="1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 this</w:t>
            </w:r>
          </w:p>
        </w:tc>
        <w:tc>
          <w:tcPr>
            <w:tcW w:w="37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schedule that are owned the Funds.</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All securities reported</w:t>
            </w:r>
          </w:p>
        </w:tc>
      </w:tr>
      <w:tr>
        <w:trPr>
          <w:trHeight w:val="203"/>
        </w:trPr>
        <w:tc>
          <w:tcPr>
            <w:tcW w:w="1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 this</w:t>
            </w:r>
          </w:p>
        </w:tc>
        <w:tc>
          <w:tcPr>
            <w:tcW w:w="69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7"/>
              </w:rPr>
              <w:t>schedule are owned by the Funds. Dimensional disclaims beneficial</w:t>
            </w:r>
          </w:p>
        </w:tc>
      </w:tr>
      <w:tr>
        <w:trPr>
          <w:trHeight w:val="203"/>
        </w:trPr>
        <w:tc>
          <w:tcPr>
            <w:tcW w:w="34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w w:val="97"/>
              </w:rPr>
              <w:t>ownership of such securities.</w:t>
            </w:r>
          </w:p>
        </w:tc>
        <w:tc>
          <w:tcPr>
            <w:tcW w:w="1520" w:type="dxa"/>
            <w:vAlign w:val="bottom"/>
          </w:tcPr>
          <w:p>
            <w:pPr>
              <w:spacing w:after="0"/>
              <w:rPr>
                <w:sz w:val="17"/>
                <w:szCs w:val="17"/>
                <w:color w:val="auto"/>
              </w:rPr>
            </w:pPr>
          </w:p>
        </w:tc>
        <w:tc>
          <w:tcPr>
            <w:tcW w:w="3120" w:type="dxa"/>
            <w:vAlign w:val="bottom"/>
          </w:tcPr>
          <w:p>
            <w:pPr>
              <w:spacing w:after="0"/>
              <w:rPr>
                <w:sz w:val="17"/>
                <w:szCs w:val="17"/>
                <w:color w:val="auto"/>
              </w:rPr>
            </w:pPr>
          </w:p>
        </w:tc>
      </w:tr>
      <w:tr>
        <w:trPr>
          <w:trHeight w:val="608"/>
        </w:trPr>
        <w:tc>
          <w:tcPr>
            <w:tcW w:w="122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69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OWNERSHIP OF FIVE PERCENT OR LESS OF A CLASS</w:t>
            </w:r>
          </w:p>
        </w:tc>
      </w:tr>
      <w:tr>
        <w:trPr>
          <w:trHeight w:val="203"/>
        </w:trPr>
        <w:tc>
          <w:tcPr>
            <w:tcW w:w="1220" w:type="dxa"/>
            <w:vAlign w:val="bottom"/>
          </w:tcPr>
          <w:p>
            <w:pPr>
              <w:spacing w:after="0"/>
              <w:rPr>
                <w:sz w:val="17"/>
                <w:szCs w:val="17"/>
                <w:color w:val="auto"/>
              </w:rPr>
            </w:pPr>
          </w:p>
        </w:tc>
        <w:tc>
          <w:tcPr>
            <w:tcW w:w="69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If this statement is being filed to report the fact that</w:t>
            </w:r>
          </w:p>
        </w:tc>
      </w:tr>
      <w:tr>
        <w:trPr>
          <w:trHeight w:val="203"/>
        </w:trPr>
        <w:tc>
          <w:tcPr>
            <w:tcW w:w="1220" w:type="dxa"/>
            <w:vAlign w:val="bottom"/>
          </w:tcPr>
          <w:p>
            <w:pPr>
              <w:spacing w:after="0"/>
              <w:rPr>
                <w:sz w:val="17"/>
                <w:szCs w:val="17"/>
                <w:color w:val="auto"/>
              </w:rPr>
            </w:pPr>
          </w:p>
        </w:tc>
        <w:tc>
          <w:tcPr>
            <w:tcW w:w="69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as of 12/31/99 the reporting person has ceased to be the</w:t>
            </w:r>
          </w:p>
        </w:tc>
      </w:tr>
      <w:tr>
        <w:trPr>
          <w:trHeight w:val="203"/>
        </w:trPr>
        <w:tc>
          <w:tcPr>
            <w:tcW w:w="1220" w:type="dxa"/>
            <w:vAlign w:val="bottom"/>
          </w:tcPr>
          <w:p>
            <w:pPr>
              <w:spacing w:after="0"/>
              <w:rPr>
                <w:sz w:val="17"/>
                <w:szCs w:val="17"/>
                <w:color w:val="auto"/>
              </w:rPr>
            </w:pPr>
          </w:p>
        </w:tc>
        <w:tc>
          <w:tcPr>
            <w:tcW w:w="69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beneficial owner of more than five percent of the class</w:t>
            </w:r>
          </w:p>
        </w:tc>
      </w:tr>
      <w:tr>
        <w:trPr>
          <w:trHeight w:val="203"/>
        </w:trPr>
        <w:tc>
          <w:tcPr>
            <w:tcW w:w="1220" w:type="dxa"/>
            <w:vAlign w:val="bottom"/>
          </w:tcPr>
          <w:p>
            <w:pPr>
              <w:spacing w:after="0"/>
              <w:rPr>
                <w:sz w:val="17"/>
                <w:szCs w:val="17"/>
                <w:color w:val="auto"/>
              </w:rPr>
            </w:pPr>
          </w:p>
        </w:tc>
        <w:tc>
          <w:tcPr>
            <w:tcW w:w="69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of securities, check the following: [ ]</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69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OWNERSHIP OF MORE THAN FIVE PERCENT ON BEHALF OF</w:t>
            </w:r>
          </w:p>
        </w:tc>
      </w:tr>
      <w:tr>
        <w:trPr>
          <w:trHeight w:val="203"/>
        </w:trPr>
        <w:tc>
          <w:tcPr>
            <w:tcW w:w="1220" w:type="dxa"/>
            <w:vAlign w:val="bottom"/>
          </w:tcPr>
          <w:p>
            <w:pPr>
              <w:spacing w:after="0"/>
              <w:rPr>
                <w:sz w:val="17"/>
                <w:szCs w:val="17"/>
                <w:color w:val="auto"/>
              </w:rPr>
            </w:pPr>
          </w:p>
        </w:tc>
        <w:tc>
          <w:tcPr>
            <w:tcW w:w="2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ANOTHER PERSON</w:t>
            </w:r>
          </w:p>
        </w:tc>
        <w:tc>
          <w:tcPr>
            <w:tcW w:w="1520" w:type="dxa"/>
            <w:vAlign w:val="bottom"/>
          </w:tcPr>
          <w:p>
            <w:pPr>
              <w:spacing w:after="0"/>
              <w:rPr>
                <w:sz w:val="17"/>
                <w:szCs w:val="17"/>
                <w:color w:val="auto"/>
              </w:rPr>
            </w:pPr>
          </w:p>
        </w:tc>
        <w:tc>
          <w:tcPr>
            <w:tcW w:w="3120" w:type="dxa"/>
            <w:vAlign w:val="bottom"/>
          </w:tcPr>
          <w:p>
            <w:pPr>
              <w:spacing w:after="0"/>
              <w:rPr>
                <w:sz w:val="17"/>
                <w:szCs w:val="17"/>
                <w:color w:val="auto"/>
              </w:rPr>
            </w:pPr>
          </w:p>
        </w:tc>
      </w:tr>
    </w:tbl>
    <w:p>
      <w:pPr>
        <w:spacing w:after="0" w:line="4" w:lineRule="exact"/>
        <w:rPr>
          <w:sz w:val="20"/>
          <w:szCs w:val="20"/>
          <w:color w:val="auto"/>
        </w:rPr>
      </w:pPr>
    </w:p>
    <w:p>
      <w:pPr>
        <w:ind w:left="1280" w:right="2659"/>
        <w:spacing w:after="0" w:line="273" w:lineRule="auto"/>
        <w:rPr>
          <w:sz w:val="20"/>
          <w:szCs w:val="20"/>
          <w:color w:val="auto"/>
        </w:rPr>
      </w:pPr>
      <w:r>
        <w:rPr>
          <w:rFonts w:ascii="Courier New" w:cs="Courier New" w:eastAsia="Courier New" w:hAnsi="Courier New"/>
          <w:sz w:val="16"/>
          <w:szCs w:val="16"/>
          <w:color w:val="auto"/>
        </w:rPr>
        <w:t>All Securities reported in this schedule are onwed by advisory clients of Dimensional Fund Advisors Inc., no one of which to the knowledge of Dimensional Fund Advisors Inc. owns more than 5% of the class. Dimensional Fund Advisors Inc disclaims beneficial ownership of all such securities.</w:t>
      </w:r>
    </w:p>
    <w:p>
      <w:pPr>
        <w:spacing w:after="0" w:line="184" w:lineRule="exact"/>
        <w:rPr>
          <w:sz w:val="20"/>
          <w:szCs w:val="20"/>
          <w:color w:val="auto"/>
        </w:rPr>
      </w:pPr>
    </w:p>
    <w:p>
      <w:pPr>
        <w:ind w:left="1280" w:right="2439" w:hanging="1263"/>
        <w:spacing w:after="0" w:line="236" w:lineRule="auto"/>
        <w:tabs>
          <w:tab w:leader="none" w:pos="12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ind w:left="128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280" w:right="2859" w:hanging="1263"/>
        <w:spacing w:after="0" w:line="235" w:lineRule="auto"/>
        <w:tabs>
          <w:tab w:leader="none" w:pos="12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8"/>
          <w:szCs w:val="18"/>
          <w:color w:val="auto"/>
        </w:rPr>
        <w:t>IDENTIFICATION AND CLASSIFICATION OF MEMBERS OF THE GROUP Not Applicable</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ind w:left="128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ind w:left="1280"/>
        <w:spacing w:after="0" w:line="238" w:lineRule="auto"/>
        <w:rPr>
          <w:sz w:val="20"/>
          <w:szCs w:val="20"/>
          <w:color w:val="auto"/>
        </w:rPr>
      </w:pPr>
      <w:r>
        <w:rPr>
          <w:rFonts w:ascii="Courier New" w:cs="Courier New" w:eastAsia="Courier New" w:hAnsi="Courier New"/>
          <w:sz w:val="18"/>
          <w:szCs w:val="18"/>
          <w:color w:val="auto"/>
        </w:rPr>
        <w:t>By signing below I certify that, to the best of my knowledge</w:t>
      </w:r>
    </w:p>
    <w:p>
      <w:pPr>
        <w:ind w:left="1280"/>
        <w:spacing w:after="0" w:line="238" w:lineRule="auto"/>
        <w:rPr>
          <w:sz w:val="20"/>
          <w:szCs w:val="20"/>
          <w:color w:val="auto"/>
        </w:rPr>
      </w:pPr>
      <w:r>
        <w:rPr>
          <w:rFonts w:ascii="Courier New" w:cs="Courier New" w:eastAsia="Courier New" w:hAnsi="Courier New"/>
          <w:sz w:val="18"/>
          <w:szCs w:val="18"/>
          <w:color w:val="auto"/>
        </w:rPr>
        <w:t>and belief, the securities referred to above were acquired</w:t>
      </w:r>
    </w:p>
    <w:p>
      <w:pPr>
        <w:ind w:left="1280"/>
        <w:spacing w:after="0"/>
        <w:rPr>
          <w:sz w:val="20"/>
          <w:szCs w:val="20"/>
          <w:color w:val="auto"/>
        </w:rPr>
      </w:pPr>
      <w:r>
        <w:rPr>
          <w:rFonts w:ascii="Courier New" w:cs="Courier New" w:eastAsia="Courier New" w:hAnsi="Courier New"/>
          <w:sz w:val="18"/>
          <w:szCs w:val="18"/>
          <w:color w:val="auto"/>
        </w:rPr>
        <w:t>in the ordinary course of business and were not acquired for</w:t>
      </w:r>
    </w:p>
    <w:p>
      <w:pPr>
        <w:ind w:left="1280"/>
        <w:spacing w:after="0" w:line="237" w:lineRule="auto"/>
        <w:rPr>
          <w:sz w:val="20"/>
          <w:szCs w:val="20"/>
          <w:color w:val="auto"/>
        </w:rPr>
      </w:pPr>
      <w:r>
        <w:rPr>
          <w:rFonts w:ascii="Courier New" w:cs="Courier New" w:eastAsia="Courier New" w:hAnsi="Courier New"/>
          <w:sz w:val="18"/>
          <w:szCs w:val="18"/>
          <w:color w:val="auto"/>
        </w:rPr>
        <w:t>the purpose of and do not have the effect of changing or</w:t>
      </w:r>
    </w:p>
    <w:p>
      <w:pPr>
        <w:ind w:left="1280"/>
        <w:spacing w:after="0" w:line="238" w:lineRule="auto"/>
        <w:rPr>
          <w:sz w:val="20"/>
          <w:szCs w:val="20"/>
          <w:color w:val="auto"/>
        </w:rPr>
      </w:pPr>
      <w:r>
        <w:rPr>
          <w:rFonts w:ascii="Courier New" w:cs="Courier New" w:eastAsia="Courier New" w:hAnsi="Courier New"/>
          <w:sz w:val="18"/>
          <w:szCs w:val="18"/>
          <w:color w:val="auto"/>
        </w:rPr>
        <w:t>influencing the control of the issuer of such securities</w:t>
      </w:r>
    </w:p>
    <w:p>
      <w:pPr>
        <w:ind w:left="1280"/>
        <w:spacing w:after="0"/>
        <w:rPr>
          <w:sz w:val="20"/>
          <w:szCs w:val="20"/>
          <w:color w:val="auto"/>
        </w:rPr>
      </w:pPr>
      <w:r>
        <w:rPr>
          <w:rFonts w:ascii="Courier New" w:cs="Courier New" w:eastAsia="Courier New" w:hAnsi="Courier New"/>
          <w:sz w:val="18"/>
          <w:szCs w:val="18"/>
          <w:color w:val="auto"/>
        </w:rPr>
        <w:t>and were not acquired in connection with or as a participant</w:t>
      </w:r>
    </w:p>
    <w:p>
      <w:pPr>
        <w:ind w:left="1280"/>
        <w:spacing w:after="0" w:line="237" w:lineRule="auto"/>
        <w:rPr>
          <w:sz w:val="20"/>
          <w:szCs w:val="20"/>
          <w:color w:val="auto"/>
        </w:rPr>
      </w:pPr>
      <w:r>
        <w:rPr>
          <w:rFonts w:ascii="Courier New" w:cs="Courier New" w:eastAsia="Courier New" w:hAnsi="Courier New"/>
          <w:sz w:val="18"/>
          <w:szCs w:val="18"/>
          <w:color w:val="auto"/>
        </w:rPr>
        <w:t>in any transaction having such purposes or effect.</w:t>
      </w:r>
    </w:p>
    <w:p>
      <w:pPr>
        <w:spacing w:after="0" w:line="207" w:lineRule="exact"/>
        <w:rPr>
          <w:sz w:val="20"/>
          <w:szCs w:val="20"/>
          <w:color w:val="auto"/>
        </w:rPr>
      </w:pPr>
    </w:p>
    <w:p>
      <w:pPr>
        <w:ind w:right="27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are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Friday, February 4, 2000</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Michael T. Scardina</w:t>
      </w:r>
    </w:p>
    <w:p>
      <w:pPr>
        <w:ind w:left="320"/>
        <w:spacing w:after="0" w:line="238" w:lineRule="auto"/>
        <w:rPr>
          <w:sz w:val="20"/>
          <w:szCs w:val="20"/>
          <w:color w:val="auto"/>
        </w:rPr>
      </w:pPr>
      <w:r>
        <w:rPr>
          <w:rFonts w:ascii="Courier New" w:cs="Courier New" w:eastAsia="Courier New" w:hAnsi="Courier New"/>
          <w:sz w:val="18"/>
          <w:szCs w:val="18"/>
          <w:color w:val="auto"/>
        </w:rPr>
        <w:t>Vice President and Chief Finacial Officer</w:t>
      </w:r>
    </w:p>
    <w:sectPr>
      <w:pgSz w:w="11900" w:h="16838" w:orient="portrait"/>
      <w:cols w:equalWidth="0" w:num="1">
        <w:col w:w="10139"/>
      </w:cols>
      <w:pgMar w:left="320" w:top="136" w:right="1440" w:bottom="746"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2020-10-07T00:51:28Z</dcterms:created>
  <dcterms:modified xsi:type="dcterms:W3CDTF">2020-10-07T00:51:28Z</dcterms:modified>
</cp:coreProperties>
</file>