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61" w:lineRule="exact"/>
        <w:rPr>
          <w:sz w:val="24"/>
          <w:szCs w:val="24"/>
          <w:color w:val="auto"/>
        </w:rPr>
      </w:pPr>
    </w:p>
    <w:p>
      <w:pPr>
        <w:ind w:left="4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jc w:val="center"/>
        <w:ind w:right="2320"/>
        <w:spacing w:after="0"/>
        <w:rPr>
          <w:sz w:val="20"/>
          <w:szCs w:val="20"/>
          <w:color w:val="auto"/>
        </w:rPr>
      </w:pPr>
      <w:r>
        <w:rPr>
          <w:rFonts w:ascii="Arial" w:cs="Arial" w:eastAsia="Arial" w:hAnsi="Arial"/>
          <w:sz w:val="18"/>
          <w:szCs w:val="18"/>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-241935</wp:posOffset>
            </wp:positionV>
            <wp:extent cx="6960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-335915</wp:posOffset>
            </wp:positionV>
            <wp:extent cx="6960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pacing w:after="0" w:line="111" w:lineRule="exact"/>
        <w:rPr>
          <w:sz w:val="24"/>
          <w:szCs w:val="24"/>
          <w:color w:val="auto"/>
        </w:rPr>
      </w:pPr>
    </w:p>
    <w:p>
      <w:pPr>
        <w:jc w:val="center"/>
        <w:ind w:right="2320"/>
        <w:spacing w:after="0"/>
        <w:rPr>
          <w:sz w:val="20"/>
          <w:szCs w:val="20"/>
          <w:color w:val="auto"/>
        </w:rPr>
      </w:pPr>
      <w:r>
        <w:rPr>
          <w:rFonts w:ascii="Arial" w:cs="Arial" w:eastAsia="Arial" w:hAnsi="Arial"/>
          <w:sz w:val="18"/>
          <w:szCs w:val="18"/>
          <w:color w:val="auto"/>
        </w:rPr>
        <w:t>SECURITIES AND EXCHANGE COMMISSION</w:t>
      </w:r>
    </w:p>
    <w:p>
      <w:pPr>
        <w:spacing w:after="0" w:line="131" w:lineRule="exact"/>
        <w:rPr>
          <w:sz w:val="24"/>
          <w:szCs w:val="24"/>
          <w:color w:val="auto"/>
        </w:rPr>
      </w:pPr>
    </w:p>
    <w:p>
      <w:pPr>
        <w:jc w:val="center"/>
        <w:ind w:right="2320"/>
        <w:spacing w:after="0"/>
        <w:rPr>
          <w:sz w:val="20"/>
          <w:szCs w:val="20"/>
          <w:color w:val="auto"/>
        </w:rPr>
      </w:pPr>
      <w:r>
        <w:rPr>
          <w:rFonts w:ascii="Arial" w:cs="Arial" w:eastAsia="Arial" w:hAnsi="Arial"/>
          <w:sz w:val="18"/>
          <w:szCs w:val="18"/>
          <w:color w:val="auto"/>
        </w:rPr>
        <w:t>Washington, D. C. 20549</w:t>
      </w:r>
    </w:p>
    <w:p>
      <w:pPr>
        <w:spacing w:after="0" w:line="225"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FORM 10-Q</w:t>
      </w:r>
    </w:p>
    <w:p>
      <w:pPr>
        <w:spacing w:after="0" w:line="200" w:lineRule="exact"/>
        <w:rPr>
          <w:sz w:val="24"/>
          <w:szCs w:val="24"/>
          <w:color w:val="auto"/>
        </w:rPr>
      </w:pPr>
    </w:p>
    <w:p>
      <w:pPr>
        <w:spacing w:after="0" w:line="201"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Quarterly Report Pursuant to Section 13 or 15(d) of the Securities Exchange Act of 1934</w:t>
      </w:r>
    </w:p>
    <w:p>
      <w:pPr>
        <w:spacing w:after="0" w:line="46" w:lineRule="exact"/>
        <w:rPr>
          <w:sz w:val="24"/>
          <w:szCs w:val="24"/>
          <w:color w:val="auto"/>
        </w:rPr>
      </w:pPr>
    </w:p>
    <w:p>
      <w:pPr>
        <w:jc w:val="center"/>
        <w:ind w:right="2300"/>
        <w:spacing w:after="0"/>
        <w:rPr>
          <w:sz w:val="20"/>
          <w:szCs w:val="20"/>
          <w:color w:val="auto"/>
        </w:rPr>
      </w:pPr>
      <w:r>
        <w:rPr>
          <w:rFonts w:ascii="Arial" w:cs="Arial" w:eastAsia="Arial" w:hAnsi="Arial"/>
          <w:sz w:val="18"/>
          <w:szCs w:val="18"/>
          <w:color w:val="auto"/>
        </w:rPr>
        <w:t>For the Quarterly Period Ended April 30, 2020</w:t>
      </w:r>
    </w:p>
    <w:p>
      <w:pPr>
        <w:spacing w:after="0" w:line="35" w:lineRule="exact"/>
        <w:rPr>
          <w:sz w:val="24"/>
          <w:szCs w:val="24"/>
          <w:color w:val="auto"/>
        </w:rPr>
      </w:pPr>
    </w:p>
    <w:p>
      <w:pPr>
        <w:jc w:val="center"/>
        <w:ind w:right="2320"/>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46" w:lineRule="exact"/>
        <w:rPr>
          <w:sz w:val="24"/>
          <w:szCs w:val="24"/>
          <w:color w:val="auto"/>
        </w:rPr>
      </w:pPr>
    </w:p>
    <w:p>
      <w:pPr>
        <w:ind w:left="780"/>
        <w:spacing w:after="0"/>
        <w:rPr>
          <w:sz w:val="20"/>
          <w:szCs w:val="20"/>
          <w:color w:val="auto"/>
        </w:rPr>
      </w:pPr>
      <w:r>
        <w:rPr>
          <w:rFonts w:ascii="Arial" w:cs="Arial" w:eastAsia="Arial" w:hAnsi="Arial"/>
          <w:sz w:val="18"/>
          <w:szCs w:val="18"/>
          <w:color w:val="auto"/>
        </w:rPr>
        <w:t>For the transition period from _____________ to ______________</w:t>
      </w:r>
    </w:p>
    <w:p>
      <w:pPr>
        <w:spacing w:after="0" w:line="251" w:lineRule="exact"/>
        <w:rPr>
          <w:sz w:val="24"/>
          <w:szCs w:val="24"/>
          <w:color w:val="auto"/>
        </w:rPr>
      </w:pPr>
    </w:p>
    <w:p>
      <w:pPr>
        <w:jc w:val="center"/>
        <w:ind w:right="2320"/>
        <w:spacing w:after="0"/>
        <w:rPr>
          <w:sz w:val="20"/>
          <w:szCs w:val="20"/>
          <w:color w:val="auto"/>
        </w:rPr>
      </w:pPr>
      <w:r>
        <w:rPr>
          <w:rFonts w:ascii="Arial" w:cs="Arial" w:eastAsia="Arial" w:hAnsi="Arial"/>
          <w:sz w:val="18"/>
          <w:szCs w:val="18"/>
          <w:color w:val="auto"/>
        </w:rPr>
        <w:t>Commission File Number 001-12622</w:t>
      </w:r>
    </w:p>
    <w:p>
      <w:pPr>
        <w:spacing w:after="0" w:line="225" w:lineRule="exact"/>
        <w:rPr>
          <w:sz w:val="24"/>
          <w:szCs w:val="24"/>
          <w:color w:val="auto"/>
        </w:rPr>
      </w:pPr>
    </w:p>
    <w:p>
      <w:pPr>
        <w:jc w:val="center"/>
        <w:ind w:right="2320"/>
        <w:spacing w:after="0"/>
        <w:rPr>
          <w:sz w:val="20"/>
          <w:szCs w:val="20"/>
          <w:color w:val="auto"/>
        </w:rPr>
      </w:pPr>
      <w:r>
        <w:rPr>
          <w:rFonts w:ascii="Arial" w:cs="Arial" w:eastAsia="Arial" w:hAnsi="Arial"/>
          <w:sz w:val="18"/>
          <w:szCs w:val="18"/>
          <w:u w:val="single" w:color="auto"/>
          <w:color w:val="auto"/>
        </w:rPr>
        <w:t>OIL-DRI CORPORATION OF AMERICA</w:t>
      </w:r>
    </w:p>
    <w:p>
      <w:pPr>
        <w:spacing w:after="0" w:line="23" w:lineRule="exact"/>
        <w:rPr>
          <w:sz w:val="24"/>
          <w:szCs w:val="24"/>
          <w:color w:val="auto"/>
        </w:rPr>
      </w:pPr>
    </w:p>
    <w:p>
      <w:pPr>
        <w:jc w:val="center"/>
        <w:ind w:right="2320"/>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00" w:lineRule="exact"/>
        <w:rPr>
          <w:sz w:val="24"/>
          <w:szCs w:val="24"/>
          <w:color w:val="auto"/>
        </w:rPr>
      </w:pPr>
    </w:p>
    <w:p>
      <w:pPr>
        <w:sectPr>
          <w:pgSz w:w="11900" w:h="16838" w:orient="portrait"/>
          <w:cols w:equalWidth="0" w:num="2">
            <w:col w:w="1700" w:space="720"/>
            <w:col w:w="8740"/>
          </w:cols>
          <w:pgMar w:left="320" w:top="1138" w:right="419" w:bottom="1440" w:gutter="0" w:footer="0" w:header="0"/>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Delaware 36-2048898</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(State or other jurisdiction of incorporation or organization) (I.R.S. Employer Identification No.)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The registrant's telephone number, including area code: (312) 321-1515</w:t>
      </w:r>
    </w:p>
    <w:p>
      <w:pPr>
        <w:spacing w:after="0" w:line="225"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p>
      <w:pPr>
        <w:ind w:left="1320"/>
        <w:spacing w:after="0"/>
        <w:tabs>
          <w:tab w:leader="none" w:pos="3200" w:val="left"/>
          <w:tab w:leader="none" w:pos="4780" w:val="left"/>
          <w:tab w:leader="none" w:pos="8240" w:val="left"/>
        </w:tabs>
        <w:rPr>
          <w:sz w:val="20"/>
          <w:szCs w:val="20"/>
          <w:color w:val="auto"/>
        </w:rPr>
      </w:pPr>
      <w:r>
        <w:rPr>
          <w:rFonts w:ascii="Arial" w:cs="Arial" w:eastAsia="Arial" w:hAnsi="Arial"/>
          <w:sz w:val="18"/>
          <w:szCs w:val="18"/>
          <w:color w:val="auto"/>
        </w:rPr>
        <w:t>Large accelerated filer o</w:t>
        <w:tab/>
        <w:t>Accelerated filer x</w:t>
        <w:tab/>
        <w:t>Non-accelerated filer o Smaller reporting</w:t>
      </w:r>
      <w:r>
        <w:rPr>
          <w:sz w:val="20"/>
          <w:szCs w:val="20"/>
          <w:color w:val="auto"/>
        </w:rPr>
        <w:tab/>
      </w:r>
      <w:r>
        <w:rPr>
          <w:rFonts w:ascii="Arial" w:cs="Arial" w:eastAsia="Arial" w:hAnsi="Arial"/>
          <w:sz w:val="16"/>
          <w:szCs w:val="16"/>
          <w:color w:val="auto"/>
        </w:rPr>
        <w:t>Emerging growth</w:t>
      </w:r>
    </w:p>
    <w:p>
      <w:pPr>
        <w:spacing w:after="0" w:line="23" w:lineRule="exact"/>
        <w:rPr>
          <w:sz w:val="24"/>
          <w:szCs w:val="24"/>
          <w:color w:val="auto"/>
        </w:rPr>
      </w:pPr>
    </w:p>
    <w:p>
      <w:pPr>
        <w:ind w:left="6540"/>
        <w:spacing w:after="0"/>
        <w:tabs>
          <w:tab w:leader="none" w:pos="8240" w:val="left"/>
        </w:tabs>
        <w:rPr>
          <w:sz w:val="20"/>
          <w:szCs w:val="20"/>
          <w:color w:val="auto"/>
        </w:rPr>
      </w:pPr>
      <w:r>
        <w:rPr>
          <w:rFonts w:ascii="Arial" w:cs="Arial" w:eastAsia="Arial" w:hAnsi="Arial"/>
          <w:sz w:val="18"/>
          <w:szCs w:val="18"/>
          <w:color w:val="auto"/>
        </w:rPr>
        <w:t>company x</w:t>
      </w:r>
      <w:r>
        <w:rPr>
          <w:sz w:val="20"/>
          <w:szCs w:val="20"/>
          <w:color w:val="auto"/>
        </w:rPr>
        <w:tab/>
      </w:r>
      <w:r>
        <w:rPr>
          <w:rFonts w:ascii="Arial" w:cs="Arial" w:eastAsia="Arial" w:hAnsi="Arial"/>
          <w:sz w:val="16"/>
          <w:szCs w:val="16"/>
          <w:color w:val="auto"/>
        </w:rPr>
        <w:t>company o</w:t>
      </w:r>
    </w:p>
    <w:p>
      <w:pPr>
        <w:spacing w:after="0" w:line="22"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p>
      <w:pPr>
        <w:ind w:left="1920"/>
        <w:spacing w:after="0"/>
        <w:tabs>
          <w:tab w:leader="none" w:pos="4740" w:val="left"/>
          <w:tab w:leader="none" w:pos="682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67" w:lineRule="exact"/>
        <w:rPr>
          <w:sz w:val="24"/>
          <w:szCs w:val="24"/>
          <w:color w:val="auto"/>
        </w:rPr>
      </w:pPr>
    </w:p>
    <w:p>
      <w:pPr>
        <w:ind w:left="680"/>
        <w:spacing w:after="0"/>
        <w:tabs>
          <w:tab w:leader="none" w:pos="4560" w:val="left"/>
          <w:tab w:leader="none" w:pos="6420" w:val="left"/>
        </w:tabs>
        <w:rPr>
          <w:sz w:val="20"/>
          <w:szCs w:val="20"/>
          <w:color w:val="auto"/>
        </w:rPr>
      </w:pPr>
      <w:r>
        <w:rPr>
          <w:rFonts w:ascii="Arial" w:cs="Arial" w:eastAsia="Arial" w:hAnsi="Arial"/>
          <w:sz w:val="18"/>
          <w:szCs w:val="18"/>
          <w:color w:val="auto"/>
        </w:rPr>
        <w:t>Common Stock, par value $0.10 per share</w:t>
      </w:r>
      <w:r>
        <w:rPr>
          <w:sz w:val="20"/>
          <w:szCs w:val="20"/>
          <w:color w:val="auto"/>
        </w:rPr>
        <w:tab/>
      </w:r>
      <w:r>
        <w:rPr>
          <w:rFonts w:ascii="Arial" w:cs="Arial" w:eastAsia="Arial" w:hAnsi="Arial"/>
          <w:sz w:val="18"/>
          <w:szCs w:val="18"/>
          <w:color w:val="auto"/>
        </w:rPr>
        <w:t>ODC</w:t>
      </w:r>
      <w:r>
        <w:rPr>
          <w:sz w:val="20"/>
          <w:szCs w:val="20"/>
          <w:color w:val="auto"/>
        </w:rPr>
        <w:tab/>
      </w:r>
      <w:r>
        <w:rPr>
          <w:rFonts w:ascii="Arial" w:cs="Arial" w:eastAsia="Arial" w:hAnsi="Arial"/>
          <w:sz w:val="16"/>
          <w:szCs w:val="16"/>
          <w:color w:val="auto"/>
        </w:rPr>
        <w:t>New York Stock Exchange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April 30, 2020.</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Common Stock – 5,307,384 Shares and Class B Stock – 2,176,142 Shares</w:t>
      </w:r>
    </w:p>
    <w:p>
      <w:pPr>
        <w:sectPr>
          <w:pgSz w:w="11900" w:h="16838" w:orient="portrait"/>
          <w:cols w:equalWidth="0" w:num="1">
            <w:col w:w="11160"/>
          </w:cols>
          <w:pgMar w:left="320" w:top="1138"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9560" w:type="dxa"/>
            <w:vAlign w:val="bottom"/>
          </w:tcPr>
          <w:p>
            <w:pPr>
              <w:spacing w:after="0"/>
              <w:rPr>
                <w:sz w:val="17"/>
                <w:szCs w:val="17"/>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Page</w:t>
            </w:r>
          </w:p>
        </w:tc>
      </w:tr>
      <w:tr>
        <w:trPr>
          <w:trHeight w:val="48"/>
        </w:trPr>
        <w:tc>
          <w:tcPr>
            <w:tcW w:w="940" w:type="dxa"/>
            <w:vAlign w:val="bottom"/>
          </w:tcPr>
          <w:p>
            <w:pPr>
              <w:spacing w:after="0"/>
              <w:rPr>
                <w:sz w:val="4"/>
                <w:szCs w:val="4"/>
                <w:color w:val="auto"/>
              </w:rPr>
            </w:pPr>
          </w:p>
        </w:tc>
        <w:tc>
          <w:tcPr>
            <w:tcW w:w="95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w:t>
            </w:r>
          </w:p>
        </w:tc>
        <w:tc>
          <w:tcPr>
            <w:tcW w:w="9560" w:type="dxa"/>
            <w:vAlign w:val="bottom"/>
            <w:tcBorders>
              <w:bottom w:val="single" w:sz="8" w:color="CCEEFF"/>
            </w:tcBorders>
            <w:shd w:val="clear" w:color="auto" w:fill="CCEEFF"/>
          </w:tcPr>
          <w:p>
            <w:pPr>
              <w:ind w:left="220"/>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360" w:type="dxa"/>
            <w:vAlign w:val="bottom"/>
            <w:tcBorders>
              <w:bottom w:val="single" w:sz="8" w:color="CCEEFF"/>
            </w:tcBorders>
            <w:shd w:val="clear" w:color="auto" w:fill="CCEEFF"/>
          </w:tcPr>
          <w:p>
            <w:pPr>
              <w:jc w:val="center"/>
              <w:ind w:right="1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c>
          <w:tcPr>
            <w:tcW w:w="260" w:type="dxa"/>
            <w:vAlign w:val="bottom"/>
            <w:tcBorders>
              <w:bottom w:val="single" w:sz="8" w:color="CCEEFF"/>
            </w:tcBorders>
            <w:shd w:val="clear" w:color="auto" w:fill="CCEEFF"/>
          </w:tcPr>
          <w:p>
            <w:pPr>
              <w:spacing w:after="0"/>
              <w:rPr>
                <w:sz w:val="21"/>
                <w:szCs w:val="21"/>
                <w:color w:val="auto"/>
              </w:rPr>
            </w:pPr>
          </w:p>
        </w:tc>
      </w:tr>
      <w:tr>
        <w:trPr>
          <w:trHeight w:val="270"/>
        </w:trPr>
        <w:tc>
          <w:tcPr>
            <w:tcW w:w="940" w:type="dxa"/>
            <w:vAlign w:val="bottom"/>
          </w:tcPr>
          <w:p>
            <w:pPr>
              <w:spacing w:after="0"/>
              <w:rPr>
                <w:sz w:val="23"/>
                <w:szCs w:val="23"/>
                <w:color w:val="auto"/>
              </w:rPr>
            </w:pPr>
          </w:p>
        </w:tc>
        <w:tc>
          <w:tcPr>
            <w:tcW w:w="9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2:</w:t>
            </w:r>
          </w:p>
        </w:tc>
        <w:tc>
          <w:tcPr>
            <w:tcW w:w="9560" w:type="dxa"/>
            <w:vAlign w:val="bottom"/>
            <w:tcBorders>
              <w:bottom w:val="single" w:sz="8" w:color="CCEEFF"/>
            </w:tcBorders>
            <w:shd w:val="clear" w:color="auto" w:fill="CCEEFF"/>
          </w:tcPr>
          <w:p>
            <w:pPr>
              <w:ind w:left="220"/>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3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24</w:t>
              </w:r>
            </w:hyperlink>
          </w:p>
        </w:tc>
        <w:tc>
          <w:tcPr>
            <w:tcW w:w="260" w:type="dxa"/>
            <w:vAlign w:val="bottom"/>
            <w:tcBorders>
              <w:bottom w:val="single" w:sz="8" w:color="CCEEFF"/>
            </w:tcBorders>
            <w:shd w:val="clear" w:color="auto" w:fill="CCEEFF"/>
          </w:tcPr>
          <w:p>
            <w:pPr>
              <w:spacing w:after="0"/>
              <w:rPr>
                <w:sz w:val="21"/>
                <w:szCs w:val="21"/>
                <w:color w:val="auto"/>
              </w:rPr>
            </w:pPr>
          </w:p>
        </w:tc>
      </w:tr>
      <w:tr>
        <w:trPr>
          <w:trHeight w:val="270"/>
        </w:trPr>
        <w:tc>
          <w:tcPr>
            <w:tcW w:w="940" w:type="dxa"/>
            <w:vAlign w:val="bottom"/>
          </w:tcPr>
          <w:p>
            <w:pPr>
              <w:spacing w:after="0"/>
              <w:rPr>
                <w:sz w:val="23"/>
                <w:szCs w:val="23"/>
                <w:color w:val="auto"/>
              </w:rPr>
            </w:pPr>
          </w:p>
        </w:tc>
        <w:tc>
          <w:tcPr>
            <w:tcW w:w="9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4:</w:t>
            </w:r>
          </w:p>
        </w:tc>
        <w:tc>
          <w:tcPr>
            <w:tcW w:w="9560" w:type="dxa"/>
            <w:vAlign w:val="bottom"/>
            <w:tcBorders>
              <w:bottom w:val="single" w:sz="8" w:color="CCEEFF"/>
            </w:tcBorders>
            <w:shd w:val="clear" w:color="auto" w:fill="CCEEFF"/>
          </w:tcPr>
          <w:p>
            <w:pPr>
              <w:ind w:left="220"/>
              <w:spacing w:after="0"/>
              <w:rPr>
                <w:rFonts w:ascii="Arial" w:cs="Arial" w:eastAsia="Arial" w:hAnsi="Arial"/>
                <w:sz w:val="18"/>
                <w:szCs w:val="18"/>
                <w:color w:val="0000FF"/>
              </w:rPr>
            </w:pPr>
            <w:hyperlink w:anchor="page32">
              <w:r>
                <w:rPr>
                  <w:rFonts w:ascii="Arial" w:cs="Arial" w:eastAsia="Arial" w:hAnsi="Arial"/>
                  <w:sz w:val="18"/>
                  <w:szCs w:val="18"/>
                  <w:color w:val="0000FF"/>
                </w:rPr>
                <w:t>Controls and Procedures</w:t>
              </w:r>
            </w:hyperlink>
          </w:p>
        </w:tc>
        <w:tc>
          <w:tcPr>
            <w:tcW w:w="3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32</w:t>
              </w:r>
            </w:hyperlink>
          </w:p>
        </w:tc>
        <w:tc>
          <w:tcPr>
            <w:tcW w:w="260" w:type="dxa"/>
            <w:vAlign w:val="bottom"/>
            <w:tcBorders>
              <w:bottom w:val="single" w:sz="8" w:color="CCEEFF"/>
            </w:tcBorders>
            <w:shd w:val="clear" w:color="auto" w:fill="CCEEFF"/>
          </w:tcPr>
          <w:p>
            <w:pPr>
              <w:spacing w:after="0"/>
              <w:rPr>
                <w:sz w:val="21"/>
                <w:szCs w:val="21"/>
                <w:color w:val="auto"/>
              </w:rPr>
            </w:pPr>
          </w:p>
        </w:tc>
      </w:tr>
      <w:tr>
        <w:trPr>
          <w:trHeight w:val="270"/>
        </w:trPr>
        <w:tc>
          <w:tcPr>
            <w:tcW w:w="940" w:type="dxa"/>
            <w:vAlign w:val="bottom"/>
          </w:tcPr>
          <w:p>
            <w:pPr>
              <w:spacing w:after="0"/>
              <w:rPr>
                <w:sz w:val="23"/>
                <w:szCs w:val="23"/>
                <w:color w:val="auto"/>
              </w:rPr>
            </w:pPr>
          </w:p>
        </w:tc>
        <w:tc>
          <w:tcPr>
            <w:tcW w:w="9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50"/>
        </w:trPr>
        <w:tc>
          <w:tcPr>
            <w:tcW w:w="940" w:type="dxa"/>
            <w:vAlign w:val="bottom"/>
            <w:tcBorders>
              <w:bottom w:val="single" w:sz="8" w:color="CCEEFF"/>
            </w:tcBorders>
            <w:shd w:val="clear" w:color="auto" w:fill="CCEEFF"/>
          </w:tcPr>
          <w:p>
            <w:pPr>
              <w:spacing w:after="0"/>
              <w:rPr>
                <w:sz w:val="21"/>
                <w:szCs w:val="21"/>
                <w:color w:val="auto"/>
              </w:rPr>
            </w:pPr>
          </w:p>
        </w:tc>
        <w:tc>
          <w:tcPr>
            <w:tcW w:w="9560" w:type="dxa"/>
            <w:vAlign w:val="bottom"/>
            <w:tcBorders>
              <w:bottom w:val="single" w:sz="8" w:color="CCEEFF"/>
            </w:tcBorders>
            <w:shd w:val="clear" w:color="auto" w:fill="CCEEFF"/>
          </w:tcPr>
          <w:p>
            <w:pPr>
              <w:ind w:left="3320"/>
              <w:spacing w:after="0"/>
              <w:rPr>
                <w:sz w:val="20"/>
                <w:szCs w:val="20"/>
                <w:color w:val="auto"/>
              </w:rPr>
            </w:pPr>
            <w:r>
              <w:rPr>
                <w:rFonts w:ascii="Arial" w:cs="Arial" w:eastAsia="Arial" w:hAnsi="Arial"/>
                <w:sz w:val="18"/>
                <w:szCs w:val="18"/>
                <w:b w:val="1"/>
                <w:bCs w:val="1"/>
                <w:color w:val="auto"/>
              </w:rPr>
              <w:t>PART II – OTHER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553"/>
        </w:trPr>
        <w:tc>
          <w:tcPr>
            <w:tcW w:w="94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1A:</w:t>
            </w:r>
          </w:p>
        </w:tc>
        <w:tc>
          <w:tcPr>
            <w:tcW w:w="9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Risk Factors</w:t>
            </w:r>
          </w:p>
        </w:tc>
        <w:tc>
          <w:tcPr>
            <w:tcW w:w="3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32">
              <w:r>
                <w:rPr>
                  <w:rFonts w:ascii="Arial" w:cs="Arial" w:eastAsia="Arial" w:hAnsi="Arial"/>
                  <w:sz w:val="18"/>
                  <w:szCs w:val="18"/>
                  <w:u w:val="single" w:color="auto"/>
                  <w:color w:val="0000EE"/>
                  <w:w w:val="89"/>
                </w:rPr>
                <w:t>32</w:t>
              </w:r>
            </w:hyperlink>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94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2:</w:t>
            </w:r>
          </w:p>
        </w:tc>
        <w:tc>
          <w:tcPr>
            <w:tcW w:w="9560" w:type="dxa"/>
            <w:vAlign w:val="bottom"/>
            <w:tcBorders>
              <w:bottom w:val="single" w:sz="8" w:color="CCEEFF"/>
            </w:tcBorders>
            <w:shd w:val="clear" w:color="auto" w:fill="CCEEFF"/>
          </w:tcPr>
          <w:p>
            <w:pPr>
              <w:ind w:left="220"/>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3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EE"/>
                <w:w w:val="89"/>
              </w:rPr>
            </w:pPr>
            <w:hyperlink w:anchor="page34">
              <w:r>
                <w:rPr>
                  <w:rFonts w:ascii="Arial" w:cs="Arial" w:eastAsia="Arial" w:hAnsi="Arial"/>
                  <w:sz w:val="18"/>
                  <w:szCs w:val="18"/>
                  <w:u w:val="single" w:color="auto"/>
                  <w:color w:val="0000EE"/>
                  <w:w w:val="89"/>
                </w:rPr>
                <w:t>34</w:t>
              </w:r>
            </w:hyperlink>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94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4:</w:t>
            </w:r>
          </w:p>
        </w:tc>
        <w:tc>
          <w:tcPr>
            <w:tcW w:w="9560" w:type="dxa"/>
            <w:vAlign w:val="bottom"/>
            <w:tcBorders>
              <w:bottom w:val="single" w:sz="8" w:color="CCEEFF"/>
            </w:tcBorders>
            <w:shd w:val="clear" w:color="auto" w:fill="CCEEFF"/>
          </w:tcPr>
          <w:p>
            <w:pPr>
              <w:ind w:left="220"/>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3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FF"/>
                <w:w w:val="89"/>
              </w:rPr>
            </w:pPr>
            <w:hyperlink w:anchor="page34">
              <w:r>
                <w:rPr>
                  <w:rFonts w:ascii="Arial" w:cs="Arial" w:eastAsia="Arial" w:hAnsi="Arial"/>
                  <w:sz w:val="18"/>
                  <w:szCs w:val="18"/>
                  <w:u w:val="single" w:color="auto"/>
                  <w:color w:val="0000FF"/>
                  <w:w w:val="89"/>
                </w:rPr>
                <w:t>34</w:t>
              </w:r>
            </w:hyperlink>
          </w:p>
        </w:tc>
        <w:tc>
          <w:tcPr>
            <w:tcW w:w="260" w:type="dxa"/>
            <w:vAlign w:val="bottom"/>
            <w:tcBorders>
              <w:bottom w:val="single" w:sz="8" w:color="CCEEFF"/>
            </w:tcBorders>
            <w:shd w:val="clear" w:color="auto" w:fill="CCEEFF"/>
          </w:tcPr>
          <w:p>
            <w:pPr>
              <w:spacing w:after="0"/>
              <w:rPr>
                <w:sz w:val="21"/>
                <w:szCs w:val="21"/>
                <w:color w:val="auto"/>
              </w:rPr>
            </w:pPr>
          </w:p>
        </w:tc>
      </w:tr>
      <w:tr>
        <w:trPr>
          <w:trHeight w:val="270"/>
        </w:trPr>
        <w:tc>
          <w:tcPr>
            <w:tcW w:w="940" w:type="dxa"/>
            <w:vAlign w:val="bottom"/>
          </w:tcPr>
          <w:p>
            <w:pPr>
              <w:spacing w:after="0"/>
              <w:rPr>
                <w:sz w:val="23"/>
                <w:szCs w:val="23"/>
                <w:color w:val="auto"/>
              </w:rPr>
            </w:pPr>
          </w:p>
        </w:tc>
        <w:tc>
          <w:tcPr>
            <w:tcW w:w="9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Item 6:</w:t>
            </w:r>
          </w:p>
        </w:tc>
        <w:tc>
          <w:tcPr>
            <w:tcW w:w="9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0000FF"/>
              </w:rPr>
              <w:t>Exhibits</w:t>
            </w:r>
          </w:p>
        </w:tc>
        <w:tc>
          <w:tcPr>
            <w:tcW w:w="3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35</w:t>
              </w:r>
            </w:hyperlink>
          </w:p>
        </w:tc>
        <w:tc>
          <w:tcPr>
            <w:tcW w:w="260" w:type="dxa"/>
            <w:vAlign w:val="bottom"/>
            <w:tcBorders>
              <w:bottom w:val="single" w:sz="8" w:color="CCEEFF"/>
            </w:tcBorders>
            <w:shd w:val="clear" w:color="auto" w:fill="CCEEFF"/>
          </w:tcPr>
          <w:p>
            <w:pPr>
              <w:spacing w:after="0"/>
              <w:rPr>
                <w:sz w:val="21"/>
                <w:szCs w:val="21"/>
                <w:color w:val="auto"/>
              </w:rPr>
            </w:pPr>
          </w:p>
        </w:tc>
      </w:tr>
      <w:tr>
        <w:trPr>
          <w:trHeight w:val="270"/>
        </w:trPr>
        <w:tc>
          <w:tcPr>
            <w:tcW w:w="940" w:type="dxa"/>
            <w:vAlign w:val="bottom"/>
          </w:tcPr>
          <w:p>
            <w:pPr>
              <w:spacing w:after="0"/>
              <w:rPr>
                <w:sz w:val="23"/>
                <w:szCs w:val="23"/>
                <w:color w:val="auto"/>
              </w:rPr>
            </w:pPr>
          </w:p>
        </w:tc>
        <w:tc>
          <w:tcPr>
            <w:tcW w:w="9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50"/>
        </w:trPr>
        <w:tc>
          <w:tcPr>
            <w:tcW w:w="940" w:type="dxa"/>
            <w:vAlign w:val="bottom"/>
            <w:tcBorders>
              <w:bottom w:val="single" w:sz="8" w:color="CCEEFF"/>
            </w:tcBorders>
            <w:shd w:val="clear" w:color="auto" w:fill="CCEEFF"/>
          </w:tcPr>
          <w:p>
            <w:pPr>
              <w:spacing w:after="0"/>
              <w:rPr>
                <w:sz w:val="21"/>
                <w:szCs w:val="21"/>
                <w:color w:val="auto"/>
              </w:rPr>
            </w:pPr>
          </w:p>
        </w:tc>
        <w:tc>
          <w:tcPr>
            <w:tcW w:w="9560" w:type="dxa"/>
            <w:vAlign w:val="bottom"/>
            <w:tcBorders>
              <w:bottom w:val="single" w:sz="8" w:color="CCEEFF"/>
            </w:tcBorders>
            <w:shd w:val="clear" w:color="auto" w:fill="CCEEFF"/>
          </w:tcPr>
          <w:p>
            <w:pPr>
              <w:ind w:left="220"/>
              <w:spacing w:after="0"/>
              <w:rPr>
                <w:rFonts w:ascii="Arial" w:cs="Arial" w:eastAsia="Arial" w:hAnsi="Arial"/>
                <w:sz w:val="18"/>
                <w:szCs w:val="18"/>
                <w:color w:val="0000FF"/>
              </w:rPr>
            </w:pPr>
            <w:hyperlink w:anchor="page36">
              <w:r>
                <w:rPr>
                  <w:rFonts w:ascii="Arial" w:cs="Arial" w:eastAsia="Arial" w:hAnsi="Arial"/>
                  <w:sz w:val="18"/>
                  <w:szCs w:val="18"/>
                  <w:color w:val="0000FF"/>
                </w:rPr>
                <w:t>Signatures</w:t>
              </w:r>
            </w:hyperlink>
          </w:p>
        </w:tc>
        <w:tc>
          <w:tcPr>
            <w:tcW w:w="360" w:type="dxa"/>
            <w:vAlign w:val="bottom"/>
            <w:tcBorders>
              <w:bottom w:val="single" w:sz="8" w:color="CCEEFF"/>
            </w:tcBorders>
            <w:shd w:val="clear" w:color="auto" w:fill="CCEEFF"/>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36</w:t>
              </w:r>
            </w:hyperlink>
          </w:p>
        </w:tc>
        <w:tc>
          <w:tcPr>
            <w:tcW w:w="260" w:type="dxa"/>
            <w:vAlign w:val="bottom"/>
            <w:tcBorders>
              <w:bottom w:val="single" w:sz="8" w:color="CCEEFF"/>
            </w:tcBorders>
            <w:shd w:val="clear" w:color="auto" w:fill="CCEEFF"/>
          </w:tcPr>
          <w:p>
            <w:pPr>
              <w:spacing w:after="0"/>
              <w:rPr>
                <w:sz w:val="21"/>
                <w:szCs w:val="21"/>
                <w:color w:val="auto"/>
              </w:rPr>
            </w:pPr>
          </w:p>
        </w:tc>
      </w:tr>
      <w:tr>
        <w:trPr>
          <w:trHeight w:val="338"/>
        </w:trPr>
        <w:tc>
          <w:tcPr>
            <w:tcW w:w="940" w:type="dxa"/>
            <w:vAlign w:val="bottom"/>
          </w:tcPr>
          <w:p>
            <w:pPr>
              <w:spacing w:after="0"/>
              <w:rPr>
                <w:sz w:val="24"/>
                <w:szCs w:val="24"/>
                <w:color w:val="auto"/>
              </w:rPr>
            </w:pPr>
          </w:p>
        </w:tc>
        <w:tc>
          <w:tcPr>
            <w:tcW w:w="9560" w:type="dxa"/>
            <w:vAlign w:val="bottom"/>
          </w:tcPr>
          <w:p>
            <w:pPr>
              <w:ind w:left="3460"/>
              <w:spacing w:after="0"/>
              <w:rPr>
                <w:sz w:val="20"/>
                <w:szCs w:val="20"/>
                <w:color w:val="auto"/>
              </w:rPr>
            </w:pPr>
            <w:r>
              <w:rPr>
                <w:rFonts w:ascii="Arial" w:cs="Arial" w:eastAsia="Arial" w:hAnsi="Arial"/>
                <w:sz w:val="18"/>
                <w:szCs w:val="18"/>
                <w:b w:val="1"/>
                <w:bCs w:val="1"/>
                <w:color w:val="auto"/>
              </w:rPr>
              <w:t>FORWARD-LOOKING STATEMENTS</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and variations of such words and similar expressions are intended to identify such forward-looking statements, which are made pursuant to the safe harbor provisions of the Private Securities Litigation Reform Act of 1995.</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Such statements are subject to certain risks, uncertainties and assumptions that could cause actual results to differ materially, including, but not limited to, those described in Item 1A, Risk Factors, herein, and in our Annual Report on Form 10-K for the fiscal year ended July 31, 2019.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6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Oil-Dri is a registered trademark of Oil-Dri Corporation of America.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980" w:type="dxa"/>
            <w:vAlign w:val="bottom"/>
          </w:tcPr>
          <w:p>
            <w:pPr>
              <w:ind w:left="14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40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5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20,548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gridSpan w:val="4"/>
          </w:tcPr>
          <w:p>
            <w:pPr>
              <w:spacing w:after="0"/>
              <w:rPr>
                <w:sz w:val="20"/>
                <w:szCs w:val="20"/>
                <w:color w:val="auto"/>
              </w:rPr>
            </w:pPr>
            <w:r>
              <w:rPr>
                <w:rFonts w:ascii="Arial" w:cs="Arial" w:eastAsia="Arial" w:hAnsi="Arial"/>
                <w:sz w:val="18"/>
                <w:szCs w:val="18"/>
                <w:color w:val="auto"/>
              </w:rPr>
              <w:t>Accounts receivable, less allowance of</w:t>
            </w:r>
          </w:p>
        </w:tc>
        <w:tc>
          <w:tcPr>
            <w:tcW w:w="160" w:type="dxa"/>
            <w:vAlign w:val="bottom"/>
          </w:tcPr>
          <w:p>
            <w:pPr>
              <w:spacing w:after="0"/>
              <w:rPr>
                <w:sz w:val="19"/>
                <w:szCs w:val="19"/>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41,846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00" w:type="dxa"/>
            <w:vAlign w:val="bottom"/>
            <w:gridSpan w:val="4"/>
          </w:tcPr>
          <w:p>
            <w:pPr>
              <w:ind w:left="80"/>
              <w:spacing w:after="0"/>
              <w:rPr>
                <w:sz w:val="20"/>
                <w:szCs w:val="20"/>
                <w:color w:val="auto"/>
              </w:rPr>
            </w:pPr>
            <w:r>
              <w:rPr>
                <w:rFonts w:ascii="Arial" w:cs="Arial" w:eastAsia="Arial" w:hAnsi="Arial"/>
                <w:sz w:val="18"/>
                <w:szCs w:val="18"/>
                <w:color w:val="auto"/>
              </w:rPr>
              <w:t>$1,324 and $644 at April 30, 2020 and July 31, 2019, respectively</w:t>
            </w:r>
          </w:p>
        </w:tc>
        <w:tc>
          <w:tcPr>
            <w:tcW w:w="1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35,459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0" w:type="dxa"/>
            <w:vAlign w:val="bottom"/>
            <w:gridSpan w:val="4"/>
          </w:tcPr>
          <w:p>
            <w:pPr>
              <w:spacing w:after="0"/>
              <w:rPr>
                <w:sz w:val="20"/>
                <w:szCs w:val="20"/>
                <w:color w:val="auto"/>
              </w:rPr>
            </w:pPr>
            <w:r>
              <w:rPr>
                <w:rFonts w:ascii="Arial" w:cs="Arial" w:eastAsia="Arial" w:hAnsi="Arial"/>
                <w:sz w:val="18"/>
                <w:szCs w:val="18"/>
                <w:color w:val="auto"/>
              </w:rPr>
              <w:t>Prepaid repairs expense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5,163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0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94,113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89,276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5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840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5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257,123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249,834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0" w:type="dxa"/>
            <w:vAlign w:val="bottom"/>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(166,990)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(159,036)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0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90,133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90,798</w:t>
            </w: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5"/>
              </w:rPr>
              <w:t>Other Assets</w:t>
            </w:r>
          </w:p>
        </w:tc>
        <w:tc>
          <w:tcPr>
            <w:tcW w:w="7420" w:type="dxa"/>
            <w:vAlign w:val="bottom"/>
            <w:tcBorders>
              <w:bottom w:val="single" w:sz="8" w:color="CCEEFF"/>
            </w:tcBorders>
            <w:gridSpan w:val="3"/>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0" w:type="dxa"/>
            <w:vAlign w:val="bottom"/>
            <w:gridSpan w:val="4"/>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9,262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intangibles, net of accumulated amortization</w:t>
            </w:r>
          </w:p>
        </w:tc>
        <w:tc>
          <w:tcPr>
            <w:tcW w:w="16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of $415 and $299 at April 30, 2020 and July 31, 2019,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400" w:type="dxa"/>
            <w:vAlign w:val="bottom"/>
            <w:gridSpan w:val="4"/>
          </w:tcPr>
          <w:p>
            <w:pPr>
              <w:spacing w:after="0"/>
              <w:rPr>
                <w:sz w:val="20"/>
                <w:szCs w:val="20"/>
                <w:color w:val="auto"/>
              </w:rPr>
            </w:pPr>
            <w:r>
              <w:rPr>
                <w:rFonts w:ascii="Arial" w:cs="Arial" w:eastAsia="Arial" w:hAnsi="Arial"/>
                <w:sz w:val="18"/>
                <w:szCs w:val="18"/>
                <w:color w:val="auto"/>
              </w:rPr>
              <w:t>Customer list, net of accumulated amortization</w:t>
            </w:r>
          </w:p>
        </w:tc>
        <w:tc>
          <w:tcPr>
            <w:tcW w:w="160" w:type="dxa"/>
            <w:vAlign w:val="bottom"/>
          </w:tcPr>
          <w:p>
            <w:pPr>
              <w:spacing w:after="0"/>
              <w:rPr>
                <w:sz w:val="19"/>
                <w:szCs w:val="19"/>
                <w:color w:val="auto"/>
              </w:rPr>
            </w:pP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1,046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00" w:type="dxa"/>
            <w:vAlign w:val="bottom"/>
            <w:gridSpan w:val="4"/>
          </w:tcPr>
          <w:p>
            <w:pPr>
              <w:spacing w:after="0"/>
              <w:rPr>
                <w:sz w:val="20"/>
                <w:szCs w:val="20"/>
                <w:color w:val="auto"/>
              </w:rPr>
            </w:pPr>
            <w:r>
              <w:rPr>
                <w:rFonts w:ascii="Arial" w:cs="Arial" w:eastAsia="Arial" w:hAnsi="Arial"/>
                <w:sz w:val="18"/>
                <w:szCs w:val="18"/>
                <w:color w:val="auto"/>
              </w:rPr>
              <w:t>of $6,739 and $6,297 at April 30, 2020 and July 31, 2019, respectively</w:t>
            </w:r>
          </w:p>
        </w:tc>
        <w:tc>
          <w:tcPr>
            <w:tcW w:w="1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00" w:type="dxa"/>
            <w:vAlign w:val="bottom"/>
            <w:gridSpan w:val="4"/>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8,327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0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31,735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5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40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215,981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205,227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Condensed Consolidated Balance Sheet (continued)</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80" w:type="dxa"/>
            <w:vAlign w:val="bottom"/>
          </w:tcPr>
          <w:p>
            <w:pPr>
              <w:ind w:left="600"/>
              <w:spacing w:after="0"/>
              <w:rPr>
                <w:sz w:val="20"/>
                <w:szCs w:val="20"/>
                <w:color w:val="auto"/>
              </w:rPr>
            </w:pPr>
            <w:r>
              <w:rPr>
                <w:rFonts w:ascii="Arial" w:cs="Arial" w:eastAsia="Arial" w:hAnsi="Arial"/>
                <w:sz w:val="18"/>
                <w:szCs w:val="18"/>
                <w:b w:val="1"/>
                <w:bCs w:val="1"/>
                <w:color w:val="auto"/>
              </w:rPr>
              <w:t>LIABILITIES &amp; STOCKHOLDERS’ EQUITY</w:t>
            </w: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28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maturities of notes payable, net of unamortized debt issuance costs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3,074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of $10 at April 30, 2020</w:t>
            </w:r>
          </w:p>
        </w:tc>
        <w:tc>
          <w:tcPr>
            <w:tcW w:w="180" w:type="dxa"/>
            <w:vAlign w:val="bottom"/>
            <w:tcBorders>
              <w:bottom w:val="single" w:sz="8" w:color="CCEEFF"/>
            </w:tcBorders>
            <w:vMerge w:val="continue"/>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10,524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1,735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1,561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ind w:left="140"/>
              <w:spacing w:after="0"/>
              <w:rPr>
                <w:sz w:val="20"/>
                <w:szCs w:val="20"/>
                <w:color w:val="auto"/>
              </w:rPr>
            </w:pPr>
            <w:r>
              <w:rPr>
                <w:rFonts w:ascii="Arial" w:cs="Arial" w:eastAsia="Arial" w:hAnsi="Arial"/>
                <w:sz w:val="18"/>
                <w:szCs w:val="18"/>
                <w:color w:val="auto"/>
              </w:rPr>
              <w:t>Salaries, wages and commissions</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10,559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Trade promotions and advertising</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1,853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ind w:left="140"/>
              <w:spacing w:after="0"/>
              <w:rPr>
                <w:sz w:val="20"/>
                <w:szCs w:val="20"/>
                <w:color w:val="auto"/>
              </w:rPr>
            </w:pPr>
            <w:r>
              <w:rPr>
                <w:rFonts w:ascii="Arial" w:cs="Arial" w:eastAsia="Arial" w:hAnsi="Arial"/>
                <w:sz w:val="18"/>
                <w:szCs w:val="18"/>
                <w:color w:val="auto"/>
              </w:rPr>
              <w:t>Freight</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2,216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9,425</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28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40,947</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8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Notes payable, net of unamortized debt issuance costs</w:t>
            </w:r>
          </w:p>
        </w:tc>
        <w:tc>
          <w:tcPr>
            <w:tcW w:w="180" w:type="dxa"/>
            <w:vAlign w:val="bottom"/>
            <w:shd w:val="clear" w:color="auto" w:fill="CCEEFF"/>
          </w:tcPr>
          <w:p>
            <w:pPr>
              <w:spacing w:after="0"/>
              <w:rPr>
                <w:sz w:val="19"/>
                <w:szCs w:val="19"/>
                <w:color w:val="auto"/>
              </w:rPr>
            </w:pPr>
          </w:p>
        </w:tc>
        <w:tc>
          <w:tcPr>
            <w:tcW w:w="13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of $31 at July 31, 2019</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4,847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Pension and postretirement benefits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12,565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spacing w:after="0"/>
              <w:rPr>
                <w:sz w:val="20"/>
                <w:szCs w:val="20"/>
                <w:color w:val="auto"/>
              </w:rPr>
            </w:pPr>
            <w:r>
              <w:rPr>
                <w:rFonts w:ascii="Arial" w:cs="Arial" w:eastAsia="Arial" w:hAnsi="Arial"/>
                <w:sz w:val="18"/>
                <w:szCs w:val="18"/>
                <w:color w:val="auto"/>
              </w:rPr>
              <w:t>Long-term operating lease liabilities</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8,285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2,682</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28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28,379</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69,326</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69,681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8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82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Common Stock, par value $.10 per share, issued 8,371,197 shares at April 30, 2020</w:t>
            </w:r>
          </w:p>
        </w:tc>
        <w:tc>
          <w:tcPr>
            <w:tcW w:w="18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28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8,284,199 shares at July 31, 2019</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80" w:type="dxa"/>
            <w:vAlign w:val="bottom"/>
            <w:gridSpan w:val="4"/>
          </w:tcPr>
          <w:p>
            <w:pPr>
              <w:spacing w:after="0"/>
              <w:rPr>
                <w:sz w:val="20"/>
                <w:szCs w:val="20"/>
                <w:color w:val="auto"/>
              </w:rPr>
            </w:pPr>
            <w:r>
              <w:rPr>
                <w:rFonts w:ascii="Arial" w:cs="Arial" w:eastAsia="Arial" w:hAnsi="Arial"/>
                <w:sz w:val="18"/>
                <w:szCs w:val="18"/>
                <w:color w:val="auto"/>
              </w:rPr>
              <w:t>Class B Stock, par value $.10 per share, issued 2,511,958 shares at April 30, 2020</w:t>
            </w:r>
          </w:p>
        </w:tc>
        <w:tc>
          <w:tcPr>
            <w:tcW w:w="180" w:type="dxa"/>
            <w:vAlign w:val="bottom"/>
          </w:tcPr>
          <w:p>
            <w:pPr>
              <w:spacing w:after="0"/>
              <w:rPr>
                <w:sz w:val="19"/>
                <w:szCs w:val="19"/>
                <w:color w:val="auto"/>
              </w:rPr>
            </w:pPr>
          </w:p>
        </w:tc>
        <w:tc>
          <w:tcPr>
            <w:tcW w:w="11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251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280" w:type="dxa"/>
            <w:vAlign w:val="bottom"/>
            <w:gridSpan w:val="4"/>
          </w:tcPr>
          <w:p>
            <w:pPr>
              <w:ind w:left="80"/>
              <w:spacing w:after="0"/>
              <w:rPr>
                <w:sz w:val="20"/>
                <w:szCs w:val="20"/>
                <w:color w:val="auto"/>
              </w:rPr>
            </w:pPr>
            <w:r>
              <w:rPr>
                <w:rFonts w:ascii="Arial" w:cs="Arial" w:eastAsia="Arial" w:hAnsi="Arial"/>
                <w:sz w:val="18"/>
                <w:szCs w:val="18"/>
                <w:color w:val="auto"/>
              </w:rPr>
              <w:t>and 2,576,479 shares at July 31, 2019</w:t>
            </w:r>
          </w:p>
        </w:tc>
        <w:tc>
          <w:tcPr>
            <w:tcW w:w="1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44,149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172,504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164,756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(9,217)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ind w:left="140"/>
              <w:spacing w:after="0"/>
              <w:rPr>
                <w:sz w:val="20"/>
                <w:szCs w:val="20"/>
                <w:color w:val="auto"/>
              </w:rPr>
            </w:pPr>
            <w:r>
              <w:rPr>
                <w:rFonts w:ascii="Arial" w:cs="Arial" w:eastAsia="Arial" w:hAnsi="Arial"/>
                <w:sz w:val="18"/>
                <w:szCs w:val="18"/>
                <w:color w:val="auto"/>
              </w:rPr>
              <w:t>Cumulative translation adjustment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(378)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28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(9,595)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(15,039)</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80" w:type="dxa"/>
            <w:vAlign w:val="bottom"/>
            <w:gridSpan w:val="4"/>
          </w:tcPr>
          <w:p>
            <w:pPr>
              <w:ind w:left="140"/>
              <w:spacing w:after="0"/>
              <w:rPr>
                <w:sz w:val="20"/>
                <w:szCs w:val="20"/>
                <w:color w:val="auto"/>
              </w:rPr>
            </w:pPr>
            <w:r>
              <w:rPr>
                <w:rFonts w:ascii="Arial" w:cs="Arial" w:eastAsia="Arial" w:hAnsi="Arial"/>
                <w:sz w:val="18"/>
                <w:szCs w:val="18"/>
                <w:color w:val="auto"/>
              </w:rPr>
              <w:t>Less Treasury Stock, at cost (3,063,813 Common and 335,816 Class B shares at</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(61,322)</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280" w:type="dxa"/>
            <w:vAlign w:val="bottom"/>
            <w:gridSpan w:val="4"/>
          </w:tcPr>
          <w:p>
            <w:pPr>
              <w:ind w:left="140"/>
              <w:spacing w:after="0"/>
              <w:rPr>
                <w:sz w:val="20"/>
                <w:szCs w:val="20"/>
                <w:color w:val="auto"/>
              </w:rPr>
            </w:pPr>
            <w:r>
              <w:rPr>
                <w:rFonts w:ascii="Arial" w:cs="Arial" w:eastAsia="Arial" w:hAnsi="Arial"/>
                <w:sz w:val="18"/>
                <w:szCs w:val="18"/>
                <w:color w:val="auto"/>
              </w:rPr>
              <w:t>April 30, 2020 and 2,926,547 Common and 324,741 Class B shares at July 31, 2019)</w:t>
            </w:r>
          </w:p>
        </w:tc>
        <w:tc>
          <w:tcPr>
            <w:tcW w:w="1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828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146,655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135,546</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8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Liabilities &amp;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215,981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205,227</w:t>
            </w:r>
          </w:p>
        </w:tc>
        <w:tc>
          <w:tcPr>
            <w:tcW w:w="0" w:type="dxa"/>
            <w:vAlign w:val="bottom"/>
          </w:tcPr>
          <w:p>
            <w:pPr>
              <w:spacing w:after="0"/>
              <w:rPr>
                <w:sz w:val="1"/>
                <w:szCs w:val="1"/>
                <w:color w:val="auto"/>
              </w:rPr>
            </w:pPr>
          </w:p>
        </w:tc>
      </w:tr>
      <w:tr>
        <w:trPr>
          <w:trHeight w:val="20"/>
        </w:trPr>
        <w:tc>
          <w:tcPr>
            <w:tcW w:w="832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32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553"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r>
      <w:tr>
        <w:trPr>
          <w:trHeight w:val="237"/>
        </w:trPr>
        <w:tc>
          <w:tcPr>
            <w:tcW w:w="8300" w:type="dxa"/>
            <w:vAlign w:val="bottom"/>
          </w:tcPr>
          <w:p>
            <w:pPr>
              <w:spacing w:after="0"/>
              <w:rPr>
                <w:sz w:val="20"/>
                <w:szCs w:val="20"/>
                <w:color w:val="auto"/>
              </w:rPr>
            </w:pPr>
          </w:p>
        </w:tc>
        <w:tc>
          <w:tcPr>
            <w:tcW w:w="2920" w:type="dxa"/>
            <w:vAlign w:val="bottom"/>
            <w:gridSpan w:val="5"/>
          </w:tcPr>
          <w:p>
            <w:pPr>
              <w:ind w:left="40"/>
              <w:spacing w:after="0"/>
              <w:rPr>
                <w:sz w:val="20"/>
                <w:szCs w:val="20"/>
                <w:color w:val="auto"/>
              </w:rPr>
            </w:pPr>
            <w:r>
              <w:rPr>
                <w:rFonts w:ascii="Arial" w:cs="Arial" w:eastAsia="Arial" w:hAnsi="Arial"/>
                <w:sz w:val="18"/>
                <w:szCs w:val="18"/>
                <w:b w:val="1"/>
                <w:bCs w:val="1"/>
                <w:color w:val="auto"/>
                <w:w w:val="92"/>
              </w:rPr>
              <w:t>For the Nine Months Ended April 30,</w:t>
            </w:r>
          </w:p>
        </w:tc>
      </w:tr>
      <w:tr>
        <w:trPr>
          <w:trHeight w:val="27"/>
        </w:trPr>
        <w:tc>
          <w:tcPr>
            <w:tcW w:w="8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8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218,383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206,908</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(158,105)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(158,660)</w:t>
            </w: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60,278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48,248</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(44,584)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(42,091)</w:t>
            </w: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15,694</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6,157</w:t>
            </w:r>
          </w:p>
        </w:tc>
      </w:tr>
      <w:tr>
        <w:trPr>
          <w:trHeight w:val="183"/>
        </w:trPr>
        <w:tc>
          <w:tcPr>
            <w:tcW w:w="83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 Income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Other, net (1)</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4,504</w:t>
            </w: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3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(Expense) Income, Net</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4,219</w:t>
            </w:r>
          </w:p>
        </w:tc>
      </w:tr>
      <w:tr>
        <w:trPr>
          <w:trHeight w:val="183"/>
        </w:trPr>
        <w:tc>
          <w:tcPr>
            <w:tcW w:w="83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15,432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10,376</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(2,573)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(1,599)</w:t>
            </w: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12,859</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8,777</w:t>
            </w: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13,014</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8,812</w:t>
            </w:r>
          </w:p>
        </w:tc>
      </w:tr>
      <w:tr>
        <w:trPr>
          <w:trHeight w:val="20"/>
        </w:trPr>
        <w:tc>
          <w:tcPr>
            <w:tcW w:w="8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6"/>
        </w:trPr>
        <w:tc>
          <w:tcPr>
            <w:tcW w:w="8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1.85</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1.27</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0.95</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1.69</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1.17</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5,152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5,108</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2,042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2,068</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7,310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7,245</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0.7500</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0.7200</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0.5625</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0.5400</w:t>
            </w:r>
          </w:p>
        </w:tc>
      </w:tr>
      <w:tr>
        <w:trPr>
          <w:trHeight w:val="27"/>
        </w:trPr>
        <w:tc>
          <w:tcPr>
            <w:tcW w:w="8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8"/>
        <w:spacing w:after="0" w:line="277"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Note 8 of the Notes to the Unaudited Condensed Consolidated Financial Statements for further information about amounts included in this line item for the nine months ended April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3"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r>
      <w:tr>
        <w:trPr>
          <w:trHeight w:val="237"/>
        </w:trPr>
        <w:tc>
          <w:tcPr>
            <w:tcW w:w="8300" w:type="dxa"/>
            <w:vAlign w:val="bottom"/>
          </w:tcPr>
          <w:p>
            <w:pPr>
              <w:spacing w:after="0"/>
              <w:rPr>
                <w:sz w:val="20"/>
                <w:szCs w:val="20"/>
                <w:color w:val="auto"/>
              </w:rPr>
            </w:pPr>
          </w:p>
        </w:tc>
        <w:tc>
          <w:tcPr>
            <w:tcW w:w="2920" w:type="dxa"/>
            <w:vAlign w:val="bottom"/>
            <w:gridSpan w:val="5"/>
          </w:tcPr>
          <w:p>
            <w:pPr>
              <w:ind w:left="40"/>
              <w:spacing w:after="0"/>
              <w:rPr>
                <w:sz w:val="20"/>
                <w:szCs w:val="20"/>
                <w:color w:val="auto"/>
              </w:rPr>
            </w:pPr>
            <w:r>
              <w:rPr>
                <w:rFonts w:ascii="Arial" w:cs="Arial" w:eastAsia="Arial" w:hAnsi="Arial"/>
                <w:sz w:val="18"/>
                <w:szCs w:val="18"/>
                <w:b w:val="1"/>
                <w:bCs w:val="1"/>
                <w:color w:val="auto"/>
                <w:w w:val="92"/>
              </w:rPr>
              <w:t>For the Nine Months Ended April 30,</w:t>
            </w:r>
          </w:p>
        </w:tc>
      </w:tr>
      <w:tr>
        <w:trPr>
          <w:trHeight w:val="27"/>
        </w:trPr>
        <w:tc>
          <w:tcPr>
            <w:tcW w:w="8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0"/>
        </w:trPr>
        <w:tc>
          <w:tcPr>
            <w:tcW w:w="8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13,014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8,812</w:t>
            </w:r>
          </w:p>
        </w:tc>
      </w:tr>
      <w:tr>
        <w:trPr>
          <w:trHeight w:val="297"/>
        </w:trPr>
        <w:tc>
          <w:tcPr>
            <w:tcW w:w="8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5,674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437</w:t>
            </w:r>
          </w:p>
        </w:tc>
      </w:tr>
      <w:tr>
        <w:trPr>
          <w:trHeight w:val="27"/>
        </w:trPr>
        <w:tc>
          <w:tcPr>
            <w:tcW w:w="8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6"/>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5,444</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430</w:t>
            </w:r>
          </w:p>
        </w:tc>
      </w:tr>
      <w:tr>
        <w:trPr>
          <w:trHeight w:val="27"/>
        </w:trPr>
        <w:tc>
          <w:tcPr>
            <w:tcW w:w="8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18,458</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9,242</w:t>
            </w:r>
          </w:p>
        </w:tc>
      </w:tr>
      <w:tr>
        <w:trPr>
          <w:trHeight w:val="20"/>
        </w:trPr>
        <w:tc>
          <w:tcPr>
            <w:tcW w:w="8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553"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218"/>
        </w:trPr>
        <w:tc>
          <w:tcPr>
            <w:tcW w:w="8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3"/>
              </w:rPr>
              <w:t>For the Three Months Ended April</w:t>
            </w:r>
          </w:p>
        </w:tc>
      </w:tr>
      <w:tr>
        <w:trPr>
          <w:trHeight w:val="234"/>
        </w:trPr>
        <w:tc>
          <w:tcPr>
            <w:tcW w:w="8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76,256</w:t>
            </w: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70,885</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(54,871)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(54,051)</w:t>
            </w:r>
          </w:p>
        </w:tc>
      </w:tr>
      <w:tr>
        <w:trPr>
          <w:trHeight w:val="27"/>
        </w:trPr>
        <w:tc>
          <w:tcPr>
            <w:tcW w:w="8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21,385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16,834</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(15,685)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(14,507)</w:t>
            </w:r>
          </w:p>
        </w:tc>
      </w:tr>
      <w:tr>
        <w:trPr>
          <w:trHeight w:val="27"/>
        </w:trPr>
        <w:tc>
          <w:tcPr>
            <w:tcW w:w="8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5,700</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2,327</w:t>
            </w:r>
          </w:p>
        </w:tc>
      </w:tr>
      <w:tr>
        <w:trPr>
          <w:trHeight w:val="290"/>
        </w:trPr>
        <w:tc>
          <w:tcPr>
            <w:tcW w:w="8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 Income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Other, net (1)</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4,465</w:t>
            </w:r>
          </w:p>
        </w:tc>
      </w:tr>
      <w:tr>
        <w:trPr>
          <w:trHeight w:val="27"/>
        </w:trPr>
        <w:tc>
          <w:tcPr>
            <w:tcW w:w="8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(Expense)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4,377</w:t>
            </w:r>
          </w:p>
        </w:tc>
      </w:tr>
      <w:tr>
        <w:trPr>
          <w:trHeight w:val="290"/>
        </w:trPr>
        <w:tc>
          <w:tcPr>
            <w:tcW w:w="8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5,597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6,704</w:t>
            </w:r>
          </w:p>
        </w:tc>
      </w:tr>
      <w:tr>
        <w:trPr>
          <w:trHeight w:val="243"/>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(947)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(1,143)</w:t>
            </w:r>
          </w:p>
        </w:tc>
      </w:tr>
      <w:tr>
        <w:trPr>
          <w:trHeight w:val="27"/>
        </w:trPr>
        <w:tc>
          <w:tcPr>
            <w:tcW w:w="8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4,650</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5,561</w:t>
            </w: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Noncontrolling Interest</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8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4,648</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5,619</w:t>
            </w:r>
          </w:p>
        </w:tc>
      </w:tr>
      <w:tr>
        <w:trPr>
          <w:trHeight w:val="20"/>
        </w:trPr>
        <w:tc>
          <w:tcPr>
            <w:tcW w:w="8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0.66</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0.81</w:t>
            </w:r>
          </w:p>
        </w:tc>
      </w:tr>
      <w:tr>
        <w:trPr>
          <w:trHeight w:val="27"/>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0.50</w:t>
            </w: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0.61</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0.61</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0.74</w:t>
            </w:r>
          </w:p>
        </w:tc>
      </w:tr>
      <w:tr>
        <w:trPr>
          <w:trHeight w:val="27"/>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5,126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5,126</w:t>
            </w:r>
          </w:p>
        </w:tc>
      </w:tr>
      <w:tr>
        <w:trPr>
          <w:trHeight w:val="27"/>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2,036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2,068</w:t>
            </w: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7,288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7,253</w:t>
            </w:r>
          </w:p>
        </w:tc>
      </w:tr>
      <w:tr>
        <w:trPr>
          <w:trHeight w:val="27"/>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0.2500</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0.2400</w:t>
            </w:r>
          </w:p>
        </w:tc>
      </w:tr>
      <w:tr>
        <w:trPr>
          <w:trHeight w:val="27"/>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0.1875</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0.1800</w:t>
            </w:r>
          </w:p>
        </w:tc>
      </w:tr>
      <w:tr>
        <w:trPr>
          <w:trHeight w:val="27"/>
        </w:trPr>
        <w:tc>
          <w:tcPr>
            <w:tcW w:w="8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note 8 of the Notes to the Unaudited Condensed Consolidated financial statements for further information about amounts included in this line item for the three months ended April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553"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r>
      <w:tr>
        <w:trPr>
          <w:trHeight w:val="218"/>
        </w:trPr>
        <w:tc>
          <w:tcPr>
            <w:tcW w:w="8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3"/>
              </w:rPr>
              <w:t>For the Three Months Ended April</w:t>
            </w:r>
          </w:p>
        </w:tc>
      </w:tr>
      <w:tr>
        <w:trPr>
          <w:trHeight w:val="234"/>
        </w:trPr>
        <w:tc>
          <w:tcPr>
            <w:tcW w:w="8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8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4,648</w:t>
            </w: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5,619</w:t>
            </w:r>
          </w:p>
        </w:tc>
      </w:tr>
      <w:tr>
        <w:trPr>
          <w:trHeight w:val="297"/>
        </w:trPr>
        <w:tc>
          <w:tcPr>
            <w:tcW w:w="8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126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146</w:t>
            </w:r>
          </w:p>
        </w:tc>
      </w:tr>
      <w:tr>
        <w:trPr>
          <w:trHeight w:val="27"/>
        </w:trPr>
        <w:tc>
          <w:tcPr>
            <w:tcW w:w="8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37"/>
        </w:trPr>
        <w:tc>
          <w:tcPr>
            <w:tcW w:w="83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175</w:t>
            </w:r>
          </w:p>
        </w:tc>
      </w:tr>
      <w:tr>
        <w:trPr>
          <w:trHeight w:val="27"/>
        </w:trPr>
        <w:tc>
          <w:tcPr>
            <w:tcW w:w="8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3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4,642</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5,794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553"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gridSpan w:val="8"/>
          </w:tcPr>
          <w:p>
            <w:pPr>
              <w:ind w:left="460"/>
              <w:spacing w:after="0"/>
              <w:rPr>
                <w:sz w:val="20"/>
                <w:szCs w:val="20"/>
                <w:color w:val="auto"/>
              </w:rPr>
            </w:pPr>
            <w:r>
              <w:rPr>
                <w:rFonts w:ascii="Arial" w:cs="Arial" w:eastAsia="Arial" w:hAnsi="Arial"/>
                <w:sz w:val="12"/>
                <w:szCs w:val="12"/>
                <w:b w:val="1"/>
                <w:bCs w:val="1"/>
                <w:color w:val="auto"/>
              </w:rPr>
              <w:t>For the Nine Months Ended April 30</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w w:val="94"/>
              </w:rPr>
              <w:t>(unaudited)</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gridSpan w:val="7"/>
          </w:tcPr>
          <w:p>
            <w:pPr>
              <w:ind w:left="460"/>
              <w:spacing w:after="0"/>
              <w:rPr>
                <w:sz w:val="20"/>
                <w:szCs w:val="20"/>
                <w:color w:val="auto"/>
              </w:rPr>
            </w:pPr>
            <w:r>
              <w:rPr>
                <w:rFonts w:ascii="Arial" w:cs="Arial" w:eastAsia="Arial" w:hAnsi="Arial"/>
                <w:sz w:val="12"/>
                <w:szCs w:val="12"/>
                <w:b w:val="1"/>
                <w:bCs w:val="1"/>
                <w:color w:val="auto"/>
              </w:rPr>
              <w:t>Number of Shares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4"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tcPr>
          <w:p>
            <w:pPr>
              <w:jc w:val="center"/>
              <w:ind w:right="140"/>
              <w:spacing w:after="0" w:line="135" w:lineRule="exact"/>
              <w:rPr>
                <w:sz w:val="20"/>
                <w:szCs w:val="20"/>
                <w:color w:val="auto"/>
              </w:rPr>
            </w:pPr>
            <w:r>
              <w:rPr>
                <w:rFonts w:ascii="Arial" w:cs="Arial" w:eastAsia="Arial" w:hAnsi="Arial"/>
                <w:sz w:val="12"/>
                <w:szCs w:val="12"/>
                <w:b w:val="1"/>
                <w:bCs w:val="1"/>
                <w:color w:val="auto"/>
                <w:w w:val="92"/>
              </w:rPr>
              <w:t>Common</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Common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4"/>
              </w:rPr>
              <w:t>Non-</w:t>
            </w:r>
          </w:p>
        </w:tc>
        <w:tc>
          <w:tcPr>
            <w:tcW w:w="120" w:type="dxa"/>
            <w:vAlign w:val="bottom"/>
          </w:tcPr>
          <w:p>
            <w:pPr>
              <w:spacing w:after="0"/>
              <w:rPr>
                <w:sz w:val="11"/>
                <w:szCs w:val="11"/>
                <w:color w:val="auto"/>
              </w:rPr>
            </w:pPr>
          </w:p>
        </w:tc>
        <w:tc>
          <w:tcPr>
            <w:tcW w:w="880" w:type="dxa"/>
            <w:vAlign w:val="bottom"/>
          </w:tcPr>
          <w:p>
            <w:pPr>
              <w:jc w:val="center"/>
              <w:ind w:right="59"/>
              <w:spacing w:after="0" w:line="135"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tcPr>
          <w:p>
            <w:pPr>
              <w:jc w:val="center"/>
              <w:ind w:right="140"/>
              <w:spacing w:after="0" w:line="135" w:lineRule="exact"/>
              <w:rPr>
                <w:sz w:val="20"/>
                <w:szCs w:val="20"/>
                <w:color w:val="auto"/>
              </w:rPr>
            </w:pPr>
            <w:r>
              <w:rPr>
                <w:rFonts w:ascii="Arial" w:cs="Arial" w:eastAsia="Arial" w:hAnsi="Arial"/>
                <w:sz w:val="12"/>
                <w:szCs w:val="12"/>
                <w:b w:val="1"/>
                <w:bCs w:val="1"/>
                <w:color w:val="auto"/>
                <w:w w:val="92"/>
              </w:rPr>
              <w:t>&amp; Class B</w:t>
            </w:r>
          </w:p>
        </w:tc>
        <w:tc>
          <w:tcPr>
            <w:tcW w:w="92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90"/>
              </w:rPr>
              <w:t>Treasury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&amp; Class B</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0"/>
              </w:rPr>
              <w:t>Treasury</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Comprehensive</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3"/>
              </w:rPr>
              <w:t>Controlling</w:t>
            </w:r>
          </w:p>
        </w:tc>
        <w:tc>
          <w:tcPr>
            <w:tcW w:w="120" w:type="dxa"/>
            <w:vAlign w:val="bottom"/>
          </w:tcPr>
          <w:p>
            <w:pPr>
              <w:spacing w:after="0"/>
              <w:rPr>
                <w:sz w:val="11"/>
                <w:szCs w:val="11"/>
                <w:color w:val="auto"/>
              </w:rPr>
            </w:pPr>
          </w:p>
        </w:tc>
        <w:tc>
          <w:tcPr>
            <w:tcW w:w="880" w:type="dxa"/>
            <w:vAlign w:val="bottom"/>
          </w:tcPr>
          <w:p>
            <w:pPr>
              <w:jc w:val="center"/>
              <w:ind w:right="59"/>
              <w:spacing w:after="0" w:line="135"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70"/>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1"/>
              </w:rPr>
              <w:t>Stock</w:t>
            </w:r>
          </w:p>
        </w:tc>
        <w:tc>
          <w:tcPr>
            <w:tcW w:w="9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1"/>
              </w:rPr>
              <w:t>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1"/>
              </w:rPr>
              <w:t>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Stock</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Interest</w:t>
            </w:r>
          </w:p>
        </w:tc>
        <w:tc>
          <w:tcPr>
            <w:tcW w:w="120" w:type="dxa"/>
            <w:vAlign w:val="bottom"/>
          </w:tcPr>
          <w:p>
            <w:pPr>
              <w:spacing w:after="0"/>
              <w:rPr>
                <w:sz w:val="14"/>
                <w:szCs w:val="14"/>
                <w:color w:val="auto"/>
              </w:rPr>
            </w:pPr>
          </w:p>
        </w:tc>
        <w:tc>
          <w:tcPr>
            <w:tcW w:w="880" w:type="dxa"/>
            <w:vAlign w:val="bottom"/>
          </w:tcPr>
          <w:p>
            <w:pPr>
              <w:jc w:val="center"/>
              <w:ind w:right="59"/>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50"/>
        </w:trPr>
        <w:tc>
          <w:tcPr>
            <w:tcW w:w="2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shd w:val="clear" w:color="auto" w:fill="CCEEFF"/>
              </w:rPr>
              <w:t>Balance, July 31, 2018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10,555,828</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(3,238,833)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1,056</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38,473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158,935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(55,946)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(10,615)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(18)</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b w:val="1"/>
                <w:bCs w:val="1"/>
                <w:color w:val="auto"/>
              </w:rPr>
              <w:t>131,885</w:t>
            </w:r>
          </w:p>
        </w:tc>
        <w:tc>
          <w:tcPr>
            <w:tcW w:w="0" w:type="dxa"/>
            <w:vAlign w:val="bottom"/>
          </w:tcPr>
          <w:p>
            <w:pPr>
              <w:spacing w:after="0"/>
              <w:rPr>
                <w:sz w:val="1"/>
                <w:szCs w:val="1"/>
                <w:color w:val="auto"/>
              </w:rPr>
            </w:pPr>
          </w:p>
        </w:tc>
      </w:tr>
      <w:tr>
        <w:trPr>
          <w:trHeight w:val="261"/>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Net Income (Loss)</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660" w:type="dxa"/>
            <w:vAlign w:val="bottom"/>
          </w:tcPr>
          <w:p>
            <w:pPr>
              <w:jc w:val="right"/>
              <w:ind w:right="59"/>
              <w:spacing w:after="0"/>
              <w:rPr>
                <w:sz w:val="20"/>
                <w:szCs w:val="20"/>
                <w:color w:val="auto"/>
              </w:rPr>
            </w:pPr>
            <w:r>
              <w:rPr>
                <w:rFonts w:ascii="Arial" w:cs="Arial" w:eastAsia="Arial" w:hAnsi="Arial"/>
                <w:sz w:val="12"/>
                <w:szCs w:val="12"/>
                <w:color w:val="auto"/>
              </w:rPr>
              <w:t>8,812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8,777</w:t>
            </w:r>
          </w:p>
        </w:tc>
        <w:tc>
          <w:tcPr>
            <w:tcW w:w="0" w:type="dxa"/>
            <w:vAlign w:val="bottom"/>
          </w:tcPr>
          <w:p>
            <w:pPr>
              <w:spacing w:after="0"/>
              <w:rPr>
                <w:sz w:val="1"/>
                <w:szCs w:val="1"/>
                <w:color w:val="auto"/>
              </w:rPr>
            </w:pPr>
          </w:p>
        </w:tc>
      </w:tr>
      <w:tr>
        <w:trPr>
          <w:trHeight w:val="279"/>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Other Comprehensive Income</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430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430</w:t>
            </w:r>
          </w:p>
        </w:tc>
        <w:tc>
          <w:tcPr>
            <w:tcW w:w="0" w:type="dxa"/>
            <w:vAlign w:val="bottom"/>
          </w:tcPr>
          <w:p>
            <w:pPr>
              <w:spacing w:after="0"/>
              <w:rPr>
                <w:sz w:val="1"/>
                <w:szCs w:val="1"/>
                <w:color w:val="auto"/>
              </w:rPr>
            </w:pPr>
          </w:p>
        </w:tc>
      </w:tr>
      <w:tr>
        <w:trPr>
          <w:trHeight w:val="261"/>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Dividends Declared</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(5,029)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279"/>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Purchases of Treasury Stock</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(4,545)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0" w:type="dxa"/>
            <w:vAlign w:val="bottom"/>
          </w:tcPr>
          <w:p>
            <w:pPr>
              <w:spacing w:after="0"/>
              <w:rPr>
                <w:sz w:val="1"/>
                <w:szCs w:val="1"/>
                <w:color w:val="auto"/>
              </w:rPr>
            </w:pPr>
          </w:p>
        </w:tc>
      </w:tr>
      <w:tr>
        <w:trPr>
          <w:trHeight w:val="152"/>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Net issuance of stock under long-term</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incentive plans</w:t>
            </w:r>
          </w:p>
        </w:tc>
        <w:tc>
          <w:tcPr>
            <w:tcW w:w="800" w:type="dxa"/>
            <w:vAlign w:val="bottom"/>
          </w:tcPr>
          <w:p>
            <w:pPr>
              <w:jc w:val="right"/>
              <w:spacing w:after="0"/>
              <w:rPr>
                <w:sz w:val="20"/>
                <w:szCs w:val="20"/>
                <w:color w:val="auto"/>
              </w:rPr>
            </w:pPr>
            <w:r>
              <w:rPr>
                <w:rFonts w:ascii="Arial" w:cs="Arial" w:eastAsia="Arial" w:hAnsi="Arial"/>
                <w:sz w:val="12"/>
                <w:szCs w:val="12"/>
                <w:color w:val="auto"/>
              </w:rPr>
              <w:t>297,600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(7,737)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29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420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(450)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73"/>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Amortization of Restricted Stock</w:t>
            </w: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1,594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1,594</w:t>
            </w:r>
          </w:p>
        </w:tc>
        <w:tc>
          <w:tcPr>
            <w:tcW w:w="0" w:type="dxa"/>
            <w:vAlign w:val="bottom"/>
          </w:tcPr>
          <w:p>
            <w:pPr>
              <w:spacing w:after="0"/>
              <w:rPr>
                <w:sz w:val="1"/>
                <w:szCs w:val="1"/>
                <w:color w:val="auto"/>
              </w:rPr>
            </w:pPr>
          </w:p>
        </w:tc>
      </w:tr>
      <w:tr>
        <w:trPr>
          <w:trHeight w:val="254"/>
        </w:trPr>
        <w:tc>
          <w:tcPr>
            <w:tcW w:w="2380" w:type="dxa"/>
            <w:vAlign w:val="bottom"/>
            <w:gridSpan w:val="2"/>
          </w:tcPr>
          <w:p>
            <w:pPr>
              <w:ind w:left="40"/>
              <w:spacing w:after="0"/>
              <w:rPr>
                <w:sz w:val="20"/>
                <w:szCs w:val="20"/>
                <w:color w:val="auto"/>
              </w:rPr>
            </w:pPr>
            <w:r>
              <w:rPr>
                <w:rFonts w:ascii="Arial" w:cs="Arial" w:eastAsia="Arial" w:hAnsi="Arial"/>
                <w:sz w:val="12"/>
                <w:szCs w:val="12"/>
                <w:b w:val="1"/>
                <w:bCs w:val="1"/>
                <w:color w:val="auto"/>
              </w:rPr>
              <w:t>Balance, April 30, 2019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10,853,428</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(3,251,115)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1,085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40,487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162,718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(56,537)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(10,185)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(53)</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137,515</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Balance, July 31, 2019</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10,860,678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(3,251,288)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1,086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41,300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164,756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(56,543)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(15,039)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2"/>
                <w:szCs w:val="12"/>
                <w:b w:val="1"/>
                <w:bCs w:val="1"/>
                <w:color w:val="auto"/>
              </w:rPr>
              <w:t>135,546</w:t>
            </w:r>
          </w:p>
        </w:tc>
        <w:tc>
          <w:tcPr>
            <w:tcW w:w="0" w:type="dxa"/>
            <w:vAlign w:val="bottom"/>
          </w:tcPr>
          <w:p>
            <w:pPr>
              <w:spacing w:after="0"/>
              <w:rPr>
                <w:sz w:val="1"/>
                <w:szCs w:val="1"/>
                <w:color w:val="auto"/>
              </w:rPr>
            </w:pPr>
          </w:p>
        </w:tc>
      </w:tr>
      <w:tr>
        <w:trPr>
          <w:trHeight w:val="261"/>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Net Income (Loss)</w:t>
            </w:r>
          </w:p>
        </w:tc>
        <w:tc>
          <w:tcPr>
            <w:tcW w:w="102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660" w:type="dxa"/>
            <w:vAlign w:val="bottom"/>
          </w:tcPr>
          <w:p>
            <w:pPr>
              <w:jc w:val="right"/>
              <w:ind w:right="59"/>
              <w:spacing w:after="0"/>
              <w:rPr>
                <w:sz w:val="20"/>
                <w:szCs w:val="20"/>
                <w:color w:val="auto"/>
              </w:rPr>
            </w:pPr>
            <w:r>
              <w:rPr>
                <w:rFonts w:ascii="Arial" w:cs="Arial" w:eastAsia="Arial" w:hAnsi="Arial"/>
                <w:sz w:val="12"/>
                <w:szCs w:val="12"/>
                <w:color w:val="auto"/>
              </w:rPr>
              <w:t>13,014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(155)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12,859</w:t>
            </w:r>
          </w:p>
        </w:tc>
        <w:tc>
          <w:tcPr>
            <w:tcW w:w="0" w:type="dxa"/>
            <w:vAlign w:val="bottom"/>
          </w:tcPr>
          <w:p>
            <w:pPr>
              <w:spacing w:after="0"/>
              <w:rPr>
                <w:sz w:val="1"/>
                <w:szCs w:val="1"/>
                <w:color w:val="auto"/>
              </w:rPr>
            </w:pPr>
          </w:p>
        </w:tc>
      </w:tr>
      <w:tr>
        <w:trPr>
          <w:trHeight w:val="279"/>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Other Comprehensive Income</w:t>
            </w:r>
          </w:p>
        </w:tc>
        <w:tc>
          <w:tcPr>
            <w:tcW w:w="10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5,444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5,444</w:t>
            </w:r>
          </w:p>
        </w:tc>
        <w:tc>
          <w:tcPr>
            <w:tcW w:w="0" w:type="dxa"/>
            <w:vAlign w:val="bottom"/>
          </w:tcPr>
          <w:p>
            <w:pPr>
              <w:spacing w:after="0"/>
              <w:rPr>
                <w:sz w:val="1"/>
                <w:szCs w:val="1"/>
                <w:color w:val="auto"/>
              </w:rPr>
            </w:pPr>
          </w:p>
        </w:tc>
      </w:tr>
      <w:tr>
        <w:trPr>
          <w:trHeight w:val="261"/>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Dividends Declared</w:t>
            </w:r>
          </w:p>
        </w:tc>
        <w:tc>
          <w:tcPr>
            <w:tcW w:w="102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(5,266)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(5,266)</w:t>
            </w:r>
          </w:p>
        </w:tc>
        <w:tc>
          <w:tcPr>
            <w:tcW w:w="0" w:type="dxa"/>
            <w:vAlign w:val="bottom"/>
          </w:tcPr>
          <w:p>
            <w:pPr>
              <w:spacing w:after="0"/>
              <w:rPr>
                <w:sz w:val="1"/>
                <w:szCs w:val="1"/>
                <w:color w:val="auto"/>
              </w:rPr>
            </w:pPr>
          </w:p>
        </w:tc>
      </w:tr>
      <w:tr>
        <w:trPr>
          <w:trHeight w:val="279"/>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Purchases of Treasury Stock</w:t>
            </w:r>
          </w:p>
        </w:tc>
        <w:tc>
          <w:tcPr>
            <w:tcW w:w="10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(143,391)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(4,620)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(4,620)</w:t>
            </w:r>
          </w:p>
        </w:tc>
        <w:tc>
          <w:tcPr>
            <w:tcW w:w="0" w:type="dxa"/>
            <w:vAlign w:val="bottom"/>
          </w:tcPr>
          <w:p>
            <w:pPr>
              <w:spacing w:after="0"/>
              <w:rPr>
                <w:sz w:val="1"/>
                <w:szCs w:val="1"/>
                <w:color w:val="auto"/>
              </w:rPr>
            </w:pPr>
          </w:p>
        </w:tc>
      </w:tr>
      <w:tr>
        <w:trPr>
          <w:trHeight w:val="152"/>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Net issuance of stock under long-term</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incentive plans</w:t>
            </w:r>
          </w:p>
        </w:tc>
        <w:tc>
          <w:tcPr>
            <w:tcW w:w="800" w:type="dxa"/>
            <w:vAlign w:val="bottom"/>
          </w:tcPr>
          <w:p>
            <w:pPr>
              <w:jc w:val="right"/>
              <w:spacing w:after="0"/>
              <w:rPr>
                <w:sz w:val="20"/>
                <w:szCs w:val="20"/>
                <w:color w:val="auto"/>
              </w:rPr>
            </w:pPr>
            <w:r>
              <w:rPr>
                <w:rFonts w:ascii="Arial" w:cs="Arial" w:eastAsia="Arial" w:hAnsi="Arial"/>
                <w:sz w:val="12"/>
                <w:szCs w:val="12"/>
                <w:color w:val="auto"/>
              </w:rPr>
              <w:t>22,477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2"/>
                <w:szCs w:val="12"/>
                <w:color w:val="auto"/>
              </w:rPr>
              <w:t>(4,950)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158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(159)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79"/>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Amortization of Restricted Stock</w:t>
            </w:r>
          </w:p>
        </w:tc>
        <w:tc>
          <w:tcPr>
            <w:tcW w:w="10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2,549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2,549</w:t>
            </w:r>
          </w:p>
        </w:tc>
        <w:tc>
          <w:tcPr>
            <w:tcW w:w="0" w:type="dxa"/>
            <w:vAlign w:val="bottom"/>
          </w:tcPr>
          <w:p>
            <w:pPr>
              <w:spacing w:after="0"/>
              <w:rPr>
                <w:sz w:val="1"/>
                <w:szCs w:val="1"/>
                <w:color w:val="auto"/>
              </w:rPr>
            </w:pPr>
          </w:p>
        </w:tc>
      </w:tr>
      <w:tr>
        <w:trPr>
          <w:trHeight w:val="263"/>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Contributions from noncontrolling interests</w:t>
            </w:r>
          </w:p>
        </w:tc>
        <w:tc>
          <w:tcPr>
            <w:tcW w:w="1020" w:type="dxa"/>
            <w:vAlign w:val="bottom"/>
            <w:gridSpan w:val="4"/>
          </w:tcPr>
          <w:p>
            <w:pPr>
              <w:jc w:val="right"/>
              <w:ind w:right="240"/>
              <w:spacing w:after="0"/>
              <w:rPr>
                <w:sz w:val="20"/>
                <w:szCs w:val="20"/>
                <w:color w:val="auto"/>
              </w:rPr>
            </w:pPr>
            <w:r>
              <w:rPr>
                <w:rFonts w:ascii="Arial" w:cs="Arial" w:eastAsia="Arial" w:hAnsi="Arial"/>
                <w:sz w:val="12"/>
                <w:szCs w:val="12"/>
                <w:b w:val="1"/>
                <w:bCs w:val="1"/>
                <w:color w:val="auto"/>
              </w:rPr>
              <w:t>—</w:t>
            </w:r>
          </w:p>
        </w:tc>
        <w:tc>
          <w:tcPr>
            <w:tcW w:w="92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142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b w:val="1"/>
                <w:bCs w:val="1"/>
                <w:color w:val="auto"/>
              </w:rPr>
              <w:t>142</w:t>
            </w:r>
          </w:p>
        </w:tc>
        <w:tc>
          <w:tcPr>
            <w:tcW w:w="0" w:type="dxa"/>
            <w:vAlign w:val="bottom"/>
          </w:tcPr>
          <w:p>
            <w:pPr>
              <w:spacing w:after="0"/>
              <w:rPr>
                <w:sz w:val="1"/>
                <w:szCs w:val="1"/>
                <w:color w:val="auto"/>
              </w:rPr>
            </w:pPr>
          </w:p>
        </w:tc>
      </w:tr>
      <w:tr>
        <w:trPr>
          <w:trHeight w:val="254"/>
        </w:trPr>
        <w:tc>
          <w:tcPr>
            <w:tcW w:w="23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Balance, April 30, 2020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10,883,155</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(3,399,629)</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1,088</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44,149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172,504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(61,322)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(9,595)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(169)</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b w:val="1"/>
                <w:bCs w:val="1"/>
                <w:color w:val="auto"/>
              </w:rPr>
              <w:t>146,655</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8"/>
          </w:tcPr>
          <w:p>
            <w:pPr>
              <w:ind w:left="380"/>
              <w:spacing w:after="0"/>
              <w:rPr>
                <w:sz w:val="20"/>
                <w:szCs w:val="20"/>
                <w:color w:val="auto"/>
              </w:rPr>
            </w:pPr>
            <w:r>
              <w:rPr>
                <w:rFonts w:ascii="Arial" w:cs="Arial" w:eastAsia="Arial" w:hAnsi="Arial"/>
                <w:sz w:val="12"/>
                <w:szCs w:val="12"/>
                <w:b w:val="1"/>
                <w:bCs w:val="1"/>
                <w:color w:val="auto"/>
              </w:rPr>
              <w:t>For the Three Months Ended April 30</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(unaudited)</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40" w:type="dxa"/>
            <w:vAlign w:val="bottom"/>
            <w:gridSpan w:val="7"/>
          </w:tcPr>
          <w:p>
            <w:pPr>
              <w:ind w:left="400"/>
              <w:spacing w:after="0"/>
              <w:rPr>
                <w:sz w:val="20"/>
                <w:szCs w:val="20"/>
                <w:color w:val="auto"/>
              </w:rPr>
            </w:pPr>
            <w:r>
              <w:rPr>
                <w:rFonts w:ascii="Arial" w:cs="Arial" w:eastAsia="Arial" w:hAnsi="Arial"/>
                <w:sz w:val="12"/>
                <w:szCs w:val="12"/>
                <w:b w:val="1"/>
                <w:bCs w:val="1"/>
                <w:color w:val="auto"/>
              </w:rPr>
              <w:t>Number of Shares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4"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tcPr>
          <w:p>
            <w:pPr>
              <w:jc w:val="center"/>
              <w:ind w:right="340"/>
              <w:spacing w:after="0" w:line="135" w:lineRule="exact"/>
              <w:rPr>
                <w:sz w:val="20"/>
                <w:szCs w:val="20"/>
                <w:color w:val="auto"/>
              </w:rPr>
            </w:pPr>
            <w:r>
              <w:rPr>
                <w:rFonts w:ascii="Arial" w:cs="Arial" w:eastAsia="Arial" w:hAnsi="Arial"/>
                <w:sz w:val="12"/>
                <w:szCs w:val="12"/>
                <w:b w:val="1"/>
                <w:bCs w:val="1"/>
                <w:color w:val="auto"/>
                <w:w w:val="92"/>
              </w:rPr>
              <w:t>Common</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Common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4"/>
              </w:rPr>
              <w:t>Non-</w:t>
            </w:r>
          </w:p>
        </w:tc>
        <w:tc>
          <w:tcPr>
            <w:tcW w:w="120" w:type="dxa"/>
            <w:vAlign w:val="bottom"/>
          </w:tcPr>
          <w:p>
            <w:pPr>
              <w:spacing w:after="0"/>
              <w:rPr>
                <w:sz w:val="11"/>
                <w:szCs w:val="11"/>
                <w:color w:val="auto"/>
              </w:rPr>
            </w:pPr>
          </w:p>
        </w:tc>
        <w:tc>
          <w:tcPr>
            <w:tcW w:w="880" w:type="dxa"/>
            <w:vAlign w:val="bottom"/>
          </w:tcPr>
          <w:p>
            <w:pPr>
              <w:jc w:val="center"/>
              <w:ind w:right="59"/>
              <w:spacing w:after="0" w:line="135"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4"/>
          </w:tcPr>
          <w:p>
            <w:pPr>
              <w:jc w:val="center"/>
              <w:ind w:right="340"/>
              <w:spacing w:after="0" w:line="135" w:lineRule="exact"/>
              <w:rPr>
                <w:sz w:val="20"/>
                <w:szCs w:val="20"/>
                <w:color w:val="auto"/>
              </w:rPr>
            </w:pPr>
            <w:r>
              <w:rPr>
                <w:rFonts w:ascii="Arial" w:cs="Arial" w:eastAsia="Arial" w:hAnsi="Arial"/>
                <w:sz w:val="12"/>
                <w:szCs w:val="12"/>
                <w:b w:val="1"/>
                <w:bCs w:val="1"/>
                <w:color w:val="auto"/>
                <w:w w:val="92"/>
              </w:rPr>
              <w:t>&amp; Class B</w:t>
            </w:r>
          </w:p>
        </w:tc>
        <w:tc>
          <w:tcPr>
            <w:tcW w:w="920" w:type="dxa"/>
            <w:vAlign w:val="bottom"/>
            <w:gridSpan w:val="3"/>
          </w:tcPr>
          <w:p>
            <w:pPr>
              <w:jc w:val="center"/>
              <w:ind w:right="200"/>
              <w:spacing w:after="0" w:line="135" w:lineRule="exact"/>
              <w:rPr>
                <w:sz w:val="20"/>
                <w:szCs w:val="20"/>
                <w:color w:val="auto"/>
              </w:rPr>
            </w:pPr>
            <w:r>
              <w:rPr>
                <w:rFonts w:ascii="Arial" w:cs="Arial" w:eastAsia="Arial" w:hAnsi="Arial"/>
                <w:sz w:val="12"/>
                <w:szCs w:val="12"/>
                <w:b w:val="1"/>
                <w:bCs w:val="1"/>
                <w:color w:val="auto"/>
                <w:w w:val="94"/>
              </w:rPr>
              <w:t>Treasury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&amp; Class B</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0"/>
              </w:rPr>
              <w:t>Treasury</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Comprehensive</w:t>
            </w: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3"/>
              </w:rPr>
              <w:t>Controlling</w:t>
            </w:r>
          </w:p>
        </w:tc>
        <w:tc>
          <w:tcPr>
            <w:tcW w:w="120" w:type="dxa"/>
            <w:vAlign w:val="bottom"/>
          </w:tcPr>
          <w:p>
            <w:pPr>
              <w:spacing w:after="0"/>
              <w:rPr>
                <w:sz w:val="11"/>
                <w:szCs w:val="11"/>
                <w:color w:val="auto"/>
              </w:rPr>
            </w:pPr>
          </w:p>
        </w:tc>
        <w:tc>
          <w:tcPr>
            <w:tcW w:w="880" w:type="dxa"/>
            <w:vAlign w:val="bottom"/>
          </w:tcPr>
          <w:p>
            <w:pPr>
              <w:jc w:val="center"/>
              <w:ind w:right="59"/>
              <w:spacing w:after="0" w:line="135"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70"/>
        </w:trPr>
        <w:tc>
          <w:tcPr>
            <w:tcW w:w="2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9"/>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85"/>
              </w:rPr>
              <w:t>Stock</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2"/>
                <w:szCs w:val="12"/>
                <w:b w:val="1"/>
                <w:bCs w:val="1"/>
                <w:color w:val="auto"/>
                <w:w w:val="91"/>
              </w:rPr>
              <w:t>Stock</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Earnings</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9"/>
              <w:spacing w:after="0"/>
              <w:rPr>
                <w:sz w:val="20"/>
                <w:szCs w:val="20"/>
                <w:color w:val="auto"/>
              </w:rPr>
            </w:pPr>
            <w:r>
              <w:rPr>
                <w:rFonts w:ascii="Arial" w:cs="Arial" w:eastAsia="Arial" w:hAnsi="Arial"/>
                <w:sz w:val="12"/>
                <w:szCs w:val="12"/>
                <w:b w:val="1"/>
                <w:bCs w:val="1"/>
                <w:color w:val="auto"/>
                <w:w w:val="91"/>
              </w:rPr>
              <w:t>Stock</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w w:val="85"/>
              </w:rPr>
              <w:t>Loss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2"/>
              </w:rPr>
              <w:t>Interest</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70"/>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Balance, January 31, 2019</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10,812,928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(3,249,728)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2"/>
                <w:szCs w:val="12"/>
                <w:b w:val="1"/>
                <w:bCs w:val="1"/>
                <w:color w:val="auto"/>
              </w:rPr>
              <w:t>1,081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39,730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158,788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(56,480)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(10,360)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2"/>
                <w:szCs w:val="12"/>
                <w:b w:val="1"/>
                <w:bCs w:val="1"/>
                <w:color w:val="auto"/>
              </w:rPr>
              <w:t>132,764</w:t>
            </w:r>
          </w:p>
        </w:tc>
        <w:tc>
          <w:tcPr>
            <w:tcW w:w="0" w:type="dxa"/>
            <w:vAlign w:val="bottom"/>
          </w:tcPr>
          <w:p>
            <w:pPr>
              <w:spacing w:after="0"/>
              <w:rPr>
                <w:sz w:val="1"/>
                <w:szCs w:val="1"/>
                <w:color w:val="auto"/>
              </w:rPr>
            </w:pPr>
          </w:p>
        </w:tc>
      </w:tr>
      <w:tr>
        <w:trPr>
          <w:trHeight w:val="261"/>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Net Income (Loss)</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660" w:type="dxa"/>
            <w:vAlign w:val="bottom"/>
          </w:tcPr>
          <w:p>
            <w:pPr>
              <w:jc w:val="right"/>
              <w:ind w:right="59"/>
              <w:spacing w:after="0"/>
              <w:rPr>
                <w:sz w:val="20"/>
                <w:szCs w:val="20"/>
                <w:color w:val="auto"/>
              </w:rPr>
            </w:pPr>
            <w:r>
              <w:rPr>
                <w:rFonts w:ascii="Arial" w:cs="Arial" w:eastAsia="Arial" w:hAnsi="Arial"/>
                <w:sz w:val="12"/>
                <w:szCs w:val="12"/>
                <w:color w:val="auto"/>
              </w:rPr>
              <w:t>5,619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5,561</w:t>
            </w:r>
          </w:p>
        </w:tc>
        <w:tc>
          <w:tcPr>
            <w:tcW w:w="0" w:type="dxa"/>
            <w:vAlign w:val="bottom"/>
          </w:tcPr>
          <w:p>
            <w:pPr>
              <w:spacing w:after="0"/>
              <w:rPr>
                <w:sz w:val="1"/>
                <w:szCs w:val="1"/>
                <w:color w:val="auto"/>
              </w:rPr>
            </w:pPr>
          </w:p>
        </w:tc>
      </w:tr>
      <w:tr>
        <w:trPr>
          <w:trHeight w:val="279"/>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Other Comprehensive Income</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175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175</w:t>
            </w:r>
          </w:p>
        </w:tc>
        <w:tc>
          <w:tcPr>
            <w:tcW w:w="0" w:type="dxa"/>
            <w:vAlign w:val="bottom"/>
          </w:tcPr>
          <w:p>
            <w:pPr>
              <w:spacing w:after="0"/>
              <w:rPr>
                <w:sz w:val="1"/>
                <w:szCs w:val="1"/>
                <w:color w:val="auto"/>
              </w:rPr>
            </w:pPr>
          </w:p>
        </w:tc>
      </w:tr>
      <w:tr>
        <w:trPr>
          <w:trHeight w:val="261"/>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Dividends Declared</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(1,689)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(1,689)</w:t>
            </w:r>
          </w:p>
        </w:tc>
        <w:tc>
          <w:tcPr>
            <w:tcW w:w="0" w:type="dxa"/>
            <w:vAlign w:val="bottom"/>
          </w:tcPr>
          <w:p>
            <w:pPr>
              <w:spacing w:after="0"/>
              <w:rPr>
                <w:sz w:val="1"/>
                <w:szCs w:val="1"/>
                <w:color w:val="auto"/>
              </w:rPr>
            </w:pPr>
          </w:p>
        </w:tc>
      </w:tr>
      <w:tr>
        <w:trPr>
          <w:trHeight w:val="279"/>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Purchases of Treasury Stock</w:t>
            </w: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52"/>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Net issuance of stock under long-term</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incentive plans</w:t>
            </w: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40,500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(1,387)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39"/>
              <w:spacing w:after="0"/>
              <w:rPr>
                <w:sz w:val="20"/>
                <w:szCs w:val="20"/>
                <w:color w:val="auto"/>
              </w:rPr>
            </w:pPr>
            <w:r>
              <w:rPr>
                <w:rFonts w:ascii="Arial" w:cs="Arial" w:eastAsia="Arial" w:hAnsi="Arial"/>
                <w:sz w:val="12"/>
                <w:szCs w:val="12"/>
                <w:color w:val="auto"/>
              </w:rPr>
              <w:t>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2"/>
        </w:trPr>
        <w:tc>
          <w:tcPr>
            <w:tcW w:w="2260" w:type="dxa"/>
            <w:vAlign w:val="bottom"/>
            <w:shd w:val="clear" w:color="auto" w:fill="CCEEFF"/>
          </w:tcPr>
          <w:p>
            <w:pPr>
              <w:ind w:left="40"/>
              <w:spacing w:after="0"/>
              <w:rPr>
                <w:sz w:val="20"/>
                <w:szCs w:val="20"/>
                <w:color w:val="auto"/>
              </w:rPr>
            </w:pPr>
            <w:r>
              <w:rPr>
                <w:rFonts w:ascii="Arial" w:cs="Arial" w:eastAsia="Arial" w:hAnsi="Arial"/>
                <w:sz w:val="12"/>
                <w:szCs w:val="12"/>
                <w:color w:val="auto"/>
              </w:rPr>
              <w:t>Amortization of Restricted Stock</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710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710</w:t>
            </w:r>
          </w:p>
        </w:tc>
        <w:tc>
          <w:tcPr>
            <w:tcW w:w="0" w:type="dxa"/>
            <w:vAlign w:val="bottom"/>
          </w:tcPr>
          <w:p>
            <w:pPr>
              <w:spacing w:after="0"/>
              <w:rPr>
                <w:sz w:val="1"/>
                <w:szCs w:val="1"/>
                <w:color w:val="auto"/>
              </w:rPr>
            </w:pPr>
          </w:p>
        </w:tc>
      </w:tr>
      <w:tr>
        <w:trPr>
          <w:trHeight w:val="252"/>
        </w:trPr>
        <w:tc>
          <w:tcPr>
            <w:tcW w:w="2380" w:type="dxa"/>
            <w:vAlign w:val="bottom"/>
            <w:gridSpan w:val="2"/>
          </w:tcPr>
          <w:p>
            <w:pPr>
              <w:ind w:left="40"/>
              <w:spacing w:after="0"/>
              <w:rPr>
                <w:sz w:val="20"/>
                <w:szCs w:val="20"/>
                <w:color w:val="auto"/>
              </w:rPr>
            </w:pPr>
            <w:r>
              <w:rPr>
                <w:rFonts w:ascii="Arial" w:cs="Arial" w:eastAsia="Arial" w:hAnsi="Arial"/>
                <w:sz w:val="12"/>
                <w:szCs w:val="12"/>
                <w:b w:val="1"/>
                <w:bCs w:val="1"/>
                <w:color w:val="auto"/>
              </w:rPr>
              <w:t>Balance, April 30, 2019</w:t>
            </w:r>
          </w:p>
        </w:tc>
        <w:tc>
          <w:tcPr>
            <w:tcW w:w="800" w:type="dxa"/>
            <w:vAlign w:val="bottom"/>
          </w:tcPr>
          <w:p>
            <w:pPr>
              <w:jc w:val="right"/>
              <w:ind w:right="59"/>
              <w:spacing w:after="0"/>
              <w:rPr>
                <w:sz w:val="20"/>
                <w:szCs w:val="20"/>
                <w:color w:val="auto"/>
              </w:rPr>
            </w:pPr>
            <w:r>
              <w:rPr>
                <w:rFonts w:ascii="Arial" w:cs="Arial" w:eastAsia="Arial" w:hAnsi="Arial"/>
                <w:sz w:val="12"/>
                <w:szCs w:val="12"/>
                <w:b w:val="1"/>
                <w:bCs w:val="1"/>
                <w:color w:val="auto"/>
              </w:rPr>
              <w:t>10,853,428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(3,251,115)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39"/>
              <w:spacing w:after="0"/>
              <w:rPr>
                <w:sz w:val="20"/>
                <w:szCs w:val="20"/>
                <w:color w:val="auto"/>
              </w:rPr>
            </w:pPr>
            <w:r>
              <w:rPr>
                <w:rFonts w:ascii="Arial" w:cs="Arial" w:eastAsia="Arial" w:hAnsi="Arial"/>
                <w:sz w:val="12"/>
                <w:szCs w:val="12"/>
                <w:b w:val="1"/>
                <w:bCs w:val="1"/>
                <w:color w:val="auto"/>
              </w:rPr>
              <w:t>1,085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780" w:type="dxa"/>
            <w:vAlign w:val="bottom"/>
          </w:tcPr>
          <w:p>
            <w:pPr>
              <w:jc w:val="right"/>
              <w:ind w:right="59"/>
              <w:spacing w:after="0"/>
              <w:rPr>
                <w:sz w:val="20"/>
                <w:szCs w:val="20"/>
                <w:color w:val="auto"/>
              </w:rPr>
            </w:pPr>
            <w:r>
              <w:rPr>
                <w:rFonts w:ascii="Arial" w:cs="Arial" w:eastAsia="Arial" w:hAnsi="Arial"/>
                <w:sz w:val="12"/>
                <w:szCs w:val="12"/>
                <w:b w:val="1"/>
                <w:bCs w:val="1"/>
                <w:color w:val="auto"/>
              </w:rPr>
              <w:t>40,487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jc w:val="right"/>
              <w:ind w:right="59"/>
              <w:spacing w:after="0"/>
              <w:rPr>
                <w:sz w:val="20"/>
                <w:szCs w:val="20"/>
                <w:color w:val="auto"/>
              </w:rPr>
            </w:pPr>
            <w:r>
              <w:rPr>
                <w:rFonts w:ascii="Arial" w:cs="Arial" w:eastAsia="Arial" w:hAnsi="Arial"/>
                <w:sz w:val="12"/>
                <w:szCs w:val="12"/>
                <w:b w:val="1"/>
                <w:bCs w:val="1"/>
                <w:color w:val="auto"/>
              </w:rPr>
              <w:t>162,718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Pr>
          <w:p>
            <w:pPr>
              <w:jc w:val="right"/>
              <w:ind w:right="19"/>
              <w:spacing w:after="0"/>
              <w:rPr>
                <w:sz w:val="20"/>
                <w:szCs w:val="20"/>
                <w:color w:val="auto"/>
              </w:rPr>
            </w:pPr>
            <w:r>
              <w:rPr>
                <w:rFonts w:ascii="Arial" w:cs="Arial" w:eastAsia="Arial" w:hAnsi="Arial"/>
                <w:sz w:val="12"/>
                <w:szCs w:val="12"/>
                <w:b w:val="1"/>
                <w:bCs w:val="1"/>
                <w:color w:val="auto"/>
              </w:rPr>
              <w:t>(56,537)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(10,185)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2"/>
                <w:szCs w:val="12"/>
                <w:b w:val="1"/>
                <w:bCs w:val="1"/>
                <w:color w:val="auto"/>
              </w:rPr>
              <w:t>(53)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2"/>
                <w:szCs w:val="12"/>
                <w:b w:val="1"/>
                <w:bCs w:val="1"/>
                <w:color w:val="auto"/>
              </w:rPr>
              <w:t>137,515</w:t>
            </w:r>
          </w:p>
        </w:tc>
        <w:tc>
          <w:tcPr>
            <w:tcW w:w="0" w:type="dxa"/>
            <w:vAlign w:val="bottom"/>
          </w:tcPr>
          <w:p>
            <w:pPr>
              <w:spacing w:after="0"/>
              <w:rPr>
                <w:sz w:val="1"/>
                <w:szCs w:val="1"/>
                <w:color w:val="auto"/>
              </w:rPr>
            </w:pPr>
          </w:p>
        </w:tc>
      </w:tr>
      <w:tr>
        <w:trPr>
          <w:trHeight w:val="153"/>
        </w:trPr>
        <w:tc>
          <w:tcPr>
            <w:tcW w:w="22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gridSpan w:val="2"/>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Balance, January 31, 2020</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10,881,155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(3,269,059)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2"/>
                <w:szCs w:val="12"/>
                <w:b w:val="1"/>
                <w:bCs w:val="1"/>
                <w:color w:val="auto"/>
              </w:rPr>
              <w:t>1,088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43,149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169,590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(57,138)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(9,589)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(171)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2"/>
                <w:szCs w:val="12"/>
                <w:b w:val="1"/>
                <w:bCs w:val="1"/>
                <w:color w:val="auto"/>
              </w:rPr>
              <w:t>146,929</w:t>
            </w:r>
          </w:p>
        </w:tc>
        <w:tc>
          <w:tcPr>
            <w:tcW w:w="0" w:type="dxa"/>
            <w:vAlign w:val="bottom"/>
          </w:tcPr>
          <w:p>
            <w:pPr>
              <w:spacing w:after="0"/>
              <w:rPr>
                <w:sz w:val="1"/>
                <w:szCs w:val="1"/>
                <w:color w:val="auto"/>
              </w:rPr>
            </w:pPr>
          </w:p>
        </w:tc>
      </w:tr>
      <w:tr>
        <w:trPr>
          <w:trHeight w:val="261"/>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Net Income (Loss)</w:t>
            </w:r>
          </w:p>
        </w:tc>
        <w:tc>
          <w:tcPr>
            <w:tcW w:w="1020" w:type="dxa"/>
            <w:vAlign w:val="bottom"/>
            <w:gridSpan w:val="4"/>
          </w:tcPr>
          <w:p>
            <w:pPr>
              <w:jc w:val="right"/>
              <w:ind w:right="340"/>
              <w:spacing w:after="0"/>
              <w:rPr>
                <w:sz w:val="20"/>
                <w:szCs w:val="20"/>
                <w:color w:val="auto"/>
              </w:rPr>
            </w:pPr>
            <w:r>
              <w:rPr>
                <w:rFonts w:ascii="Arial" w:cs="Arial" w:eastAsia="Arial" w:hAnsi="Arial"/>
                <w:sz w:val="12"/>
                <w:szCs w:val="12"/>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660" w:type="dxa"/>
            <w:vAlign w:val="bottom"/>
          </w:tcPr>
          <w:p>
            <w:pPr>
              <w:jc w:val="right"/>
              <w:ind w:right="59"/>
              <w:spacing w:after="0"/>
              <w:rPr>
                <w:sz w:val="20"/>
                <w:szCs w:val="20"/>
                <w:color w:val="auto"/>
              </w:rPr>
            </w:pPr>
            <w:r>
              <w:rPr>
                <w:rFonts w:ascii="Arial" w:cs="Arial" w:eastAsia="Arial" w:hAnsi="Arial"/>
                <w:sz w:val="12"/>
                <w:szCs w:val="12"/>
                <w:color w:val="auto"/>
              </w:rPr>
              <w:t>4,648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4,650</w:t>
            </w:r>
          </w:p>
        </w:tc>
        <w:tc>
          <w:tcPr>
            <w:tcW w:w="0" w:type="dxa"/>
            <w:vAlign w:val="bottom"/>
          </w:tcPr>
          <w:p>
            <w:pPr>
              <w:spacing w:after="0"/>
              <w:rPr>
                <w:sz w:val="1"/>
                <w:szCs w:val="1"/>
                <w:color w:val="auto"/>
              </w:rPr>
            </w:pPr>
          </w:p>
        </w:tc>
      </w:tr>
      <w:tr>
        <w:trPr>
          <w:trHeight w:val="279"/>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Other Comprehensive Income</w:t>
            </w:r>
          </w:p>
        </w:tc>
        <w:tc>
          <w:tcPr>
            <w:tcW w:w="1020" w:type="dxa"/>
            <w:vAlign w:val="bottom"/>
            <w:gridSpan w:val="4"/>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61"/>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Dividends Declared</w:t>
            </w:r>
          </w:p>
        </w:tc>
        <w:tc>
          <w:tcPr>
            <w:tcW w:w="1020" w:type="dxa"/>
            <w:vAlign w:val="bottom"/>
            <w:gridSpan w:val="4"/>
          </w:tcPr>
          <w:p>
            <w:pPr>
              <w:jc w:val="right"/>
              <w:ind w:right="340"/>
              <w:spacing w:after="0"/>
              <w:rPr>
                <w:sz w:val="20"/>
                <w:szCs w:val="20"/>
                <w:color w:val="auto"/>
              </w:rPr>
            </w:pPr>
            <w:r>
              <w:rPr>
                <w:rFonts w:ascii="Arial" w:cs="Arial" w:eastAsia="Arial" w:hAnsi="Arial"/>
                <w:sz w:val="12"/>
                <w:szCs w:val="12"/>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(1,734)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(1,734)</w:t>
            </w:r>
          </w:p>
        </w:tc>
        <w:tc>
          <w:tcPr>
            <w:tcW w:w="0" w:type="dxa"/>
            <w:vAlign w:val="bottom"/>
          </w:tcPr>
          <w:p>
            <w:pPr>
              <w:spacing w:after="0"/>
              <w:rPr>
                <w:sz w:val="1"/>
                <w:szCs w:val="1"/>
                <w:color w:val="auto"/>
              </w:rPr>
            </w:pPr>
          </w:p>
        </w:tc>
      </w:tr>
      <w:tr>
        <w:trPr>
          <w:trHeight w:val="279"/>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Purchases of Treasury Stock</w:t>
            </w:r>
          </w:p>
        </w:tc>
        <w:tc>
          <w:tcPr>
            <w:tcW w:w="1020" w:type="dxa"/>
            <w:vAlign w:val="bottom"/>
            <w:gridSpan w:val="4"/>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(127,770)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rPr>
              <w:t>(4,097)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(4,097)</w:t>
            </w:r>
          </w:p>
        </w:tc>
        <w:tc>
          <w:tcPr>
            <w:tcW w:w="0" w:type="dxa"/>
            <w:vAlign w:val="bottom"/>
          </w:tcPr>
          <w:p>
            <w:pPr>
              <w:spacing w:after="0"/>
              <w:rPr>
                <w:sz w:val="1"/>
                <w:szCs w:val="1"/>
                <w:color w:val="auto"/>
              </w:rPr>
            </w:pPr>
          </w:p>
        </w:tc>
      </w:tr>
      <w:tr>
        <w:trPr>
          <w:trHeight w:val="152"/>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Net issuance of stock under long-term</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incentive plans</w:t>
            </w:r>
          </w:p>
        </w:tc>
        <w:tc>
          <w:tcPr>
            <w:tcW w:w="800" w:type="dxa"/>
            <w:vAlign w:val="bottom"/>
          </w:tcPr>
          <w:p>
            <w:pPr>
              <w:jc w:val="right"/>
              <w:ind w:right="59"/>
              <w:spacing w:after="0"/>
              <w:rPr>
                <w:sz w:val="20"/>
                <w:szCs w:val="20"/>
                <w:color w:val="auto"/>
              </w:rPr>
            </w:pPr>
            <w:r>
              <w:rPr>
                <w:rFonts w:ascii="Arial" w:cs="Arial" w:eastAsia="Arial" w:hAnsi="Arial"/>
                <w:sz w:val="12"/>
                <w:szCs w:val="12"/>
                <w:color w:val="auto"/>
              </w:rPr>
              <w:t>2,000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60" w:type="dxa"/>
            <w:vAlign w:val="bottom"/>
          </w:tcPr>
          <w:p>
            <w:pPr>
              <w:jc w:val="right"/>
              <w:ind w:right="19"/>
              <w:spacing w:after="0"/>
              <w:rPr>
                <w:sz w:val="20"/>
                <w:szCs w:val="20"/>
                <w:color w:val="auto"/>
              </w:rPr>
            </w:pPr>
            <w:r>
              <w:rPr>
                <w:rFonts w:ascii="Arial" w:cs="Arial" w:eastAsia="Arial" w:hAnsi="Arial"/>
                <w:sz w:val="12"/>
                <w:szCs w:val="12"/>
                <w:color w:val="auto"/>
              </w:rPr>
              <w:t>(87)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tcPr>
          <w:p>
            <w:pPr>
              <w:jc w:val="right"/>
              <w:ind w:right="39"/>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79"/>
        </w:trPr>
        <w:tc>
          <w:tcPr>
            <w:tcW w:w="23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Amortization of Restricted Stock</w:t>
            </w:r>
          </w:p>
        </w:tc>
        <w:tc>
          <w:tcPr>
            <w:tcW w:w="1020" w:type="dxa"/>
            <w:vAlign w:val="bottom"/>
            <w:gridSpan w:val="4"/>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770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770</w:t>
            </w:r>
          </w:p>
        </w:tc>
        <w:tc>
          <w:tcPr>
            <w:tcW w:w="0" w:type="dxa"/>
            <w:vAlign w:val="bottom"/>
          </w:tcPr>
          <w:p>
            <w:pPr>
              <w:spacing w:after="0"/>
              <w:rPr>
                <w:sz w:val="1"/>
                <w:szCs w:val="1"/>
                <w:color w:val="auto"/>
              </w:rPr>
            </w:pPr>
          </w:p>
        </w:tc>
      </w:tr>
      <w:tr>
        <w:trPr>
          <w:trHeight w:val="152"/>
        </w:trPr>
        <w:tc>
          <w:tcPr>
            <w:tcW w:w="2380" w:type="dxa"/>
            <w:vAlign w:val="bottom"/>
            <w:gridSpan w:val="2"/>
          </w:tcPr>
          <w:p>
            <w:pPr>
              <w:ind w:left="40"/>
              <w:spacing w:after="0"/>
              <w:rPr>
                <w:sz w:val="20"/>
                <w:szCs w:val="20"/>
                <w:color w:val="auto"/>
              </w:rPr>
            </w:pPr>
            <w:r>
              <w:rPr>
                <w:rFonts w:ascii="Arial" w:cs="Arial" w:eastAsia="Arial" w:hAnsi="Arial"/>
                <w:sz w:val="12"/>
                <w:szCs w:val="12"/>
                <w:color w:val="auto"/>
              </w:rPr>
              <w:t>Contributions from noncontrolling interests</w:t>
            </w:r>
          </w:p>
        </w:tc>
        <w:tc>
          <w:tcPr>
            <w:tcW w:w="80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w:t>
            </w:r>
          </w:p>
        </w:tc>
        <w:tc>
          <w:tcPr>
            <w:tcW w:w="120" w:type="dxa"/>
            <w:vAlign w:val="bottom"/>
            <w:gridSpan w:val="2"/>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59"/>
              <w:spacing w:after="0"/>
              <w:rPr>
                <w:sz w:val="20"/>
                <w:szCs w:val="20"/>
                <w:color w:val="auto"/>
              </w:rPr>
            </w:pPr>
            <w:r>
              <w:rPr>
                <w:rFonts w:ascii="Arial" w:cs="Arial" w:eastAsia="Arial" w:hAnsi="Arial"/>
                <w:sz w:val="12"/>
                <w:szCs w:val="12"/>
                <w:b w:val="1"/>
                <w:bCs w:val="1"/>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2"/>
                <w:szCs w:val="12"/>
                <w:b w:val="1"/>
                <w:bCs w:val="1"/>
                <w:color w:val="auto"/>
              </w:rPr>
              <w:t>—</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26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gridSpan w:val="2"/>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142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254"/>
        </w:trPr>
        <w:tc>
          <w:tcPr>
            <w:tcW w:w="2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Balance, April 30, 2020</w:t>
            </w: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10,883,155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(3,399,629)</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b w:val="1"/>
                <w:bCs w:val="1"/>
                <w:color w:val="auto"/>
              </w:rPr>
              <w:t>1,088</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44,149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b w:val="1"/>
                <w:bCs w:val="1"/>
                <w:color w:val="auto"/>
              </w:rPr>
              <w:t>172,504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(61,322)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(9,595)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b w:val="1"/>
                <w:bCs w:val="1"/>
                <w:color w:val="auto"/>
              </w:rPr>
              <w:t>146,655</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right="480" w:firstLine="8"/>
        <w:spacing w:after="0" w:line="255"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On April 1, 2020 we increased our interest in one of our non-wholly owned subsidiaries from 52.0% to 78.4% for approximately $724,000 when that subsidiary issued shares through a capital call. Certain other noncontrolling interest holders also purchased shares but to a lesser extent, thereby diluting their collective ownership from 48.0% to 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-200660</wp:posOffset>
            </wp:positionV>
            <wp:extent cx="570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 Condensed Consolidated Financial Statements.</w:t>
      </w:r>
    </w:p>
    <w:p>
      <w:pPr>
        <w:sectPr>
          <w:pgSz w:w="11900" w:h="16838" w:orient="portrait"/>
          <w:cols w:equalWidth="0" w:num="1">
            <w:col w:w="11240"/>
          </w:cols>
          <w:pgMar w:left="320" w:top="553" w:right="339" w:bottom="1108"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553" w:right="339" w:bottom="1108"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920" w:type="dxa"/>
            <w:vAlign w:val="bottom"/>
            <w:gridSpan w:val="5"/>
          </w:tcPr>
          <w:p>
            <w:pPr>
              <w:ind w:left="40"/>
              <w:spacing w:after="0"/>
              <w:rPr>
                <w:sz w:val="20"/>
                <w:szCs w:val="20"/>
                <w:color w:val="auto"/>
              </w:rPr>
            </w:pPr>
            <w:r>
              <w:rPr>
                <w:rFonts w:ascii="Arial" w:cs="Arial" w:eastAsia="Arial" w:hAnsi="Arial"/>
                <w:sz w:val="18"/>
                <w:szCs w:val="18"/>
                <w:b w:val="1"/>
                <w:bCs w:val="1"/>
                <w:color w:val="auto"/>
                <w:w w:val="92"/>
              </w:rPr>
              <w:t>For the Nine Months Ended April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28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7"/>
                <w:szCs w:val="17"/>
                <w:color w:val="auto"/>
              </w:rPr>
            </w:pPr>
          </w:p>
        </w:tc>
        <w:tc>
          <w:tcPr>
            <w:tcW w:w="10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2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12,859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10,399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w:t>
            </w:r>
          </w:p>
        </w:tc>
        <w:tc>
          <w:tcPr>
            <w:tcW w:w="32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2,549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ind w:left="2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1,367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Provision for bad debts and cash discounts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ind w:left="240"/>
              <w:spacing w:after="0"/>
              <w:rPr>
                <w:sz w:val="20"/>
                <w:szCs w:val="20"/>
                <w:color w:val="auto"/>
              </w:rPr>
            </w:pPr>
            <w:r>
              <w:rPr>
                <w:rFonts w:ascii="Arial" w:cs="Arial" w:eastAsia="Arial" w:hAnsi="Arial"/>
                <w:sz w:val="18"/>
                <w:szCs w:val="18"/>
                <w:color w:val="auto"/>
              </w:rPr>
              <w:t>Loss on the sale of fixed assets</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102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Curtailment gain on SERP Plan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(1,296)</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ind w:left="240"/>
              <w:spacing w:after="0"/>
              <w:rPr>
                <w:sz w:val="20"/>
                <w:szCs w:val="20"/>
                <w:color w:val="auto"/>
              </w:rPr>
            </w:pPr>
            <w:r>
              <w:rPr>
                <w:rFonts w:ascii="Arial" w:cs="Arial" w:eastAsia="Arial" w:hAnsi="Arial"/>
                <w:sz w:val="18"/>
                <w:szCs w:val="18"/>
                <w:color w:val="auto"/>
              </w:rPr>
              <w:t>(Increase) Decrease in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(7,296)</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ind w:left="4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ind w:left="4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816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ind w:left="4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3,859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4,612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ind w:left="460"/>
              <w:spacing w:after="0"/>
              <w:rPr>
                <w:sz w:val="20"/>
                <w:szCs w:val="20"/>
                <w:color w:val="auto"/>
              </w:rPr>
            </w:pPr>
            <w:r>
              <w:rPr>
                <w:rFonts w:ascii="Arial" w:cs="Arial" w:eastAsia="Arial" w:hAnsi="Arial"/>
                <w:sz w:val="18"/>
                <w:szCs w:val="18"/>
                <w:color w:val="auto"/>
              </w:rPr>
              <w:t>Deferred compensation</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129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Pension and postretirement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ind w:left="46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(1,101)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828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Adjustments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9,410</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28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22,269</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15,364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0" w:type="dxa"/>
            <w:vAlign w:val="bottom"/>
            <w:shd w:val="clear" w:color="auto" w:fill="CCEEFF"/>
          </w:tcPr>
          <w:p>
            <w:pPr>
              <w:spacing w:after="0"/>
              <w:rPr>
                <w:sz w:val="24"/>
                <w:szCs w:val="24"/>
                <w:color w:val="auto"/>
              </w:rPr>
            </w:pPr>
          </w:p>
        </w:tc>
        <w:tc>
          <w:tcPr>
            <w:tcW w:w="3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8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(10,870)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112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ind w:left="240"/>
              <w:spacing w:after="0"/>
              <w:rPr>
                <w:sz w:val="20"/>
                <w:szCs w:val="20"/>
                <w:color w:val="auto"/>
              </w:rPr>
            </w:pPr>
            <w:r>
              <w:rPr>
                <w:rFonts w:ascii="Arial" w:cs="Arial" w:eastAsia="Arial" w:hAnsi="Arial"/>
                <w:sz w:val="18"/>
                <w:szCs w:val="18"/>
                <w:color w:val="auto"/>
              </w:rPr>
              <w:t>Dispositions of short-term investments</w:t>
            </w:r>
          </w:p>
        </w:tc>
        <w:tc>
          <w:tcPr>
            <w:tcW w:w="32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11,082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2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(10,758)</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90"/>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430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ind w:left="240"/>
              <w:spacing w:after="0"/>
              <w:rPr>
                <w:sz w:val="20"/>
                <w:szCs w:val="20"/>
                <w:color w:val="auto"/>
              </w:rPr>
            </w:pPr>
            <w:r>
              <w:rPr>
                <w:rFonts w:ascii="Arial" w:cs="Arial" w:eastAsia="Arial" w:hAnsi="Arial"/>
                <w:sz w:val="18"/>
                <w:szCs w:val="18"/>
                <w:color w:val="auto"/>
              </w:rPr>
              <w:t>Principal payments on notes payable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(3,082)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Dividends paid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80" w:type="dxa"/>
            <w:vAlign w:val="bottom"/>
            <w:gridSpan w:val="4"/>
          </w:tcPr>
          <w:p>
            <w:pPr>
              <w:ind w:left="240"/>
              <w:spacing w:after="0"/>
              <w:rPr>
                <w:sz w:val="20"/>
                <w:szCs w:val="20"/>
                <w:color w:val="auto"/>
              </w:rPr>
            </w:pPr>
            <w:r>
              <w:rPr>
                <w:rFonts w:ascii="Arial" w:cs="Arial" w:eastAsia="Arial" w:hAnsi="Arial"/>
                <w:sz w:val="18"/>
                <w:szCs w:val="18"/>
                <w:color w:val="auto"/>
              </w:rPr>
              <w:t>Purchase of treasury stock</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(4,620)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Contributions from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142</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28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(12,852)</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8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8280" w:type="dxa"/>
            <w:vAlign w:val="bottom"/>
            <w:gridSpan w:val="4"/>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(1,314)</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2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21,862</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28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20,548</w:t>
            </w:r>
          </w:p>
        </w:tc>
        <w:tc>
          <w:tcPr>
            <w:tcW w:w="2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16,224</w:t>
            </w:r>
          </w:p>
        </w:tc>
        <w:tc>
          <w:tcPr>
            <w:tcW w:w="0" w:type="dxa"/>
            <w:vAlign w:val="bottom"/>
          </w:tcPr>
          <w:p>
            <w:pPr>
              <w:spacing w:after="0"/>
              <w:rPr>
                <w:sz w:val="1"/>
                <w:szCs w:val="1"/>
                <w:color w:val="auto"/>
              </w:rPr>
            </w:pPr>
          </w:p>
        </w:tc>
      </w:tr>
      <w:tr>
        <w:trPr>
          <w:trHeight w:val="20"/>
        </w:trPr>
        <w:tc>
          <w:tcPr>
            <w:tcW w:w="8320" w:type="dxa"/>
            <w:vAlign w:val="bottom"/>
            <w:gridSpan w:val="5"/>
            <w:vMerge w:val="restart"/>
          </w:tcPr>
          <w:p>
            <w:pPr>
              <w:jc w:val="right"/>
              <w:ind w:right="2600"/>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2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2920" w:type="dxa"/>
            <w:vAlign w:val="bottom"/>
            <w:gridSpan w:val="5"/>
          </w:tcPr>
          <w:p>
            <w:pPr>
              <w:ind w:left="40"/>
              <w:spacing w:after="0"/>
              <w:rPr>
                <w:sz w:val="20"/>
                <w:szCs w:val="20"/>
                <w:color w:val="auto"/>
              </w:rPr>
            </w:pPr>
            <w:r>
              <w:rPr>
                <w:rFonts w:ascii="Arial" w:cs="Arial" w:eastAsia="Arial" w:hAnsi="Arial"/>
                <w:sz w:val="18"/>
                <w:szCs w:val="18"/>
                <w:b w:val="1"/>
                <w:bCs w:val="1"/>
                <w:color w:val="auto"/>
                <w:w w:val="92"/>
              </w:rPr>
              <w:t>For the Nine Months Ended April 30,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7"/>
        </w:trPr>
        <w:tc>
          <w:tcPr>
            <w:tcW w:w="83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accrued, but not paid</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Arial" w:cs="Arial" w:eastAsia="Arial" w:hAnsi="Arial"/>
                <w:sz w:val="18"/>
                <w:szCs w:val="18"/>
                <w:color w:val="auto"/>
              </w:rPr>
              <w:t>Cash dividends declared and accrued, but not paid</w:t>
            </w:r>
          </w:p>
        </w:tc>
        <w:tc>
          <w:tcPr>
            <w:tcW w:w="32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1,735</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492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jc w:val="both"/>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2019 included in our Annual Report on Form 10-K filed with the SEC.</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Condensed Consolidated Financial Statements reflect all adjustments, consisting of normal recurring accruals and reclassifications which are, in the opinion of management, necessary for a fair presentation of the statements contained herein. In addition, certain prior year reclassifications were made to conform to the current year presentation. Operating results for the three and nine months ended April 30, 2020 are not necessarily an indication of the results that may be expected for the fiscal year ending July 31, 2020.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the World Health Organization declared the recent novel coronavirus outbreak ("the coronavirus" or "COVID-19") a pandemic. Despite the adverse effects of COVID-19 on the overall economy, we have not experienced a significant decline in customer orders and sales in the third quarter of fiscal year 2020. However, the effects of COVID-19 are unprecedented, and therefore we are unable to ascertain the effects on our sales and net earnings for the balance of fiscal year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and expenses during the reporting period, as well as the related disclosures. All of our estimates and assumptions are revised periodically. Actual results could differ from these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Our significant accounting policies, which are detailed in our Annual Report on Form 10-K for the fiscal year ended July 31, 2019 have not materially changed, except as described herein, including policies associated with the August 1, 2019 adoption of Accounting Standards Codification (“ASC”) 842, </w:t>
      </w:r>
      <w:r>
        <w:rPr>
          <w:rFonts w:ascii="Arial" w:cs="Arial" w:eastAsia="Arial" w:hAnsi="Arial"/>
          <w:sz w:val="16"/>
          <w:szCs w:val="16"/>
          <w:i w:val="1"/>
          <w:iCs w:val="1"/>
          <w:color w:val="auto"/>
        </w:rPr>
        <w:t>Leases</w:t>
      </w:r>
      <w:r>
        <w:rPr>
          <w:rFonts w:ascii="Arial" w:cs="Arial" w:eastAsia="Arial" w:hAnsi="Arial"/>
          <w:sz w:val="16"/>
          <w:szCs w:val="16"/>
          <w:color w:val="auto"/>
        </w:rPr>
        <w:t>. Changes to our accounting policies as a result of the ASC 842 adoption are discussed below and further information is also provided in Note 2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Notes to unaudited Condensed Consolidated Financial Statements. Following is a description of certain of our significant accounting policies.</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Trade Receivables. </w:t>
      </w:r>
      <w:r>
        <w:rPr>
          <w:rFonts w:ascii="Arial" w:cs="Arial" w:eastAsia="Arial" w:hAnsi="Arial"/>
          <w:sz w:val="17"/>
          <w:szCs w:val="17"/>
          <w:color w:val="auto"/>
        </w:rPr>
        <w:t>We record an allowance for doubtful accounts based on our historical experience and a periodic review of our accounts receivable,</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 review of the overall aging of accounts, consideration of customer credit risk and analysis of facts and circumstances about specific customer accounts. A customer account is determined to be uncollectible when it is probable that a loss will be incurred after we have completed our internal collection procedures, including termination of shipments, direct customer contact and formal demand of payment.</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Overburden Removal and Mining Costs. </w:t>
      </w:r>
      <w:r>
        <w:rPr>
          <w:rFonts w:ascii="Arial" w:cs="Arial" w:eastAsia="Arial" w:hAnsi="Arial"/>
          <w:sz w:val="18"/>
          <w:szCs w:val="18"/>
          <w:color w:val="auto"/>
        </w:rPr>
        <w:t>We mine sorbent materials on property that we either own or lease as part of our overall operations.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53" w:right="3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ASC 842 provides that a contract is, or contains, a lease if it conveys the right to control the use of an identified asset and, accordingly, a lease</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and a related right-of-use (“ROU”) asset is recognized at the commencement date on our consolidated balance sheet. As provided in ASC 842, we have elected not to apply these measurement and recognition requirements to short-term leases (i.e., leases with a term of 12 months or less). Short-term leases will not be recorded as ROU assets or lease liabilities on our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used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of our leases provide for variable lease payments that vary due to changes in facts and circumstances occurring after the commencement date, other than the passage of time. Variable lease payments that are dependent on an index or rate (e.g.,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18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We recognize revenue when performance obligations under the terms of the contracts with customers are satisfied. Our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$362,000 and $259,000 as of April 30, 2020 and July 31, 2019, respectively. This liability is reported in Other Accrued Expenses on the unaudited Condensed Consolidated Balance Sheet. Revenue recognized during the nine months ended April 30, 2020 that was included in the liability for advance payments at the beginning of the period was $174,000.</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15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(“SG&amp;A”) include salaries, wages and benefits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staff outside the manufacturing and distribution functions, all marketing related costs, 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557" w:right="339" w:bottom="1440" w:gutter="0" w:footer="0" w:header="0"/>
        </w:sectPr>
      </w:pPr>
    </w:p>
    <w:bookmarkStart w:id="13" w:name="page14"/>
    <w:bookmarkEnd w:id="13"/>
    <w:p>
      <w:pPr>
        <w:jc w:val="both"/>
        <w:spacing w:after="0" w:line="308" w:lineRule="auto"/>
        <w:rPr>
          <w:sz w:val="20"/>
          <w:szCs w:val="20"/>
          <w:color w:val="auto"/>
        </w:rPr>
      </w:pPr>
      <w:r>
        <w:rPr>
          <w:rFonts w:ascii="Arial" w:cs="Arial" w:eastAsia="Arial" w:hAnsi="Arial"/>
          <w:sz w:val="17"/>
          <w:szCs w:val="17"/>
          <w:color w:val="auto"/>
        </w:rPr>
        <w:t>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27, 2020, in response to the COVID-19 pandemic, the Coronavirus Aid, Relief, and Economic Security Act (the “CARES Act”) was signed into U.S. law. The CARES Act provides for, among other things, deferral of the employer portion of social security taxes incurred through the end of calendar 2020. As permitted by the CARES Act, we deferred approximately $130,000 in payroll taxes during its quarter ended April 30, 2020 and expect to defer the payment of payroll taxes each quarter for the remainder of 2020 to be paid equally in the fourth quarters of 2021 and 2022 representing approximately $2,000,000 in payroll taxes.</w:t>
      </w:r>
    </w:p>
    <w:p>
      <w:pPr>
        <w:spacing w:after="0" w:line="187" w:lineRule="exact"/>
        <w:rPr>
          <w:sz w:val="20"/>
          <w:szCs w:val="20"/>
          <w:color w:val="auto"/>
        </w:rPr>
      </w:pPr>
    </w:p>
    <w:p>
      <w:pPr>
        <w:ind w:right="5680" w:firstLine="8"/>
        <w:spacing w:after="0" w:line="503"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AND REGULATIONS Recently Adopted Pronouncements</w:t>
      </w:r>
    </w:p>
    <w:p>
      <w:pPr>
        <w:jc w:val="both"/>
        <w:spacing w:after="0" w:line="257" w:lineRule="auto"/>
        <w:rPr>
          <w:sz w:val="20"/>
          <w:szCs w:val="20"/>
          <w:color w:val="auto"/>
        </w:rPr>
      </w:pPr>
      <w:r>
        <w:rPr>
          <w:rFonts w:ascii="Arial" w:cs="Arial" w:eastAsia="Arial" w:hAnsi="Arial"/>
          <w:sz w:val="18"/>
          <w:szCs w:val="18"/>
          <w:color w:val="auto"/>
        </w:rPr>
        <w:t xml:space="preserve">On August 1, 2019 we adopted ASC 842,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transition approach and, accordingly, we did not restate prior comparative period financial statements. As of the date of adoption, we elected the package of practical expedients that allowed us to forgo assessment under the ASC 842 guidance whether existing or expired contracts contained leases, the classification of expired or existing leases and the accounting for previously incurred initial direct costs. We also elected the practical expedient to forgo assessment under ASC 842 whether existing or expired land easements not previously accounted for under legacy leasing GAAP contain leases.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adoption of ASC 842 on August 1, 2019 resulted in the recognition of additional ROU assets and lease liabilities related to operating leases of $9,348,000 and $10,910,000, respectively, on our unaudited Condensed Consolidated Balance Sheet. There was no material impact to any of our other unaudited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Pronouncements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March 2020, the FASB issued guidance under ASC 848,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We are currently evaluating the potential effects of the adoption of this guidance on our Consolidated Financial Statements.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December 2019, the FASB issued guidance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simplifies the accounting for income taxes. The guidance removes several specific exceptions to the general principles in ASC 740 and clarifies and makes amendments to improve consistent application of and simplify existing accounting for other areas in ASC 740. This guidance is effective for our first quarter of fiscal year 2022, with early adoption permitted. We are currently evaluating the impact of the adoption of this requirement on our Consolidated Financial Statements.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2023. We are currently evaluating the impact of the adoption of this requirement on our Consolidated Financial Statements.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5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54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18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8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7"/>
        </w:trPr>
        <w:tc>
          <w:tcPr>
            <w:tcW w:w="188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188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14,250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13,957</w:t>
            </w:r>
          </w:p>
        </w:tc>
      </w:tr>
      <w:tr>
        <w:trPr>
          <w:trHeight w:val="243"/>
        </w:trPr>
        <w:tc>
          <w:tcPr>
            <w:tcW w:w="188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Packaging</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5,576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5,681</w:t>
            </w:r>
          </w:p>
        </w:tc>
      </w:tr>
      <w:tr>
        <w:trPr>
          <w:trHeight w:val="27"/>
        </w:trPr>
        <w:tc>
          <w:tcPr>
            <w:tcW w:w="18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880" w:type="dxa"/>
            <w:vAlign w:val="bottom"/>
          </w:tcPr>
          <w:p>
            <w:pPr>
              <w:spacing w:after="0"/>
              <w:rPr>
                <w:sz w:val="23"/>
                <w:szCs w:val="23"/>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4,270</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4,525</w:t>
            </w:r>
          </w:p>
        </w:tc>
      </w:tr>
      <w:tr>
        <w:trPr>
          <w:trHeight w:val="257"/>
        </w:trPr>
        <w:tc>
          <w:tcPr>
            <w:tcW w:w="1880" w:type="dxa"/>
            <w:vAlign w:val="bottom"/>
          </w:tcPr>
          <w:p>
            <w:pPr>
              <w:spacing w:after="0"/>
              <w:rPr>
                <w:sz w:val="22"/>
                <w:szCs w:val="22"/>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24,096</w:t>
            </w:r>
          </w:p>
        </w:tc>
        <w:tc>
          <w:tcPr>
            <w:tcW w:w="2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24,163</w:t>
            </w:r>
          </w:p>
        </w:tc>
      </w:tr>
      <w:tr>
        <w:trPr>
          <w:trHeight w:val="20"/>
        </w:trPr>
        <w:tc>
          <w:tcPr>
            <w:tcW w:w="18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considered specific items, but also took into consideration the overall value of the inventory as of the balance sheet date. The inventory obsolescence reserve values at April 30, 2020 and July 31, 2019 were $1,350,000 and $704,000, respectively. The higher obsolescence reserve is attributed to our focus on inventory management and enhanced data available from our enterprise resource planning (“ERP”) system.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2: Observable market-based inputs for similar assets or liabilities or valuation models whose inputs are observable, directly or indirectly.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equivalents are primarily money market mutual funds classified as Level 1. We had $103,000 and $26,000 cash equivalents as of April 30, 2020 and July 31, 2019, respectively, which are included in Cash and cash equivalents on the unaudited Condensed Consolidated Balance Sheet.</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Balances of accounts receivable and accounts payable approximated their fair values at April 30, 2020 and July 31, 2019 due to the short maturity and nature of those balances.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Notes payable are reported at the face amount of future maturities. The estimated fair value of notes payable, including current maturities, was $3,195,000 and $6,357,000 as of April 30, 2020 and July 31, 2019, respectively, and are classified as Level 2. The fair value was estimated using the exit price notion of fair value.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unaudited Condensed Consolidated Financial Statements for further information about goodwill and other intangible assets.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5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other than goodwill, include trademarks, patents, customer lists and product registrations. Intangible amortization expense was $184,000 and $209,000 in the third quarter of fiscal years 2020 and 2019, respectively. Intangible amortization expense was $600,000 and $628,000 in the first nine months of fiscal years 2020 and 2019. Estimated intangible amortization for the remainder of fiscal year 2020 is $183,000. Estimated intangible amortization for the next five fiscal years is as follows (in thousands):</w:t>
      </w:r>
    </w:p>
    <w:p>
      <w:pPr>
        <w:spacing w:after="0" w:line="120" w:lineRule="exact"/>
        <w:rPr>
          <w:sz w:val="20"/>
          <w:szCs w:val="20"/>
          <w:color w:val="auto"/>
        </w:rPr>
      </w:pPr>
    </w:p>
    <w:tbl>
      <w:tblPr>
        <w:tblLayout w:type="fixed"/>
        <w:tblInd w:w="4400" w:type="dxa"/>
        <w:tblCellMar>
          <w:top w:w="0" w:type="dxa"/>
          <w:left w:w="0" w:type="dxa"/>
          <w:bottom w:w="0" w:type="dxa"/>
          <w:right w:w="0" w:type="dxa"/>
        </w:tblCellMar>
      </w:tblPr>
      <w:tr>
        <w:trPr>
          <w:trHeight w:val="27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2021</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2022</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89"/>
              </w:rPr>
              <w:t>2023</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2024</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2025</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10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We performed our annual goodwill impairment analysis in the fourth quarter of fiscal year 2019 and no impairment was identified. There have been no triggering events that would indicate a new impairment analysis is needed. </w:t>
      </w:r>
      <w:r>
        <w:rPr>
          <w:rFonts w:ascii="Arial" w:cs="Arial" w:eastAsia="Arial" w:hAnsi="Arial"/>
          <w:sz w:val="16"/>
          <w:szCs w:val="16"/>
          <w:color w:val="212529"/>
        </w:rPr>
        <w:t>Although we have not identified any trigging events relating to goodwill or our</w:t>
      </w:r>
      <w:r>
        <w:rPr>
          <w:rFonts w:ascii="Arial" w:cs="Arial" w:eastAsia="Arial" w:hAnsi="Arial"/>
          <w:sz w:val="16"/>
          <w:szCs w:val="16"/>
          <w:color w:val="auto"/>
        </w:rPr>
        <w:t xml:space="preserve"> </w:t>
      </w:r>
      <w:r>
        <w:rPr>
          <w:rFonts w:ascii="Arial" w:cs="Arial" w:eastAsia="Arial" w:hAnsi="Arial"/>
          <w:sz w:val="16"/>
          <w:szCs w:val="16"/>
          <w:color w:val="212529"/>
        </w:rPr>
        <w:t>intangibles, the ultimate effects of COVID-19 could change this assessment in the future, as outlined under Item 1A, Risk Factors, discussed below.</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Further information about our accounting policy for leases is included in Note 1 of the Notes to unaudited Condensed Consolidated Financial Statements.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 material finance leases, and variable costs for operating leases are immaterial for the third quarter of fiscal year 2020. Operating lease costs are included in Cost of Sales or SG&amp;A expenses based on the nature of the lease. The following table summarizes total lease costs for our operating leases (in thousands):</w:t>
      </w:r>
    </w:p>
    <w:p>
      <w:pPr>
        <w:spacing w:after="0" w:line="342"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For the Three Months</w:t>
            </w:r>
          </w:p>
        </w:tc>
        <w:tc>
          <w:tcPr>
            <w:tcW w:w="18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For the Nine Months</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Ended April 30, 2020</w:t>
            </w: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Ended April 30, 2020</w:t>
            </w:r>
          </w:p>
        </w:tc>
        <w:tc>
          <w:tcPr>
            <w:tcW w:w="0" w:type="dxa"/>
            <w:vAlign w:val="bottom"/>
          </w:tcPr>
          <w:p>
            <w:pPr>
              <w:spacing w:after="0"/>
              <w:rPr>
                <w:sz w:val="1"/>
                <w:szCs w:val="1"/>
                <w:color w:val="auto"/>
              </w:rPr>
            </w:pPr>
          </w:p>
        </w:tc>
      </w:tr>
      <w:tr>
        <w:trPr>
          <w:trHeight w:val="27"/>
        </w:trPr>
        <w:tc>
          <w:tcPr>
            <w:tcW w:w="2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Lease Cost</w:t>
            </w: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Arial" w:cs="Arial" w:eastAsia="Arial" w:hAnsi="Arial"/>
                <w:sz w:val="18"/>
                <w:szCs w:val="18"/>
                <w:color w:val="auto"/>
                <w:w w:val="94"/>
              </w:rPr>
              <w:t>Short-term operating lease cost</w:t>
            </w:r>
          </w:p>
        </w:tc>
        <w:tc>
          <w:tcPr>
            <w:tcW w:w="1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190</w:t>
            </w:r>
          </w:p>
        </w:tc>
        <w:tc>
          <w:tcPr>
            <w:tcW w:w="7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383" w:lineRule="exact"/>
        <w:rPr>
          <w:sz w:val="20"/>
          <w:szCs w:val="20"/>
          <w:color w:val="auto"/>
        </w:rPr>
      </w:pPr>
    </w:p>
    <w:tbl>
      <w:tblPr>
        <w:tblLayout w:type="fixed"/>
        <w:tblInd w:w="148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For the Three Months</w:t>
            </w:r>
          </w:p>
        </w:tc>
        <w:tc>
          <w:tcPr>
            <w:tcW w:w="140" w:type="dxa"/>
            <w:vAlign w:val="bottom"/>
          </w:tcPr>
          <w:p>
            <w:pPr>
              <w:spacing w:after="0"/>
              <w:rPr>
                <w:sz w:val="18"/>
                <w:szCs w:val="18"/>
                <w:color w:val="auto"/>
              </w:rPr>
            </w:pPr>
          </w:p>
        </w:tc>
        <w:tc>
          <w:tcPr>
            <w:tcW w:w="1760" w:type="dxa"/>
            <w:vAlign w:val="bottom"/>
          </w:tcPr>
          <w:p>
            <w:pPr>
              <w:ind w:left="20"/>
              <w:spacing w:after="0"/>
              <w:rPr>
                <w:sz w:val="20"/>
                <w:szCs w:val="20"/>
                <w:color w:val="auto"/>
              </w:rPr>
            </w:pPr>
            <w:r>
              <w:rPr>
                <w:rFonts w:ascii="Arial" w:cs="Arial" w:eastAsia="Arial" w:hAnsi="Arial"/>
                <w:sz w:val="18"/>
                <w:szCs w:val="18"/>
                <w:b w:val="1"/>
                <w:bCs w:val="1"/>
                <w:color w:val="auto"/>
                <w:w w:val="98"/>
              </w:rPr>
              <w:t>For the Nine Months</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Ended April 30, 2020</w:t>
            </w: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r>
              <w:rPr>
                <w:rFonts w:ascii="Arial" w:cs="Arial" w:eastAsia="Arial" w:hAnsi="Arial"/>
                <w:sz w:val="18"/>
                <w:szCs w:val="18"/>
                <w:b w:val="1"/>
                <w:bCs w:val="1"/>
                <w:color w:val="auto"/>
                <w:w w:val="98"/>
              </w:rPr>
              <w:t>Ended April 30, 2020</w:t>
            </w:r>
          </w:p>
        </w:tc>
        <w:tc>
          <w:tcPr>
            <w:tcW w:w="0" w:type="dxa"/>
            <w:vAlign w:val="bottom"/>
          </w:tcPr>
          <w:p>
            <w:pPr>
              <w:spacing w:after="0"/>
              <w:rPr>
                <w:sz w:val="1"/>
                <w:szCs w:val="1"/>
                <w:color w:val="auto"/>
              </w:rPr>
            </w:pPr>
          </w:p>
        </w:tc>
      </w:tr>
      <w:tr>
        <w:trPr>
          <w:trHeight w:val="27"/>
        </w:trPr>
        <w:tc>
          <w:tcPr>
            <w:tcW w:w="4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Other Information</w:t>
            </w: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Cash paid for amounts included in the measurement of lease</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891"/>
        </w:trPr>
        <w:tc>
          <w:tcPr>
            <w:tcW w:w="4540" w:type="dxa"/>
            <w:vAlign w:val="bottom"/>
          </w:tcPr>
          <w:p>
            <w:pPr>
              <w:ind w:left="406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16" w:name="page17"/>
    <w:bookmarkEnd w:id="16"/>
    <w:p>
      <w:pPr>
        <w:spacing w:after="0" w:line="308" w:lineRule="auto"/>
        <w:rPr>
          <w:sz w:val="20"/>
          <w:szCs w:val="20"/>
          <w:color w:val="auto"/>
        </w:rPr>
      </w:pPr>
      <w:r>
        <w:rPr>
          <w:rFonts w:ascii="Arial" w:cs="Arial" w:eastAsia="Arial" w:hAnsi="Arial"/>
          <w:sz w:val="17"/>
          <w:szCs w:val="17"/>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8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2"/>
              </w:rPr>
              <w:t>For the Nine Months Ended</w:t>
            </w:r>
          </w:p>
        </w:tc>
      </w:tr>
      <w:tr>
        <w:trPr>
          <w:trHeight w:val="234"/>
        </w:trPr>
        <w:tc>
          <w:tcPr>
            <w:tcW w:w="680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3"/>
              </w:rPr>
              <w:t>April 30, 2020</w:t>
            </w:r>
          </w:p>
        </w:tc>
      </w:tr>
      <w:tr>
        <w:trPr>
          <w:trHeight w:val="27"/>
        </w:trPr>
        <w:tc>
          <w:tcPr>
            <w:tcW w:w="68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Weighted-average remaining lease term - operating leases</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7"/>
              </w:rPr>
              <w:t>10.6 years</w:t>
            </w:r>
          </w:p>
        </w:tc>
      </w:tr>
      <w:tr>
        <w:trPr>
          <w:trHeight w:val="27"/>
        </w:trPr>
        <w:tc>
          <w:tcPr>
            <w:tcW w:w="68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 - operating leases</w:t>
            </w: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4.02%</w:t>
            </w:r>
          </w:p>
        </w:tc>
      </w:tr>
      <w:tr>
        <w:trPr>
          <w:trHeight w:val="27"/>
        </w:trPr>
        <w:tc>
          <w:tcPr>
            <w:tcW w:w="68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scheduled minimum future lease payments due within twelve months for operating leases with terms longer than one year for which cash flows are fixed and determinable as of April 30, (in thousands):</w:t>
      </w:r>
    </w:p>
    <w:p>
      <w:pPr>
        <w:spacing w:after="0" w:line="104" w:lineRule="exact"/>
        <w:rPr>
          <w:sz w:val="20"/>
          <w:szCs w:val="20"/>
          <w:color w:val="auto"/>
        </w:rPr>
      </w:pPr>
    </w:p>
    <w:tbl>
      <w:tblPr>
        <w:tblLayout w:type="fixed"/>
        <w:tblInd w:w="3360" w:type="dxa"/>
        <w:tblCellMar>
          <w:top w:w="0" w:type="dxa"/>
          <w:left w:w="0" w:type="dxa"/>
          <w:bottom w:w="0" w:type="dxa"/>
          <w:right w:w="0" w:type="dxa"/>
        </w:tblCellMar>
      </w:tblPr>
      <w:tr>
        <w:trPr>
          <w:trHeight w:val="270"/>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1,912</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1,507</w:t>
            </w:r>
          </w:p>
        </w:tc>
      </w:tr>
      <w:tr>
        <w:trPr>
          <w:trHeight w:val="27"/>
        </w:trPr>
        <w:tc>
          <w:tcPr>
            <w:tcW w:w="2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983</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2023</w:t>
            </w:r>
          </w:p>
        </w:tc>
        <w:tc>
          <w:tcPr>
            <w:tcW w:w="6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781</w:t>
            </w:r>
          </w:p>
        </w:tc>
      </w:tr>
      <w:tr>
        <w:trPr>
          <w:trHeight w:val="27"/>
        </w:trPr>
        <w:tc>
          <w:tcPr>
            <w:tcW w:w="2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767</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6,320</w:t>
            </w:r>
          </w:p>
        </w:tc>
      </w:tr>
      <w:tr>
        <w:trPr>
          <w:trHeight w:val="27"/>
        </w:trPr>
        <w:tc>
          <w:tcPr>
            <w:tcW w:w="28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12,270</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6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(2,424)</w:t>
            </w:r>
          </w:p>
        </w:tc>
      </w:tr>
      <w:tr>
        <w:trPr>
          <w:trHeight w:val="27"/>
        </w:trPr>
        <w:tc>
          <w:tcPr>
            <w:tcW w:w="28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lease obligation</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9,846</w:t>
            </w:r>
          </w:p>
        </w:tc>
      </w:tr>
      <w:tr>
        <w:trPr>
          <w:trHeight w:val="20"/>
        </w:trPr>
        <w:tc>
          <w:tcPr>
            <w:tcW w:w="2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scheduled minimum future lease payments due within twelve months for operating leases with terms longer than one year for which cash flows are fixed and determinable as of July 31, 2019 (in thousands):</w:t>
      </w:r>
    </w:p>
    <w:p>
      <w:pPr>
        <w:spacing w:after="0" w:line="104" w:lineRule="exact"/>
        <w:rPr>
          <w:sz w:val="20"/>
          <w:szCs w:val="20"/>
          <w:color w:val="auto"/>
        </w:rPr>
      </w:pPr>
    </w:p>
    <w:tbl>
      <w:tblPr>
        <w:tblLayout w:type="fixed"/>
        <w:tblInd w:w="3360" w:type="dxa"/>
        <w:tblCellMar>
          <w:top w:w="0" w:type="dxa"/>
          <w:left w:w="0" w:type="dxa"/>
          <w:bottom w:w="0" w:type="dxa"/>
          <w:right w:w="0" w:type="dxa"/>
        </w:tblCellMar>
      </w:tblPr>
      <w:tr>
        <w:trPr>
          <w:trHeight w:val="270"/>
        </w:trPr>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6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2,255</w:t>
            </w: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2021</w:t>
            </w:r>
          </w:p>
        </w:tc>
        <w:tc>
          <w:tcPr>
            <w:tcW w:w="20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1,640</w:t>
            </w:r>
          </w:p>
        </w:tc>
      </w:tr>
      <w:tr>
        <w:trPr>
          <w:trHeight w:val="27"/>
        </w:trPr>
        <w:tc>
          <w:tcPr>
            <w:tcW w:w="1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1,513</w:t>
            </w: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2023</w:t>
            </w:r>
          </w:p>
        </w:tc>
        <w:tc>
          <w:tcPr>
            <w:tcW w:w="20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1,038</w:t>
            </w:r>
          </w:p>
        </w:tc>
      </w:tr>
      <w:tr>
        <w:trPr>
          <w:trHeight w:val="27"/>
        </w:trPr>
        <w:tc>
          <w:tcPr>
            <w:tcW w:w="1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0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899</w:t>
            </w: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7,422</w:t>
            </w:r>
          </w:p>
        </w:tc>
      </w:tr>
      <w:tr>
        <w:trPr>
          <w:trHeight w:val="891"/>
        </w:trPr>
        <w:tc>
          <w:tcPr>
            <w:tcW w:w="1480" w:type="dxa"/>
            <w:vAlign w:val="bottom"/>
          </w:tcPr>
          <w:p>
            <w:pPr>
              <w:spacing w:after="0"/>
              <w:rPr>
                <w:sz w:val="24"/>
                <w:szCs w:val="24"/>
                <w:color w:val="auto"/>
              </w:rPr>
            </w:pPr>
          </w:p>
        </w:tc>
        <w:tc>
          <w:tcPr>
            <w:tcW w:w="2060" w:type="dxa"/>
            <w:vAlign w:val="bottom"/>
          </w:tcPr>
          <w:p>
            <w:pPr>
              <w:jc w:val="right"/>
              <w:ind w:right="1090"/>
              <w:spacing w:after="0"/>
              <w:rPr>
                <w:sz w:val="20"/>
                <w:szCs w:val="20"/>
                <w:color w:val="auto"/>
              </w:rPr>
            </w:pPr>
            <w:r>
              <w:rPr>
                <w:rFonts w:ascii="Arial" w:cs="Arial" w:eastAsia="Arial" w:hAnsi="Arial"/>
                <w:sz w:val="18"/>
                <w:szCs w:val="18"/>
                <w:color w:val="auto"/>
              </w:rPr>
              <w:t>17</w:t>
            </w:r>
          </w:p>
        </w:tc>
        <w:tc>
          <w:tcPr>
            <w:tcW w:w="980" w:type="dxa"/>
            <w:vAlign w:val="bottom"/>
          </w:tcPr>
          <w:p>
            <w:pPr>
              <w:spacing w:after="0"/>
              <w:rPr>
                <w:sz w:val="24"/>
                <w:szCs w:val="24"/>
                <w:color w:val="auto"/>
              </w:rPr>
            </w:pPr>
          </w:p>
        </w:tc>
      </w:tr>
    </w:tbl>
    <w:p>
      <w:pPr>
        <w:sectPr>
          <w:pgSz w:w="11900" w:h="16838" w:orient="portrait"/>
          <w:cols w:equalWidth="0" w:num="1">
            <w:col w:w="11240"/>
          </w:cols>
          <w:pgMar w:left="320" w:top="557" w:right="339" w:bottom="1440" w:gutter="0" w:footer="0" w:header="0"/>
        </w:sectPr>
      </w:pPr>
    </w:p>
    <w:bookmarkStart w:id="17" w:name="page18"/>
    <w:bookmarkEnd w:id="17"/>
    <w:p>
      <w:pPr>
        <w:ind w:right="6440" w:firstLine="8"/>
        <w:spacing w:after="0" w:line="503"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 Pension and Postretirement Health Benefits</w:t>
      </w:r>
    </w:p>
    <w:p>
      <w:pPr>
        <w:jc w:val="both"/>
        <w:spacing w:after="0" w:line="257" w:lineRule="auto"/>
        <w:rPr>
          <w:sz w:val="20"/>
          <w:szCs w:val="20"/>
          <w:color w:val="auto"/>
        </w:rPr>
      </w:pPr>
      <w:r>
        <w:rPr>
          <w:rFonts w:ascii="Arial" w:cs="Arial" w:eastAsia="Arial" w:hAnsi="Arial"/>
          <w:sz w:val="18"/>
          <w:szCs w:val="18"/>
          <w:color w:val="auto"/>
        </w:rPr>
        <w:t>The Oil-Dri Corporation of America Pension Plan (“Pension Plan”) is a defined benefit pension plan for eligible salaried and hourly employees. Pension benefits are based on a formula of years of credited service and levels of compensation or stated amounts for each year of credited service. On January 9, 2020, we amended the Pension Plan to freeze participation, all future benefit accruals and accrual of benefit service, including consideration of compensation increases, effective March 1, 2020. Consequently, the Pension Plan is closed to new participants and current participants will no longer earn additional benefits on or after March 1, 2020.</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amendment of the Pension Plan triggered a pension curtailment, which required a remeasurement of the Pension Plan's obligation. The remeasurement resulted in a decrease in the benefit obligation of approximately $6,632,000, which was recorded in Other Comprehensive Income, net of taxes of $1,592,000 in the second quarter of fiscal year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4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6"/>
              </w:rPr>
              <w:t>Pension Benefits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4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8"/>
              </w:rPr>
              <w:t>(in thousands)</w:t>
            </w: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
        </w:trPr>
        <w:tc>
          <w:tcPr>
            <w:tcW w:w="4600" w:type="dxa"/>
            <w:vAlign w:val="bottom"/>
          </w:tcPr>
          <w:p>
            <w:pPr>
              <w:spacing w:after="0"/>
              <w:rPr>
                <w:sz w:val="2"/>
                <w:szCs w:val="2"/>
                <w:color w:val="auto"/>
              </w:rPr>
            </w:pPr>
          </w:p>
        </w:tc>
        <w:tc>
          <w:tcPr>
            <w:tcW w:w="3280" w:type="dxa"/>
            <w:vAlign w:val="bottom"/>
            <w:tcBorders>
              <w:bottom w:val="single" w:sz="8" w:color="auto"/>
            </w:tcBorders>
            <w:gridSpan w:val="6"/>
          </w:tcPr>
          <w:p>
            <w:pPr>
              <w:spacing w:after="0"/>
              <w:rPr>
                <w:sz w:val="2"/>
                <w:szCs w:val="2"/>
                <w:color w:val="auto"/>
              </w:rPr>
            </w:pPr>
          </w:p>
        </w:tc>
        <w:tc>
          <w:tcPr>
            <w:tcW w:w="3040" w:type="dxa"/>
            <w:vAlign w:val="bottom"/>
            <w:tcBorders>
              <w:bottom w:val="single" w:sz="8" w:color="auto"/>
            </w:tcBorders>
            <w:gridSpan w:val="5"/>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3280" w:type="dxa"/>
            <w:vAlign w:val="bottom"/>
            <w:gridSpan w:val="6"/>
          </w:tcPr>
          <w:p>
            <w:pPr>
              <w:ind w:left="60"/>
              <w:spacing w:after="0"/>
              <w:rPr>
                <w:sz w:val="20"/>
                <w:szCs w:val="20"/>
                <w:color w:val="auto"/>
              </w:rPr>
            </w:pPr>
            <w:r>
              <w:rPr>
                <w:rFonts w:ascii="Arial" w:cs="Arial" w:eastAsia="Arial" w:hAnsi="Arial"/>
                <w:sz w:val="18"/>
                <w:szCs w:val="18"/>
                <w:b w:val="1"/>
                <w:bCs w:val="1"/>
                <w:color w:val="auto"/>
                <w:w w:val="99"/>
              </w:rPr>
              <w:t>For the Three Months Ended April 30,</w:t>
            </w:r>
          </w:p>
        </w:tc>
        <w:tc>
          <w:tcPr>
            <w:tcW w:w="304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For the Nine Months Ended April 30,</w:t>
            </w:r>
          </w:p>
        </w:tc>
      </w:tr>
      <w:tr>
        <w:trPr>
          <w:trHeight w:val="27"/>
        </w:trPr>
        <w:tc>
          <w:tcPr>
            <w:tcW w:w="46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4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444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1,456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1,586</w:t>
            </w:r>
          </w:p>
        </w:tc>
      </w:tr>
      <w:tr>
        <w:trPr>
          <w:trHeight w:val="27"/>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(688)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9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167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837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578</w:t>
            </w:r>
          </w:p>
        </w:tc>
      </w:tr>
      <w:tr>
        <w:trPr>
          <w:trHeight w:val="27"/>
        </w:trPr>
        <w:tc>
          <w:tcPr>
            <w:tcW w:w="4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1,278</w:t>
            </w:r>
          </w:p>
        </w:tc>
      </w:tr>
      <w:tr>
        <w:trPr>
          <w:trHeight w:val="20"/>
        </w:trPr>
        <w:tc>
          <w:tcPr>
            <w:tcW w:w="4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92"/>
        </w:trPr>
        <w:tc>
          <w:tcPr>
            <w:tcW w:w="4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Postretirement Health Benefits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4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8"/>
              </w:rPr>
              <w:t>(in thousands)</w:t>
            </w: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
        </w:trPr>
        <w:tc>
          <w:tcPr>
            <w:tcW w:w="4600" w:type="dxa"/>
            <w:vAlign w:val="bottom"/>
          </w:tcPr>
          <w:p>
            <w:pPr>
              <w:spacing w:after="0"/>
              <w:rPr>
                <w:sz w:val="2"/>
                <w:szCs w:val="2"/>
                <w:color w:val="auto"/>
              </w:rPr>
            </w:pPr>
          </w:p>
        </w:tc>
        <w:tc>
          <w:tcPr>
            <w:tcW w:w="3280" w:type="dxa"/>
            <w:vAlign w:val="bottom"/>
            <w:tcBorders>
              <w:bottom w:val="single" w:sz="8" w:color="auto"/>
            </w:tcBorders>
            <w:gridSpan w:val="6"/>
          </w:tcPr>
          <w:p>
            <w:pPr>
              <w:spacing w:after="0"/>
              <w:rPr>
                <w:sz w:val="2"/>
                <w:szCs w:val="2"/>
                <w:color w:val="auto"/>
              </w:rPr>
            </w:pPr>
          </w:p>
        </w:tc>
        <w:tc>
          <w:tcPr>
            <w:tcW w:w="3040" w:type="dxa"/>
            <w:vAlign w:val="bottom"/>
            <w:tcBorders>
              <w:bottom w:val="single" w:sz="8" w:color="auto"/>
            </w:tcBorders>
            <w:gridSpan w:val="5"/>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3280" w:type="dxa"/>
            <w:vAlign w:val="bottom"/>
            <w:gridSpan w:val="6"/>
          </w:tcPr>
          <w:p>
            <w:pPr>
              <w:ind w:left="60"/>
              <w:spacing w:after="0"/>
              <w:rPr>
                <w:sz w:val="20"/>
                <w:szCs w:val="20"/>
                <w:color w:val="auto"/>
              </w:rPr>
            </w:pPr>
            <w:r>
              <w:rPr>
                <w:rFonts w:ascii="Arial" w:cs="Arial" w:eastAsia="Arial" w:hAnsi="Arial"/>
                <w:sz w:val="18"/>
                <w:szCs w:val="18"/>
                <w:b w:val="1"/>
                <w:bCs w:val="1"/>
                <w:color w:val="auto"/>
                <w:w w:val="99"/>
              </w:rPr>
              <w:t>For the Three Months Ended April 30,</w:t>
            </w:r>
          </w:p>
        </w:tc>
        <w:tc>
          <w:tcPr>
            <w:tcW w:w="304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For the Nine Months Ended April 30,</w:t>
            </w:r>
          </w:p>
        </w:tc>
      </w:tr>
      <w:tr>
        <w:trPr>
          <w:trHeight w:val="27"/>
        </w:trPr>
        <w:tc>
          <w:tcPr>
            <w:tcW w:w="46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r>
      <w:tr>
        <w:trPr>
          <w:trHeight w:val="27"/>
        </w:trPr>
        <w:tc>
          <w:tcPr>
            <w:tcW w:w="4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4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20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61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4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0"/>
        </w:trPr>
        <w:tc>
          <w:tcPr>
            <w:tcW w:w="4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non-service cost components of net periodic benefit cost are included in Other Income (Expense) in the line item Other, net on the unaudited Condensed Consolidated Statements of Income.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were not required to make, but did make a $5,000,000 voluntary contribution to the Pension Plan during the second quarter of fiscal year 2020. We have no minimum funding requirements for the remainder of fiscal year 2020 but we may consider making an additional voluntary contribution.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55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w w:val="94"/>
              </w:rPr>
              <w:t>Assumptions used in the previous calculations were as follows:</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94"/>
        </w:trPr>
        <w:tc>
          <w:tcPr>
            <w:tcW w:w="4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4"/>
          </w:tcPr>
          <w:p>
            <w:pPr>
              <w:ind w:left="460"/>
              <w:spacing w:after="0"/>
              <w:rPr>
                <w:sz w:val="20"/>
                <w:szCs w:val="20"/>
                <w:color w:val="auto"/>
              </w:rPr>
            </w:pPr>
            <w:r>
              <w:rPr>
                <w:rFonts w:ascii="Arial" w:cs="Arial" w:eastAsia="Arial" w:hAnsi="Arial"/>
                <w:sz w:val="18"/>
                <w:szCs w:val="18"/>
                <w:b w:val="1"/>
                <w:bCs w:val="1"/>
                <w:color w:val="auto"/>
              </w:rPr>
              <w:t>Pension Benefits</w:t>
            </w:r>
          </w:p>
        </w:tc>
        <w:tc>
          <w:tcPr>
            <w:tcW w:w="27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6"/>
              </w:rPr>
              <w:t>Postretirement Health Benefits</w:t>
            </w:r>
          </w:p>
        </w:tc>
      </w:tr>
      <w:tr>
        <w:trPr>
          <w:trHeight w:val="27"/>
        </w:trPr>
        <w:tc>
          <w:tcPr>
            <w:tcW w:w="4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gridSpan w:val="7"/>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00" w:type="dxa"/>
            <w:vAlign w:val="bottom"/>
            <w:gridSpan w:val="7"/>
          </w:tcPr>
          <w:p>
            <w:pPr>
              <w:ind w:left="700"/>
              <w:spacing w:after="0"/>
              <w:rPr>
                <w:sz w:val="20"/>
                <w:szCs w:val="20"/>
                <w:color w:val="auto"/>
              </w:rPr>
            </w:pPr>
            <w:r>
              <w:rPr>
                <w:rFonts w:ascii="Arial" w:cs="Arial" w:eastAsia="Arial" w:hAnsi="Arial"/>
                <w:sz w:val="18"/>
                <w:szCs w:val="18"/>
                <w:b w:val="1"/>
                <w:bCs w:val="1"/>
                <w:color w:val="auto"/>
                <w:w w:val="94"/>
              </w:rPr>
              <w:t>For the Three and Nine Months Ended April 30,</w:t>
            </w:r>
          </w:p>
        </w:tc>
        <w:tc>
          <w:tcPr>
            <w:tcW w:w="90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ind w:left="18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7"/>
        </w:trPr>
        <w:tc>
          <w:tcPr>
            <w:tcW w:w="4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3.35%</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43"/>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000" w:type="dxa"/>
            <w:vAlign w:val="bottom"/>
          </w:tcPr>
          <w:p>
            <w:pPr>
              <w:ind w:left="460"/>
              <w:spacing w:after="0"/>
              <w:rPr>
                <w:sz w:val="20"/>
                <w:szCs w:val="20"/>
                <w:color w:val="auto"/>
              </w:rPr>
            </w:pPr>
            <w:r>
              <w:rPr>
                <w:rFonts w:ascii="Arial" w:cs="Arial" w:eastAsia="Arial" w:hAnsi="Arial"/>
                <w:sz w:val="18"/>
                <w:szCs w:val="18"/>
                <w:b w:val="1"/>
                <w:bCs w:val="1"/>
                <w:color w:val="auto"/>
              </w:rPr>
              <w:t>3.50%</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21"/>
                <w:szCs w:val="21"/>
                <w:color w:val="auto"/>
              </w:rPr>
            </w:pPr>
          </w:p>
        </w:tc>
        <w:tc>
          <w:tcPr>
            <w:tcW w:w="184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0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7.00%</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20" w:type="dxa"/>
            <w:vAlign w:val="bottom"/>
            <w:shd w:val="clear" w:color="auto" w:fill="CCEEFF"/>
          </w:tcPr>
          <w:p>
            <w:pPr>
              <w:spacing w:after="0"/>
              <w:rPr>
                <w:sz w:val="21"/>
                <w:szCs w:val="21"/>
                <w:color w:val="auto"/>
              </w:rPr>
            </w:pPr>
          </w:p>
        </w:tc>
        <w:tc>
          <w:tcPr>
            <w:tcW w:w="18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7.35%. The graded trend rate is expected to decrease to an ultimate rate of 4.50% in fiscal year 2038.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Oil-Dri Corporation of America Supplemental Executive Retirement Plan (“SERP”) provides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w:t>
      </w:r>
    </w:p>
    <w:p>
      <w:pPr>
        <w:spacing w:after="0" w:line="2" w:lineRule="exact"/>
        <w:rPr>
          <w:sz w:val="20"/>
          <w:szCs w:val="20"/>
          <w:color w:val="auto"/>
        </w:rPr>
      </w:pPr>
    </w:p>
    <w:p>
      <w:pPr>
        <w:ind w:right="20" w:firstLine="8"/>
        <w:spacing w:after="0" w:line="260" w:lineRule="auto"/>
        <w:tabs>
          <w:tab w:leader="none" w:pos="353" w:val="left"/>
        </w:tabs>
        <w:numPr>
          <w:ilvl w:val="0"/>
          <w:numId w:val="7"/>
        </w:numPr>
        <w:rPr>
          <w:rFonts w:ascii="Arial" w:cs="Arial" w:eastAsia="Arial" w:hAnsi="Arial"/>
          <w:sz w:val="18"/>
          <w:szCs w:val="18"/>
          <w:color w:val="auto"/>
        </w:rPr>
      </w:pPr>
      <w:r>
        <w:rPr>
          <w:rFonts w:ascii="Arial" w:cs="Arial" w:eastAsia="Arial" w:hAnsi="Arial"/>
          <w:sz w:val="18"/>
          <w:szCs w:val="18"/>
          <w:color w:val="auto"/>
        </w:rPr>
        <w:t>of the Code. The SERP liability is actuarially determined at the end of each fiscal year using assumptions similar to those used for the Pension Plan. The SERP is unfunded and benefits will be funded when payments are made.</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9, 2020, we amended the SERP to freeze participation and any excess benefit, supplemental benefit or additional benefit effective March 1, 2020. Consequently, the SERP is closed to new participants and current participants no longer earn additional benefits on or after March 1, 2020.</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amendment of the SERP triggered a pension curtailment which required a remeasurement of the SERP's obligation. The remeasurement resulted in a decrease in the SERP liability of approximately $1,296,000, which was recorded in SG&amp;A in the second quarter of fiscal year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OPERATING SEGMENTS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two operating segments: (1) Business to Business Products Group and (2) Retail and Wholesale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2019.</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55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Net sales for our principal products by segment are as follows (in thousands):</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5"/>
              </w:rPr>
              <w:t>Business to Business Products</w:t>
            </w:r>
          </w:p>
        </w:tc>
        <w:tc>
          <w:tcPr>
            <w:tcW w:w="140" w:type="dxa"/>
            <w:vAlign w:val="bottom"/>
          </w:tcPr>
          <w:p>
            <w:pPr>
              <w:spacing w:after="0"/>
              <w:rPr>
                <w:sz w:val="18"/>
                <w:szCs w:val="18"/>
                <w:color w:val="auto"/>
              </w:rPr>
            </w:pPr>
          </w:p>
        </w:tc>
        <w:tc>
          <w:tcPr>
            <w:tcW w:w="256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34"/>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2"/>
              </w:rPr>
              <w:t>Group</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4"/>
          </w:tcPr>
          <w:p>
            <w:pPr>
              <w:jc w:val="center"/>
              <w:ind w:left="73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8"/>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20" w:type="dxa"/>
            <w:vAlign w:val="bottom"/>
            <w:gridSpan w:val="8"/>
          </w:tcPr>
          <w:p>
            <w:pPr>
              <w:jc w:val="center"/>
              <w:spacing w:after="0"/>
              <w:rPr>
                <w:sz w:val="20"/>
                <w:szCs w:val="20"/>
                <w:color w:val="auto"/>
              </w:rPr>
            </w:pPr>
            <w:r>
              <w:rPr>
                <w:rFonts w:ascii="Arial" w:cs="Arial" w:eastAsia="Arial" w:hAnsi="Arial"/>
                <w:sz w:val="18"/>
                <w:szCs w:val="18"/>
                <w:b w:val="1"/>
                <w:bCs w:val="1"/>
                <w:color w:val="auto"/>
                <w:w w:val="92"/>
              </w:rPr>
              <w:t>For the Nine Months Ended April 30,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1680"/>
              <w:spacing w:after="0"/>
              <w:rPr>
                <w:sz w:val="20"/>
                <w:szCs w:val="20"/>
                <w:color w:val="auto"/>
              </w:rPr>
            </w:pPr>
            <w:r>
              <w:rPr>
                <w:rFonts w:ascii="Arial" w:cs="Arial" w:eastAsia="Arial" w:hAnsi="Arial"/>
                <w:sz w:val="18"/>
                <w:szCs w:val="18"/>
                <w:b w:val="1"/>
                <w:bCs w:val="1"/>
                <w:color w:val="auto"/>
              </w:rPr>
              <w:t>Product</w:t>
            </w: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Cat Litter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11,026</w:t>
            </w:r>
          </w:p>
        </w:tc>
        <w:tc>
          <w:tcPr>
            <w:tcW w:w="5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116,010</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101,754</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22,906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25,509</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Agricultural and Horticultural</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16,518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37,142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38,116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1,835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1,820</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Animal Health and Nutrition</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12,946</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77,632</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77,825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140,751</w:t>
            </w:r>
          </w:p>
        </w:tc>
        <w:tc>
          <w:tcPr>
            <w:tcW w:w="1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129,083</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r>
      <w:tr>
        <w:trPr>
          <w:trHeight w:val="387"/>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5"/>
              </w:rPr>
              <w:t>Business to Business Products</w:t>
            </w:r>
          </w:p>
        </w:tc>
        <w:tc>
          <w:tcPr>
            <w:tcW w:w="140" w:type="dxa"/>
            <w:vAlign w:val="bottom"/>
          </w:tcPr>
          <w:p>
            <w:pPr>
              <w:spacing w:after="0"/>
              <w:rPr>
                <w:sz w:val="24"/>
                <w:szCs w:val="24"/>
                <w:color w:val="auto"/>
              </w:rPr>
            </w:pPr>
          </w:p>
        </w:tc>
        <w:tc>
          <w:tcPr>
            <w:tcW w:w="256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34"/>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2"/>
              </w:rPr>
              <w:t>Group</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4"/>
          </w:tcPr>
          <w:p>
            <w:pPr>
              <w:jc w:val="center"/>
              <w:ind w:left="73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8"/>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20" w:type="dxa"/>
            <w:vAlign w:val="bottom"/>
            <w:gridSpan w:val="8"/>
          </w:tcPr>
          <w:p>
            <w:pPr>
              <w:jc w:val="center"/>
              <w:spacing w:after="0"/>
              <w:rPr>
                <w:sz w:val="20"/>
                <w:szCs w:val="20"/>
                <w:color w:val="auto"/>
              </w:rPr>
            </w:pPr>
            <w:r>
              <w:rPr>
                <w:rFonts w:ascii="Arial" w:cs="Arial" w:eastAsia="Arial" w:hAnsi="Arial"/>
                <w:sz w:val="18"/>
                <w:szCs w:val="18"/>
                <w:b w:val="1"/>
                <w:bCs w:val="1"/>
                <w:color w:val="auto"/>
                <w:w w:val="92"/>
              </w:rPr>
              <w:t>For the Three Months Ended April 30,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1680"/>
              <w:spacing w:after="0"/>
              <w:rPr>
                <w:sz w:val="20"/>
                <w:szCs w:val="20"/>
                <w:color w:val="auto"/>
              </w:rPr>
            </w:pPr>
            <w:r>
              <w:rPr>
                <w:rFonts w:ascii="Arial" w:cs="Arial" w:eastAsia="Arial" w:hAnsi="Arial"/>
                <w:sz w:val="18"/>
                <w:szCs w:val="18"/>
                <w:b w:val="1"/>
                <w:bCs w:val="1"/>
                <w:color w:val="auto"/>
              </w:rPr>
              <w:t>Product</w:t>
            </w: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7"/>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Cat Litter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3,779</w:t>
            </w:r>
          </w:p>
        </w:tc>
        <w:tc>
          <w:tcPr>
            <w:tcW w:w="5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41,040</w:t>
            </w: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34,141</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7,894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10,080</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Agricultural and Horticultural</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6,222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12,537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13,662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639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623</w:t>
            </w:r>
          </w:p>
        </w:tc>
      </w:tr>
      <w:tr>
        <w:trPr>
          <w:trHeight w:val="27"/>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Animal Health and Nutrition</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4,145</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26,683</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26,041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49,573</w:t>
            </w:r>
          </w:p>
        </w:tc>
        <w:tc>
          <w:tcPr>
            <w:tcW w:w="1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44,844</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We have refined the basis of allocation for certain of our assets as of April 30, 2020 and we have restated the allocation of assets as of July 31, 2019 presented below to enhance comparability. The asset allocation is estimated and is not a measure used by our chief operating decision maker about allocating resources to the operating segments or in assessing their performance.</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Assets</w:t>
            </w:r>
          </w:p>
        </w:tc>
        <w:tc>
          <w:tcPr>
            <w:tcW w:w="720" w:type="dxa"/>
            <w:vAlign w:val="bottom"/>
          </w:tcPr>
          <w:p>
            <w:pPr>
              <w:spacing w:after="0"/>
              <w:rPr>
                <w:sz w:val="20"/>
                <w:szCs w:val="20"/>
                <w:color w:val="auto"/>
              </w:rPr>
            </w:pPr>
          </w:p>
        </w:tc>
      </w:tr>
      <w:tr>
        <w:trPr>
          <w:trHeight w:val="27"/>
        </w:trPr>
        <w:tc>
          <w:tcPr>
            <w:tcW w:w="860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r>
      <w:tr>
        <w:trPr>
          <w:trHeight w:val="237"/>
        </w:trPr>
        <w:tc>
          <w:tcPr>
            <w:tcW w:w="860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April 30, 2020</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July 31, 2019</w:t>
            </w:r>
          </w:p>
        </w:tc>
      </w:tr>
      <w:tr>
        <w:trPr>
          <w:trHeight w:val="27"/>
        </w:trPr>
        <w:tc>
          <w:tcPr>
            <w:tcW w:w="8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8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720" w:type="dxa"/>
            <w:vAlign w:val="bottom"/>
          </w:tcPr>
          <w:p>
            <w:pPr>
              <w:spacing w:after="0"/>
              <w:rPr>
                <w:sz w:val="20"/>
                <w:szCs w:val="20"/>
                <w:color w:val="auto"/>
              </w:rPr>
            </w:pPr>
          </w:p>
        </w:tc>
      </w:tr>
      <w:tr>
        <w:trPr>
          <w:trHeight w:val="27"/>
        </w:trPr>
        <w:tc>
          <w:tcPr>
            <w:tcW w:w="8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69,184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66,655</w:t>
            </w:r>
          </w:p>
        </w:tc>
      </w:tr>
      <w:tr>
        <w:trPr>
          <w:trHeight w:val="243"/>
        </w:trPr>
        <w:tc>
          <w:tcPr>
            <w:tcW w:w="8600" w:type="dxa"/>
            <w:vAlign w:val="bottom"/>
          </w:tcPr>
          <w:p>
            <w:pPr>
              <w:ind w:left="20"/>
              <w:spacing w:after="0"/>
              <w:rPr>
                <w:sz w:val="20"/>
                <w:szCs w:val="20"/>
                <w:color w:val="auto"/>
              </w:rPr>
            </w:pPr>
            <w:r>
              <w:rPr>
                <w:rFonts w:ascii="Arial" w:cs="Arial" w:eastAsia="Arial" w:hAnsi="Arial"/>
                <w:sz w:val="18"/>
                <w:szCs w:val="18"/>
                <w:color w:val="auto"/>
              </w:rPr>
              <w:t>Retail and Wholesale Products Group</w:t>
            </w:r>
          </w:p>
        </w:tc>
        <w:tc>
          <w:tcPr>
            <w:tcW w:w="3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100,636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95,593</w:t>
            </w:r>
          </w:p>
        </w:tc>
      </w:tr>
      <w:tr>
        <w:trPr>
          <w:trHeight w:val="27"/>
        </w:trPr>
        <w:tc>
          <w:tcPr>
            <w:tcW w:w="8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Assets</w:t>
            </w: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46,161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42,979</w:t>
            </w:r>
          </w:p>
        </w:tc>
      </w:tr>
      <w:tr>
        <w:trPr>
          <w:trHeight w:val="257"/>
        </w:trPr>
        <w:tc>
          <w:tcPr>
            <w:tcW w:w="86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215,981</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205,227</w:t>
            </w:r>
          </w:p>
        </w:tc>
      </w:tr>
      <w:tr>
        <w:trPr>
          <w:trHeight w:val="20"/>
        </w:trPr>
        <w:tc>
          <w:tcPr>
            <w:tcW w:w="8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 Other income for the third quarter and the first nine months of fiscal year 2019 included net proceeds upon resolution of legal proceedings. The amount received under a confidential agreement resolving such legal proceedings was material to our financial results for the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55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40" w:type="dxa"/>
            <w:vAlign w:val="bottom"/>
            <w:gridSpan w:val="9"/>
          </w:tcPr>
          <w:p>
            <w:pPr>
              <w:jc w:val="center"/>
              <w:ind w:right="150"/>
              <w:spacing w:after="0"/>
              <w:rPr>
                <w:sz w:val="20"/>
                <w:szCs w:val="20"/>
                <w:color w:val="auto"/>
              </w:rPr>
            </w:pPr>
            <w:r>
              <w:rPr>
                <w:rFonts w:ascii="Arial" w:cs="Arial" w:eastAsia="Arial" w:hAnsi="Arial"/>
                <w:sz w:val="18"/>
                <w:szCs w:val="18"/>
                <w:b w:val="1"/>
                <w:bCs w:val="1"/>
                <w:color w:val="auto"/>
                <w:w w:val="92"/>
              </w:rPr>
              <w:t>For the Nine Months Ended April 30,</w:t>
            </w:r>
          </w:p>
        </w:tc>
        <w:tc>
          <w:tcPr>
            <w:tcW w:w="88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Net Sales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Income</w:t>
            </w:r>
          </w:p>
        </w:tc>
        <w:tc>
          <w:tcPr>
            <w:tcW w:w="88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(in thousands)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77,632</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21,758</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Retail and Wholesale Products Group</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140,751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129,083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15,380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6,823</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218,383</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206,908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23"/>
        </w:trPr>
        <w:tc>
          <w:tcPr>
            <w:tcW w:w="59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(23,732)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(22,424)</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15,694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Total Other (Expense) Income, Net</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4,219</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(2,573)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(1,599)</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12,859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8,777</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13,014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8,812</w:t>
            </w:r>
          </w:p>
        </w:tc>
      </w:tr>
      <w:tr>
        <w:trPr>
          <w:trHeight w:val="20"/>
        </w:trPr>
        <w:tc>
          <w:tcPr>
            <w:tcW w:w="5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78"/>
        </w:trPr>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40" w:type="dxa"/>
            <w:vAlign w:val="bottom"/>
            <w:gridSpan w:val="9"/>
          </w:tcPr>
          <w:p>
            <w:pPr>
              <w:jc w:val="center"/>
              <w:ind w:right="170"/>
              <w:spacing w:after="0"/>
              <w:rPr>
                <w:sz w:val="20"/>
                <w:szCs w:val="20"/>
                <w:color w:val="auto"/>
              </w:rPr>
            </w:pPr>
            <w:r>
              <w:rPr>
                <w:rFonts w:ascii="Arial" w:cs="Arial" w:eastAsia="Arial" w:hAnsi="Arial"/>
                <w:sz w:val="18"/>
                <w:szCs w:val="18"/>
                <w:b w:val="1"/>
                <w:bCs w:val="1"/>
                <w:color w:val="auto"/>
                <w:w w:val="93"/>
              </w:rPr>
              <w:t>For the Three Months Ended April 30,</w:t>
            </w:r>
          </w:p>
        </w:tc>
        <w:tc>
          <w:tcPr>
            <w:tcW w:w="880" w:type="dxa"/>
            <w:vAlign w:val="bottom"/>
          </w:tcPr>
          <w:p>
            <w:pPr>
              <w:spacing w:after="0"/>
              <w:rPr>
                <w:sz w:val="24"/>
                <w:szCs w:val="24"/>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Net Sales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Income</w:t>
            </w:r>
          </w:p>
        </w:tc>
        <w:tc>
          <w:tcPr>
            <w:tcW w:w="88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(in thousands)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26,683</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Retail and Wholesale Products Group</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49,573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44,844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6,412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4,161</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76,256</w:t>
            </w: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23"/>
        </w:trPr>
        <w:tc>
          <w:tcPr>
            <w:tcW w:w="59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(8,910)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(9,288)</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Total Other (Expense) Income, Net</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4,377</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(1,143)</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5,561</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Noncontrolling Interest</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5,619</w:t>
            </w:r>
          </w:p>
        </w:tc>
      </w:tr>
      <w:tr>
        <w:trPr>
          <w:trHeight w:val="20"/>
        </w:trPr>
        <w:tc>
          <w:tcPr>
            <w:tcW w:w="5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1,219,500.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non-vested restricted stock as of April 30, 2020 was issued under the 2006 Plan with vesting periods generally between one and five years. We determined the fair value of restricted stock as of the grant date. We recognize the related compensation expense over the period from the date of grant to the date the shares vest.</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There were 2,000 and 41,000 restricted shares of Common Stock granted during the third quarter of fiscal years 2020 and 2019, respectively. Stock-based compensation expense related to non-vested restricted stock was $770,000 and $710,000 for the third quarter of fiscal years 2020 and 2019, respectively, and was $2,549,000 and $1,599,000 for the first nine months of fiscal years 2020 and 2019, respectively.</w:t>
      </w:r>
    </w:p>
    <w:p>
      <w:pPr>
        <w:sectPr>
          <w:pgSz w:w="11900" w:h="16838" w:orient="portrait"/>
          <w:cols w:equalWidth="0" w:num="1">
            <w:col w:w="11240"/>
          </w:cols>
          <w:pgMar w:left="320" w:top="715" w:right="339"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715"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0"/>
        </w:trPr>
        <w:tc>
          <w:tcPr>
            <w:tcW w:w="8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0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92"/>
              </w:rPr>
              <w:t>Restricted Shares</w:t>
            </w:r>
          </w:p>
        </w:tc>
        <w:tc>
          <w:tcPr>
            <w:tcW w:w="10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8020" w:type="dxa"/>
            <w:vAlign w:val="bottom"/>
          </w:tcPr>
          <w:p>
            <w:pPr>
              <w:spacing w:after="0"/>
              <w:rPr>
                <w:sz w:val="20"/>
                <w:szCs w:val="20"/>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Date Fair Value</w:t>
            </w:r>
          </w:p>
        </w:tc>
      </w:tr>
      <w:tr>
        <w:trPr>
          <w:trHeight w:val="27"/>
        </w:trPr>
        <w:tc>
          <w:tcPr>
            <w:tcW w:w="80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2019</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33.33</w:t>
            </w:r>
          </w:p>
        </w:tc>
      </w:tr>
      <w:tr>
        <w:trPr>
          <w:trHeight w:val="27"/>
        </w:trPr>
        <w:tc>
          <w:tcPr>
            <w:tcW w:w="8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32.34</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32.33</w:t>
            </w:r>
          </w:p>
        </w:tc>
      </w:tr>
      <w:tr>
        <w:trPr>
          <w:trHeight w:val="27"/>
        </w:trPr>
        <w:tc>
          <w:tcPr>
            <w:tcW w:w="80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57"/>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April 30, 2020</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0"/>
        </w:trPr>
        <w:tc>
          <w:tcPr>
            <w:tcW w:w="80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(loss) income by component as of April 30, 2020 (in thousands):</w:t>
      </w:r>
    </w:p>
    <w:p>
      <w:pPr>
        <w:spacing w:after="0" w:line="395"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Pension and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Cumulative</w:t>
            </w:r>
          </w:p>
        </w:tc>
        <w:tc>
          <w:tcPr>
            <w:tcW w:w="16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Postretirement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Translation</w:t>
            </w:r>
          </w:p>
        </w:tc>
        <w:tc>
          <w:tcPr>
            <w:tcW w:w="160" w:type="dxa"/>
            <w:vAlign w:val="bottom"/>
          </w:tcPr>
          <w:p>
            <w:pPr>
              <w:spacing w:after="0"/>
              <w:rPr>
                <w:sz w:val="18"/>
                <w:szCs w:val="18"/>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Health Benefits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Adjustment</w:t>
            </w:r>
          </w:p>
        </w:tc>
        <w:tc>
          <w:tcPr>
            <w:tcW w:w="16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(Loss) Income</w:t>
            </w:r>
          </w:p>
        </w:tc>
      </w:tr>
      <w:tr>
        <w:trPr>
          <w:trHeight w:val="27"/>
        </w:trPr>
        <w:tc>
          <w:tcPr>
            <w:tcW w:w="4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(14,891)</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(15,039)</w:t>
            </w: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w w:val="93"/>
              </w:rPr>
              <w:t>Other comprehensive loss before reclassifications, net</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of tax</w:t>
            </w:r>
          </w:p>
        </w:tc>
        <w:tc>
          <w:tcPr>
            <w:tcW w:w="14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w:t>
            </w:r>
          </w:p>
        </w:tc>
        <w:tc>
          <w:tcPr>
            <w:tcW w:w="58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90"/>
              </w:rPr>
              <w:t>(a)</w:t>
            </w:r>
          </w:p>
        </w:tc>
        <w:tc>
          <w:tcPr>
            <w:tcW w:w="16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Curtailment on Pension Plan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5,040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(b)  $</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5,040</w:t>
            </w:r>
          </w:p>
        </w:tc>
      </w:tr>
      <w:tr>
        <w:trPr>
          <w:trHeight w:val="27"/>
        </w:trPr>
        <w:tc>
          <w:tcPr>
            <w:tcW w:w="4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Net current-period other comprehensive income (loss),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5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5,674</w:t>
            </w:r>
          </w:p>
        </w:tc>
        <w:tc>
          <w:tcPr>
            <w:tcW w:w="3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5,444</w:t>
            </w:r>
          </w:p>
        </w:tc>
      </w:tr>
      <w:tr>
        <w:trPr>
          <w:trHeight w:val="257"/>
        </w:trPr>
        <w:tc>
          <w:tcPr>
            <w:tcW w:w="4080" w:type="dxa"/>
            <w:vAlign w:val="bottom"/>
          </w:tcPr>
          <w:p>
            <w:pPr>
              <w:ind w:left="20"/>
              <w:spacing w:after="0"/>
              <w:rPr>
                <w:sz w:val="20"/>
                <w:szCs w:val="20"/>
                <w:color w:val="auto"/>
              </w:rPr>
            </w:pPr>
            <w:r>
              <w:rPr>
                <w:rFonts w:ascii="Arial" w:cs="Arial" w:eastAsia="Arial" w:hAnsi="Arial"/>
                <w:sz w:val="18"/>
                <w:szCs w:val="18"/>
                <w:color w:val="auto"/>
              </w:rPr>
              <w:t>Balance as of April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(9,217)</w:t>
            </w:r>
          </w:p>
        </w:tc>
        <w:tc>
          <w:tcPr>
            <w:tcW w:w="38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8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(9,595)</w:t>
            </w: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248"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is net of tax expense of $199,860. Amount is included in the components of net periodic benefit cost for the pension and postretirement health plans. See Note 7 of the Notes to unaudited Condensed Consolidated Financial Statements for further information.</w:t>
      </w:r>
    </w:p>
    <w:p>
      <w:pPr>
        <w:spacing w:after="0" w:line="1" w:lineRule="exact"/>
        <w:rPr>
          <w:rFonts w:ascii="Arial" w:cs="Arial" w:eastAsia="Arial" w:hAnsi="Arial"/>
          <w:sz w:val="18"/>
          <w:szCs w:val="18"/>
          <w:color w:val="auto"/>
        </w:rPr>
      </w:pPr>
    </w:p>
    <w:p>
      <w:pPr>
        <w:ind w:firstLine="8"/>
        <w:spacing w:after="0" w:line="260" w:lineRule="auto"/>
        <w:tabs>
          <w:tab w:leader="none" w:pos="282"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is net of tax expense of $1,592,000. See Note 7 of the Notes to the unaudited Condensed Consolidated Financial Statements for further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One member of our Board of Directors (the “Board”), and our Lead Independent Director, retired from the role of President and Chief Executive Officer of a customer of ours in September 2019. That company was a customer of ours before the board member joined that company and before he became a member of our Board. Total net sales to that customer, including sales to subsidiaries of that customer, were $103,000 and $158,000 for the third quarter of fiscal years 2020 and 2019, respectively, and were $263,000 and $360,000 for the first nine months of fiscal years 2020 and 2019, respectively. Outstanding accounts receivable from that customer, and its subsidiaries, were $22,000 and $10,000 at April 30, 2020 and July 31, 2019, respectively.</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One member of our Board, and of the Compensation Committee of our Board, is the President and Chief Executive Officer as well as a director and shareholder of a law firm that regularly provides services to us. Total payments to that vendor for fees and cost reimbursements were $119,000 and $140,000 for the third quarter of fiscal years 2020 and 2019, respectively, and were $182,000 and $237,000 for the first nine months of fiscal years 2020 and 2019, respectively. There were no outstanding accounts payable to that vendor as of April 30, 2020 or July 31, 2019.</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77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Note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15, 2020 (the “Effective Date”), the Company entered into an Amended and Restated Note Purchase and Private Shelf Agreement (the “Amended Note Agreement”) with PGIM, Inc. (“Prudential”) and certain existing noteholders and purchasers affiliated with Prudential named therein. The Amended Note Agreement amends and restates the Note Agreement between the Company, Prudential and certain existing noteholders named therein, dated as of November 12, 2010 (the “Prior Note Agreement”), under which the Company’s 3.96% Series A Senior Notes due August 1, 2020 (the “Series A Notes”) were previously issued in an original aggregate principal amount of $18,500,000.</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Amended Note Agreement, (i) the Series A Notes, in an aggregate principal amount of $3,100,000 as of immediately prior to the Effective Date, continue to remain outstanding under and subject to the terms of the Amended Note Agreement, and (ii) the Company issued $10,000,000 in aggregate principal amount of its 3.95% Series B Senior Notes due May 15, 2030 (the “Series B Notes”). In addition, the Amended Note Agreement provides the Company with the ability to request, from time to time until May 15, 2023 (or such earlier date as provided for in the Amended Note Agreement), that Prudential affiliate(s) purchase, at Prudential’s discretion and on an uncommitted basis, additional senior unsecured notes of the Company (the “Shelf Notes,” and collectively with the Series A Notes and Series B Notes, the “Notes”) in an aggregate principal amount of up to $75,000,000 minus the aggregate principal amount of Notes then outstanding and Shelf Notes that have been accepted for purchase. Interest payable on any Shelf Note agreed to be purchased under the Amended Note Agreement will be at a rate determined by Prudential and will mature not more than fifteen years after the date of original issue of such Shelf Note.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Like the Prior Note Agreement, the Amended Note Agreement is guaranteed, on an unsecured basis, by certain U.S. subsidiaries of the Company, and contains customary covenants, including but not limited to, limitations on the Company’s and certain Company subsidiaries’ ability to incur indebtedness, incur liens, engage in mergers, and sell or transfer assets and stock, as well as financial covenants, including a minimum fixed charges coverage ratio and consolidated debt ratio that remain the same as those contained in the Prior Note Agreement. Upon the occurrence of certain events of default, the Company’s obligations under the Amended Note Agreement may be accelerated. Such events of default include payment defaults, covenant defaults and other enumerated defaults.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Payment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Subsequent to the quarter end, the Company entered into a confidential agreement. Pursuant to this agreement, the Company granted a non-exclusive, perpetual license to develop, manufacture, use, distribute and sell products produced using formulations under certain of our patents until their expiration in exchange for a one-time payment of $13,000,000 as well as certain limitations on the ability of the parties to bring forth patent infringement claims or challenges relating to certain products. The Company received the one-time payment in the fourth quarter of fiscal year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freeze of our Pension Plan, as described in Note 7 to the Notes to the unaudited Condensed Consolidated Financial Statements, we offered terminated participants with vested benefits who have not yet begun receipt of benefits under the Plan the opportunity to receive their pension benefits in a single payment (the "Lump Sum Option"). We plan to make payments in the fourth quarter of fiscal year 2020 to those participants who elected the Lump Sum Option by the May 15, 2020 election deadline. We estimate that the settlement expense will be approximately $2,000,000.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55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2019.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this quarterly report on Form 10-Q for the quarter ended April 30, 2020 and of our Annual Report on Form 10-K for the fiscal year ended July 31,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8 of the Notes to unaudited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2019, COVID-19 was reported in China and has subsequently spread worldwide. In March 2020, the World Health Organization declared the COVID-19 outbreak a pandemic. COVID-19 has not, to date, had a significant impact on our business. All of our facilities, with the exception of our subsidiary in China, have continued to operate as essential businesses pursuant to the applicable shelter-in-place mandates issued where we operate due to our inclusion in the Critical Manufacturing Sector as defined by the U.S. Department of Homeland Security and where otherwise recognized as an essential business by government authorities. Our top priority has been, and continues to be, the safety and health of our employees, contractors, and customers. We have adhered and continue to adhere to guidance from the U.S. Centers for Disease Control and Prevention and local health and governmental authorities with respect to social distancing and physical separation. Additionally, we have increased cleaning and sanitation programs at each of our facilities. As a result, we have not experienced any shut downs due to workforce absences or illnesses.</w:t>
      </w:r>
    </w:p>
    <w:p>
      <w:pPr>
        <w:spacing w:after="0" w:line="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further discussed below, our sales have increased significantly in the third quarter of fiscal year 2020. One of the primary drivers of the increase is that consumers purchased more cat litter and related products in anticipation of potential future shortages and store closures due to COVID-19. We have experienced increases in cat litter sales for both our North American business and our subsidiary in Canada as consumers bought more cat litter and related products via e-commerce during COVID-19 due to shelter-in-place orders. Despite the increase in sales, we have not experienced any significant issues collecting amounts due from customers to date. However, parts of our business have been negatively impacted. Sales of our industrial and sports businesses declined as businesses and sports fields shut down. There has been some lower demand from our customers in our agricultural business. In addition, our fluids purification sales decreased in part due to the closures of restaurants and schools, causing sales to edible oil producers to decrease. To a lesser extent, our inability due to COVID-19 to participate in our customer's plant tests of our fluids purification business has also impeded our sales in recent months. Further, during the second quarter of fiscal year 2020 our operations in China were temporarily closed which disrupted our business but has since opened in the third quarter of fiscal year 2020.</w:t>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Consolidated gross profit has not been significantly impacted by COVID-19. Our suppliers have either remained open or we have found new suppliers to meet the increase in consumer demand without an impact to pricing. While we have incurred some additional costs from truck loading delays due to the large volume of sales, these costs have not been significant. We have been able to successfully navigate delays in overseas vessel deliveries of our products by increasing our safety stock early in the COVID-19 outbreak as well as finding other providers. We have incurred additional employee compensation costs to meet increased customer demand as well as additional cleaning and sanitation costs in recent months, but these costs did not have a significant impact on our consolidated gross profit. In addition, we have experienced a decrease in travel costs as our employees have not been traveling during the outbreak.</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553" w:right="339" w:bottom="1440" w:gutter="0" w:footer="0" w:header="0"/>
        </w:sectPr>
      </w:pPr>
    </w:p>
    <w:bookmarkStart w:id="24" w:name="page25"/>
    <w:bookmarkEnd w:id="24"/>
    <w:p>
      <w:pPr>
        <w:jc w:val="both"/>
        <w:spacing w:after="0" w:line="271" w:lineRule="auto"/>
        <w:rPr>
          <w:sz w:val="20"/>
          <w:szCs w:val="20"/>
          <w:color w:val="auto"/>
        </w:rPr>
      </w:pPr>
      <w:r>
        <w:rPr>
          <w:rFonts w:ascii="Arial" w:cs="Arial" w:eastAsia="Arial" w:hAnsi="Arial"/>
          <w:sz w:val="17"/>
          <w:szCs w:val="17"/>
          <w:color w:val="auto"/>
        </w:rPr>
        <w:t>We are closely monitoring the continued spread and effects of the outbreak of COVID-19 on all aspects of our business, including how it has and may impact our suppliers and customers. We have not experienced any significant impacts or interruptions and we will continue to closely monitor our inventory levels to mitigate the risk of any potential supply interruptions. The impacts of COVID-19 and related economic conditions on our future results are uncertain at this time. The scope, duration and magnitude of the direct and indirect effects of COVID-19 are evolving rapidly and in ways that are difficult or impossible to anticipate. In addition, because COVID-19 did not materially impact our financial results to date and it remains uncertain whether and how consumers will modify their purchasing habits in response to COVID-19 and continued or reduced government restrictions, these results may not be indicative of the impact that COVID-19 may have on our results for the remainder of fiscal year 2020. See “Part II - Item 1A - Risk Factors” for additional discussion regarding the risks COVID-19 presents our business.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impacts of COVID-19 to our specific operating segments are discussed below.</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2020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net sales for the nine months ended April 30, 2020 were $218,383,000, a 6% increase compared to net sales of $206,908,000 for the nine months ended April 30, 2019. Net sales increased for our Retail and Wholesale Products Group but slightly decreased for our Business to Business Products Group. Segment results are discussed further below.</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Consolidated gross profit for the first nine months of fiscal year 2020 was $60,278,000, or 28% of net sales, compared to $48,248,000, or 23% of net sales, for the first nine months of fiscal year 2019. Lower freight and natural gas costs drove the increase in gross profit. Freight costs per manufactured ton declined approximately 20% for the first nine months of fiscal year 2020 compared to the same period in fiscal year 2019 as the result of lower transportation rates from improved truck availability. In addition, costs were higher in the first half of the prior fiscal year due to other one-time events, including a greater number of product transfers between our plants and warehouses to support customer service during the implementation of our new ERP system on August 1, 2018 and disruptions due to Hurricane Michael. Our overall freight costs also vary between periods depending on the mix of products sold and the geographic distribution of our customers. The COVID-19 outbreak did not have a significant impact on our freight costs. The cost of natural gas used to operate kilns that dry our clay was approximately 30% lower per manufactured ton in the first nine months of fiscal year 2020 compared to the first nine months of fiscal year 2019. Non-fuel manufacturing costs per manufactured ton were flat compared to the first nine months of the prior fiscal year. In contrast, packaging costs per manufactured ton for the first nine months of fiscal year 2020 were approximately 2% higher compared to the first nine months of fiscal year 2019, due in part to the mix of products produced. In addition, many of our contracts for packaging purchases are subject to periodic price adjustments, which trail changes in underlying commodity prices. While we incurred additional employee compensation costs to meet increased customer demand as well as cleaning and sanitation costs in recent months due to COVID-19, these costs did not have a significant impact on our consolidated gross profit. In addition, our suppliers have remained open and have been able to meet our increased demand without any price increases.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SG&amp;A expenses were $44,584,000 for the first nine months of fiscal year 2020, a 6% increase compared to $42,091,000 for the first nine months of fiscal year 2019. The discussion of the segments' operating incomes below describes the changes in SG&amp;A expenses that were allocated to the operating segments. The remaining unallocated corporate expenses included a higher estimated annual incentive bonus accrual, which was based on performance targets established for each fiscal year. The increased bonus expense was p</w:t>
      </w:r>
      <w:r>
        <w:rPr>
          <w:rFonts w:ascii="Arial" w:cs="Arial" w:eastAsia="Arial" w:hAnsi="Arial"/>
          <w:sz w:val="16"/>
          <w:szCs w:val="16"/>
          <w:color w:val="222222"/>
        </w:rPr>
        <w:t>artially offset by a curtailment gain reported upon the freeze of our SERP in the</w:t>
      </w:r>
      <w:r>
        <w:rPr>
          <w:rFonts w:ascii="Arial" w:cs="Arial" w:eastAsia="Arial" w:hAnsi="Arial"/>
          <w:sz w:val="16"/>
          <w:szCs w:val="16"/>
          <w:color w:val="auto"/>
        </w:rPr>
        <w:t xml:space="preserve"> </w:t>
      </w:r>
      <w:r>
        <w:rPr>
          <w:rFonts w:ascii="Arial" w:cs="Arial" w:eastAsia="Arial" w:hAnsi="Arial"/>
          <w:sz w:val="16"/>
          <w:szCs w:val="16"/>
          <w:color w:val="222222"/>
        </w:rPr>
        <w:t xml:space="preserve">second quarter of fiscal year 2020 (see Note 7 of the Notes to the unaudited Condensed Consolidated Financial Statements). In addition, higher SG&amp;A expenses were reported in the first nine months of fiscal year 2019 for consulting costs related to our </w:t>
      </w:r>
      <w:r>
        <w:rPr>
          <w:rFonts w:ascii="Arial" w:cs="Arial" w:eastAsia="Arial" w:hAnsi="Arial"/>
          <w:sz w:val="16"/>
          <w:szCs w:val="16"/>
          <w:color w:val="000000"/>
        </w:rPr>
        <w:t>ERP system implemented in the first quarter of the</w:t>
      </w:r>
      <w:r>
        <w:rPr>
          <w:rFonts w:ascii="Arial" w:cs="Arial" w:eastAsia="Arial" w:hAnsi="Arial"/>
          <w:sz w:val="16"/>
          <w:szCs w:val="16"/>
          <w:color w:val="222222"/>
        </w:rPr>
        <w:t xml:space="preserve"> </w:t>
      </w:r>
      <w:r>
        <w:rPr>
          <w:rFonts w:ascii="Arial" w:cs="Arial" w:eastAsia="Arial" w:hAnsi="Arial"/>
          <w:sz w:val="16"/>
          <w:szCs w:val="16"/>
          <w:color w:val="000000"/>
        </w:rPr>
        <w:t>prior fiscal year and legal costs for legal proceedings resolved in the third quarter of the prior fiscal year.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of $4,219,000 for the third quarter of fiscal year 2019 included net proceeds upon resolution of legal proceedings. The amounts received under a confidential agreement resolving such legal proceedings was material to our financial results for the period.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net income before taxes for the first nine months of fiscal year 2020 was $15,432,000, a 49% increase from net income before taxes of $10,376,000 for the first nine months of fiscal year 2019. Results for the first nine months of fiscal year 2020 were driven by the factors discussed above, including higher sales and lower freight and natural gas costs, which more than offset the increase in SG&amp;A expenses.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557" w:right="3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The tax expense for the first nine months of fiscal year 2020 was $2,573,000 (an effective tax rate of 16.7%) compared to $1,599,000 for the first nine months of fiscal year 2019 (an effective tax rate of 15.0%). An estimated annual effective tax rate was used in both periods to determine the provision for income taxes, which is based on expected annual taxable income and the assessment of various tax deductions, including depletion. The lower tax rate in fiscal year 2019 primarily relates to the discrete benefit recorded relating to the completion of a federal income tax return examination in the first quarter of that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sales of the Business to Business Products Group for the first nine months of fiscal year 2020 slightly decreased as compared to the first nine months of fiscal year 2019. Net sales were $77,632,000, a decrease of $193,000, from net sales of $77,825,000 for the first nine months of fiscal year 2019. Net sales of our agricultural and horticultural chemical carrier products decreased approximately 10% for the first nine months of fiscal year 2020 compared to the same period in fiscal year 2019. Sales of traditional granules declined due primarily to the loss of a large customer, which was partially offset by increased sales to an existing customer. Lower demand from our customers in the agricultural, home and garden industries due to the impact of COVID-19 have also contributed to the decrease in net sales. Net sales of our fluids purification products decreased approximately 3% compared to the first nine months of the prior fiscal year. The lower sales are attributable to a plant closing of a biodiesel processing customer and local pricing competition in foreign markets due to unfavorable exchange rates. More recently, the closures of restaurants and schools due to the outbreak of COVID-19 have caused sales to edible oil producers to decrease. In addition, our inability due to COVID-19 to participate in our customer's plant tests of our products has also impeded our sales in recent months. These lower sales were partially offset by higher sales of other products in the Business to Business Group, including an increase of approximately 11% compared to the first nine months of the prior fiscal year for sales of our co-packaged coarse cat litter as consumers purchased more cat litter and related products in anticipation of potential future shortages and store closures. Net sales of our animal health and nutrition products also increased approximately 13% compared to the first nine months of the prior year. Sales growth occurred for our animal feed additives primarily in Latin America, Mexico, Africa, the Middle East and Asia, excluding China. See “Foreign Operations” below for a discussion of sales in China, which were impacted by the spread of the African swine fever in the prior year and COVID-19 in late 2019 and in 2020.</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SG&amp;A expenses for the Business to Business Products Group were approximately 10% higher for the first nine months of fiscal year 2020 compared to the same period of the prior year, but remained relatively consistent as a percentage of sales. The increase in SG&amp;A is attributable to higher costs for product development and support, increased compensation-related expenses and additional costs to establish our subsidiary in Indonesia.</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Business to Business Products Group’s operating income for the first nine months of fiscal year 2020 was $24,046,000, an increase of $2,288,000, or 11%, from operating income of $21,758,000 for the first nine months of fiscal year 2019. The improved operating income was driven primarily by the lower freight and natural gas costs discussed in “Consolidated Results”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sales of the Retail and Wholesale Products Group for the first nine months of fiscal year 2020 were $140,751,000, an increase of $11,668,000, or 9%, from net sales of $129,083,000 for the first nine months of fiscal year 2019. Sales of cat litter drove the sales increase. Total cat litter net sales were approximately 14% higher compared to the first nine months of the prior fiscal year, with increased sales of both private label and branded litters. Contributing to higher cat litter sales in the first nine months of fiscal year 2020 was higher consumer demand in the last three months as consumers purchased more cat litter and related products in anticipation of potential future shortages and store closures due to COVID-19. Sales of private label scoopable litter increased to existing customers, some of whom had expanded their selection of our products during the prior fiscal year. Similarly, higher sales of private label coarse litter included incremental sales to customers who added these products in the prior fiscal year. Branded scoopable litter, coarse litter and litter box liners sales were also higher for the nine months of fiscal year 2020 compared to the nine months of the prior fiscal year. Cat litter sales by our subsidiary in Canada further contributed to the sales increase, as discussed in “Foreign Operations” below. Also included in the Retail and Wholesale Products Group's results were lower sales of our industrial and sports products compared to the first nine months of fiscal year 2019. Sales of our industrial and sports products decreased 10% or $2,603,000 compared to the first nine months of fiscal year 2019, primarily driven by the impact of businesses and sports fields shutting down due to COVID-19.</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SG&amp;A expenses for the Retail and Wholesale Products Group were slightly higher in the first nine months of fiscal year 2020 compared to the first nine months of fiscal year 2019 but are consistent as a percentage of sales.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Retail and Wholesale Products Group's operating income for the first nine months of fiscal year 2020 was $15,380,000, an increase of $8,557,000 from operating income of $6,823,000 for the first nine months of fiscal year 2019. The improved operating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income was driven by the higher sales described above, and by lower freight and natural gas costs discussed in “Consolidated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Foreign operations include our subsidiaries in Canada and the United Kingdom, which are reported in the Retail and Wholesale Products Group, and our subsidiaries in China, Mexico and Indonesia, which are reported in the Business to Business Products Group. Net sales by our foreign subsidiaries during the first nine months of fiscal year 2020 were $10,986,000, an increase of $978,000, or 10%, compared to net sales of $10,008,000 during the first nine months of fiscal year 2019. Cat litter sales for our Canada subsidiary increased in the first nine months of fiscal year 2020. One of the drivers of this increase was higher consumer demand in the last three months as customers purchased more cat litter and related products in anticipation of potential future shortages and store closures due to the coronavirus. Sales of our animal health products by our foreign operations grew to a lesser extent, as higher sales for our subsidiaries in Mexico and Indonesia were mostly offset by lower sales for our subsidiary in China. Sales of animal health products to pork producers in China have not fully recovered since the spread of African swine fever in fiscal year 2019. In addition, our Chinese subsidiary's business operations have been impacted in the second and third quarters of fiscal year 2020 by the recent outbreak of COVID-19. Chinese government restrictions to control the spread of COVID-19 disrupted our sales office, limited travel by our salesforce and delayed product shipments. Net sales by our foreign subsidiaries represented 5% of our consolidated net sales during the first nine months of both fiscal years 2020 and 2019.</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foreign subsidiaries reported a net loss of $200,000 for the first nine months of fiscal year 2020, compared to net income of $343,000 for the first nine months of fiscal year 2019. While our subsidiaries in Canada and Mexico experienced an increase in sales for the third quarter of fiscal year 2020, the lower sales described above for our subsidiary in China, increased SG&amp;A expenses to support increased sales for our subsidiary in Mexico and additional costs to establish operations in Indonesia drove the net loss. In addition, higher materials costs as well as unfavorable exchange rates for our subsidiaries in Canada and the United Kingdom were also drivers for the net loss.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Identifiable assets of our foreign subsidiaries as of April 30, 2020 were $11,286,000, compared to $9,566,000 as of April 30, 2019. The increase was attributed primarily to the addition of our subsidiary in Indonesia, assets related to the expansion of business and increase in sales from our subsidiaries in Canada and Mexico, and new right-of-use lease assets recorded upon the implementation of ASC 842,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2020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net sales for the three months ended April 30, 2020 were $76,256,000, an 8% increase compared to net sales of $70,885,000 for the three months ended April 30, 2019. Net sales increased for both our Retail and Wholesale Products Group and Business to Business Products Group. Segment results are discussed further below.</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Consolidated gross profit for the three months ended April 30, 2020 was $21,385,000, or 28% of net sales, compared to $16,834,000, or 24% of net sales, for the third quarter of fiscal year 2019. Lower freight and natural gas costs drove the increase in gross profit. Freight costs per manufactured ton declined approximately 20% for the third quarter of fiscal year 2020 as the result of lower transportation rates from improved truck availability. Our overall freight costs also vary between periods depending on the mix of products sold and the geographic distribution of our customers. The cost of natural gas used to operate kilns that dry our clay was approximately 32% lower per manufactured ton for the third quarter of fiscal year 2020 compared to the same period of fiscal year 2019. Non-fuel manufacturing costs per ton produced were slightly higher compared to the third quarter in the prior fiscal year. While we incurred additional employee compensation costs to meet increased customer demand as well as cleaning and sanitation costs in the third quarter of fiscal 2020 due to COVID-19, these costs did not have a significant impact on our consolidated gross profit. Further, our suppliers have either remained open or we have found new suppliers to meet our increased customer demand without any price increases. In addition, packaging costs per manufactured ton were lower compared to the third quarter of the prior fiscal year, driven primarily by the mix of products produced. Many of our contracts for packaging purchases are subject to periodic price adjustments, which trail changes in underlying commodity prices.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SG&amp;A expenses were $15,685,000 for the third quarter of fiscal year 2020, an 8% increase compared to $14,507,000 for the third quarter of fiscal year 2019. The discussion below describes the SG&amp;A expenses allocated to the operating segments. The remaining unallocated corporate expenses included a higher estimated annual incentive bonus accrual and other compensation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57"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and benefit costs. The increased bonus expense was p</w:t>
      </w:r>
      <w:r>
        <w:rPr>
          <w:rFonts w:ascii="Arial" w:cs="Arial" w:eastAsia="Arial" w:hAnsi="Arial"/>
          <w:sz w:val="18"/>
          <w:szCs w:val="18"/>
          <w:color w:val="222222"/>
        </w:rPr>
        <w:t>artially offset by lower SG&amp;A expenses</w:t>
      </w:r>
      <w:r>
        <w:rPr>
          <w:rFonts w:ascii="Arial" w:cs="Arial" w:eastAsia="Arial" w:hAnsi="Arial"/>
          <w:sz w:val="18"/>
          <w:szCs w:val="18"/>
          <w:color w:val="auto"/>
        </w:rPr>
        <w:t xml:space="preserve"> for legal proceedings resolved in the third quarter of the prior fiscal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of $4,377,000 for the third quarter of fiscal year 2019 included net proceeds upon resolution of legal proceedings. The amounts received under a confidential agreement resolving such legal proceedings was material to our financial results for the period.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net income before taxes for the third quarter of fiscal year 2020 was $5,597,000, compared to net income before taxes of $6,704,000 for the third quarter of fiscal year 2019. Results for the third quarter of fiscal year 2020 were driven by the factors described above, including higher sales and lower freight and natural gas costs, which more than offset the increase in SG&amp;A expenses.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Tax expense was $947,000 for the third quarter of fiscal year 2020, compared to $1,143,000 for the third quarter of fiscal year 2019, which resulted in an effective tax rate of 17% for the third quarters of both fiscal years. We used an estimated annual effective tax rate in determining our quarterly provision for income taxes, which is based on expected annual taxable income and the assessment of various tax deductions, including depletion.</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3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Net sales of the Business to Business Products Group for the third quarter of fiscal year 2020 were $26,683,000, an increase of $642,000, or 2%, from net sales of $26,041,000 for the third quarter of fiscal year 2019. Net sales of our agricultural and horticultural chemical carrier products increased 11%, due primarily to sales to an existing customer for our traditional granules. The increase in sales to this existing customer has been partially offset by lower demand from our customers in the agricultural, home and garden industries due to the impact of COVID-19 as well as the loss of one of our largest customers. Net sales of our animal health and nutrition products increased 25% in the third quarter of fiscal 2020. Sales increased in almost all of our markets for our animal feed additives, particularly in Latin America, Mexico, Africa, the Middle East and Asia, excluding China. See “Foreign Operations” below for a discussion of sales in China, which was impacted by the spread of the African swine fever in the prior year and the recent outbreak of COVID-19 at the end of 2019 and in 2020. Net sales of our co-packaged coarse cat litter for the third quarter were approximately 10% higher compared to the third quarter of the prior year as consumers purchased more cat litter and related products in anticipation of potential future shortages and store closures. Net sales of our fluids purification products decreased approximately 8% for the third quarter of fiscal year 2020. The lower sales are attributable to a variety of reasons, including a plant closure of a biodiesel processing customer and local pricing competition in foreign markets due to unfavorable exchange rates. The closures of restaurants and schools due to the outbreak of COVID-19 caused sales to edible oil producers to decrease. In addition, our inability due to COVID-19 to participate in our customer's plant tests of our products has also impeded our sales in the third quarter of fiscal 2020.</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SG&amp;A expenses for the Business to Business Products Group were approximately 17% higher compared to the third quarter of fiscal year 2019, but are relatively consistent as a percentage of sales. The increase in SG&amp;A expenses relate to higher compensation-related expenses and costs to support the business.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Business to Business Products Group’s operating income for the third quarter of fiscal year 2020 was $8,198,000, an increase of $744,000, or 10%, from operating income of $7,454,000 in the third quarter of fiscal year 2019. The improved operating income was driven by the lower freight and natural gas costs discussed in “Consolidated Results”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sales of the Retail and Wholesale Products Group for the third quarter of fiscal year 2020 were $49,573,000, an increase of $4,729,000, or 11%, from net sales of $44,844,000 for the third quarter of fiscal year 2019. Total cat litter net sales increased 20%, or $6,889,000, compared to the third quarter of fiscal year 2019, driven by increased sales of both private label and branded litters. Contributing to the increase in cat litter sales in the third quarter of fiscal year 2020 was higher consumer demand as customers purchased more cat litter and related products in anticipation of potential future shortages and store closures due to COVID-19. In addition, in the third quarter of fiscal year 2020 cat litter sales via e-commerce increased as more consumers purchased their goods on-line due to limitations on their activity as a result of the shelter-in-place orders during the COVID-19 outbreak. Sales of private label scoopable litter increased to existing customers, some of whom had expanded their selection of our products during the prior fiscal year. Similarly, higher sales of private label coarse litter included incremental sales to customers who added these products in the second half of the prior fiscal year. Branded scoopable litter, coarse litter and litter box liners sales were also higher compared to the third quarter of the prior year. Cat litter sales by our subsidiary in Canada also contributed to the sales increase,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57" w:right="339" w:bottom="1440" w:gutter="0" w:footer="0" w:header="0"/>
        </w:sectPr>
      </w:pPr>
    </w:p>
    <w:bookmarkStart w:id="28" w:name="page29"/>
    <w:bookmarkEnd w:id="28"/>
    <w:p>
      <w:pPr>
        <w:jc w:val="both"/>
        <w:spacing w:after="0" w:line="286" w:lineRule="auto"/>
        <w:rPr>
          <w:sz w:val="20"/>
          <w:szCs w:val="20"/>
          <w:color w:val="auto"/>
        </w:rPr>
      </w:pPr>
      <w:r>
        <w:rPr>
          <w:rFonts w:ascii="Arial" w:cs="Arial" w:eastAsia="Arial" w:hAnsi="Arial"/>
          <w:sz w:val="17"/>
          <w:szCs w:val="17"/>
          <w:color w:val="auto"/>
        </w:rPr>
        <w:t>as discussed in “Foreign Operations” below. Also included in the Retail and Wholesale Products Group's results were lower sales of our industrial and sports products compared to the third quarter of fiscal year 2019. Sales of our industrial and sports products decreased 22%, or $2,186,000, compared to the third quarter of fiscal year 2019, primarily driven by the impact of businesses and sports fields shutting down due to COVID-19.</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SG&amp;A expenses for the Retail and Wholesale Products Group were higher in the third quarter of fiscal year 2020 by 41%, or $1,207,000, primarily due to employee compensation costs, advertising and other costs to support the increased sales compared to the third quarter of fiscal year 2019.</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third quarter of fiscal year 2020, the Retail and Wholesale Products Group reported operating income of $6,412,000, an increase of $2,251,000, compared to operating income of $4,161,000 for the third quarter of fiscal year 2019. The improved operating income was driven by the higher sales described above, and by lower freight and natural gas costs discussed above in “Consolidated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Foreign operations include our subsidiaries in Canada and the United Kingdom, which are reported in the Retail and Wholesale Products Group, and our subsidiaries in China, Mexico and Indonesia, which are reported in the Business to Business Products Group. Net sales by our foreign subsidiaries during the third quarter of fiscal year 2020 were $3,832,000, a 9% increase compared to net sales of $3,526,000 in the third quarter of fiscal year 2019. Cat litter sales for our Canada subsidiary increased in the third quarter of fiscal year 2020. A driver of this increase was higher consumer demand as customers purchased more cat litter and related products in anticipation of potential future shortages and store closures due to the coronavirus. Sales of our animal health products by our foreign operations grew to a lesser extent, as higher sales for our Mexico and Indonesia subsidiaries were mostly offset by lower sales for our subsidiary in China. Sales of these products to pork producers in China have not fully recovered since the spread of African swine fever in fiscal year 2019. In addition, business operations of our Chinese subsidiary have been impacted in the third quarter of fiscal year 2020 by the recent outbreak of COVID-19. Chinese government restrictions to control the spread of COVID-19 disrupted our sales office, limited travel by our salesforce and delayed product shipments. Our foreign subsidiaries' net sales represented approximately 5% of consolidated net sales during the third quarters of both fiscal years 2020 and 2019.</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foreign subsidiaries reported a net loss of $31,000 for the third quarter of fiscal year 2020 compared to net income of $28,000 for the third quarter of fiscal year 2019. While our subsidiaries in Canada and Mexico experienced an increase in sales and net income for the third quarter of fiscal year 2020, higher material costs for our subsidiary in the United Kingdom and Canada, unfavorable exchange rates and additional costs to establish operations in Indonesia drove the net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capital requirements include: funding working capital needs; purchasing and upgrading equipment, facilities, information systems and real estate; supporting new product development; investing in infrastructure; repurchasing stock; paying dividends; making pension contributions; and, from time to time, business acquisitions. During the first nine months of fiscal year 2020, we principally used cash generated from operations to fund these requirements.</w:t>
      </w:r>
    </w:p>
    <w:p>
      <w:pPr>
        <w:spacing w:after="0" w:line="187"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At this time, COVID-19 has not had a significant impact on our operations, and we anticipate cash flows from operations, and our available sources of liquidity will be sufficient to meet our cash requirements. In addition, we are actively monitoring the timing and collection of our accounts receivable. Given the dynamic nature of COVID</w:t>
      </w:r>
      <w:r>
        <w:rPr>
          <w:rFonts w:ascii="MS PGothic" w:cs="MS PGothic" w:eastAsia="MS PGothic" w:hAnsi="MS PGothic"/>
          <w:sz w:val="17"/>
          <w:szCs w:val="17"/>
          <w:color w:val="auto"/>
        </w:rPr>
        <w:t>‐</w:t>
      </w:r>
      <w:r>
        <w:rPr>
          <w:rFonts w:ascii="Arial" w:cs="Arial" w:eastAsia="Arial" w:hAnsi="Arial"/>
          <w:sz w:val="17"/>
          <w:szCs w:val="17"/>
          <w:color w:val="auto"/>
        </w:rPr>
        <w:t>19, we will continue to assess our liquidity needs and to actively manage our spending.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98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For the Nine Months Ended April 30,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15,364</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w w:val="89"/>
              </w:rPr>
              <w:t>Effect of exchange rate changes on cash and cash equivalents</w:t>
            </w:r>
          </w:p>
        </w:tc>
        <w:tc>
          <w:tcPr>
            <w:tcW w:w="1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2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29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5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nine months of fiscal years 2020 and 2019 were as follows: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less allowance for doubtful accounts, increased $6,592,000 in the first nine months of fiscal year 2020 compared to an increase of $2,336,000 in the first nine months of fiscal year 2019. Higher sales in the third quarter of fiscal year 2020 compared to the third quarter of 2019 drove the increase in accounts receivable as of April 30, 2020. The variation in accounts receivable balances also reflects differences in the level and timing of collections as well as the payment terms provided to various customers.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Inventory increased $72,000 in the first nine months of fiscal year 2020 compared to an increase of $4,248,000 in the first nine months of fiscal year 2019. Packaging and finished goods were relatively flat as of April 30, 2020 as compared to fiscal year end 2019. Other inventory, consisting of supplies and raw clay increased during the first nine months of fiscal year 2020. This increase was offset by the increase in our inventory obsolescence reserve which is attributable to our focus on inventory management and enhanced data available from our new ERP system. Previously, inventory had increased significantly during the first nine months of fiscal year 2019 due to production interruptions and increased safety stock for anticipated disruptions during the new ERP system implementation.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assets decreased $816,000 in the first nine months of fiscal year 2020 compared to an increase of $564,000 in the first nine months of fiscal year 2019. The decrease in fiscal year 2020 related to amortization of our operating lease right-of-use lease assets while the increase in fiscal year 2019 related to additional costs to establish operations in Indonesia.</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Accounts payable, including income taxes payable, increased $3,859,000 in the first nine months of fiscal year 2020 compared to an increase of $2,873,000 in the first nine months of fiscal year 2019. Higher accrued income taxes due to higher net income drove the increase in the first nine months of fiscal year 2020 as well as higher freight payables due to the increase in sales. Higher costs for freight, packaging and other operating expenses contributed to the increase in accounts payable at the end of the third quarter of fiscal year 2019. Trade and freight payables vary in both periods due to the timing of payments, fluctuations in the cost of goods and services we purchased, production volume levels and vendor payment terms.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Accrued expenses increased $4,612,000 in the first nine months of fiscal year 2020 compared to a decrease of $1,762,000 in the first nine months of fiscal year 2019. Accrued expenses increased in the first nine months of fiscal year 2020 primarily due to the accrual of our discretionary incentive bonus. Accrued expenses decreased in the first nine months of fiscal year 2019 due to the payout of the prior fiscal year's discretionary incentive bonus offset by an increase in accrued freight. Accrued plant expenses also fluctuated due to timing of payments, changes in the cost of goods and services we purchased, production volume levels and vendor payment terms.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Pension and postretirement benefits decreased $5,482,000 in the first nine months of fiscal year 2020 compared to an increase in the first nine months of fiscal year 2019 of $1,287,000. See Note 7 of the Notes to the unaudited Condensed Consolidated Financial Statements for explanation of the decrease in fiscal year 2020 upon curtailment of our Pension Plan. The increase in fiscal year 2019 is due to normal increases in benefit obligation due to additional service.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liabilities decreased $1,101,000 in the first nine months of fiscal year 2020 compared to an increase of $249,000 in the first nine months of fiscal year 2019. The decrease in fiscal year 2020 is due to a reclassification of the deferred lease liability to operating lease liabilities. The increase in fiscal year 2019 was due to a new deferred lease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was $10,758,000 in the first nine months of fiscal year 2020 compared to cash used in investing activities of $3,758,000 in the first nine months of fiscal year 2019. Cash used for capital expenditures was slightly higher for the first nine months of fiscal year 2020 than fiscal year 2019. Net dispositions of investment securities provided cash in the first nine months of fiscal year 2019; however, no short-term investments were held in fiscal year 2020 due to the low returns available on these investments.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5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used in financing activities of $12,852,000 in the first nine months of fiscal year 2020 was higher than cash used in financing activities of $8,191,000 in the first nine months of fiscal year 2019, primarily due to increased purchases of treasury stock and a higher dividend payout.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cash and investment balances held by our foreign subsidiaries of $3,334,000 as of April 30, 2020 were slightly higher than the April 30, 2019 balances of $1,972,000. See further discussion in “Foreign Operations” above.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31, 2019, we signed a fifth amendment to our credit agreement with BMO Harris Bank N.A. (“BMO Harris”), which expires on January 31, 2024. The agreement provides for a $45,000,000 unsecured revolving credit agreement and a maximum of $10,000,000 for letters of credit. The agreement terms also state that we may select a variable interest rate based on either the BMO Harris prime rate or a LIBOR-based rate, plus a margin that varies depending on our debt to earnings ratio, or a fixed rate as agreed between us and BMO Harris. As of April 30, 2020, the variable rates would have been 3.50% for the BMO Harris prime-based rate or 1.81% for the three-month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April 30, 2020 and 2019, we were in compliance with the covenants. There were no borrowings during the first nine months of either fiscal year 2019 or 2020.</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30, 2020, we had remaining authority to repurchase 913,601 shares of Common Stock and 288,925 shares of Class B Stock under a repurchase plan approved by our Board of Directors (the “Board”). Repurchases may be made on the open market (pursuant to Rule 10b5-1 plans or otherwise) or in negotiated transactions. The timing and number of shares repurchased will be determined by our management pursuant to the repurchase plan approved by our Board.</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 We expect both capital expenditures and advertising expense in fiscal year 2020 to be greater than in fiscal year 2019. </w:t>
      </w:r>
      <w:r>
        <w:rPr>
          <w:rFonts w:ascii="Arial" w:cs="Arial" w:eastAsia="Arial" w:hAnsi="Arial"/>
          <w:sz w:val="17"/>
          <w:szCs w:val="17"/>
          <w:color w:val="222222"/>
        </w:rPr>
        <w:t>We do not believe that these increased expenditures will dramatically impact our cash</w:t>
      </w:r>
      <w:r>
        <w:rPr>
          <w:rFonts w:ascii="Arial" w:cs="Arial" w:eastAsia="Arial" w:hAnsi="Arial"/>
          <w:sz w:val="17"/>
          <w:szCs w:val="17"/>
          <w:color w:val="auto"/>
        </w:rPr>
        <w:t xml:space="preserve"> </w:t>
      </w:r>
      <w:r>
        <w:rPr>
          <w:rFonts w:ascii="Arial" w:cs="Arial" w:eastAsia="Arial" w:hAnsi="Arial"/>
          <w:sz w:val="17"/>
          <w:szCs w:val="17"/>
          <w:color w:val="222222"/>
        </w:rPr>
        <w:t>position; however our cash requirements are subject to change as business conditions warrant and opportunities arise.</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continually evaluate our liquidity position and anticipated cash needs, as well as the financing options available to obtain additional cash reserves. See Note 12 of the Notes to the unaudited Condensed Consolidated Financial Statements for discussion of the debt instrument that we entered into on May 15, 2020 pursuant to which, among other things, the Company issued $10,000,000 in aggregate principal amount of its 3.95% Series B Senior Notes due May 15, 2030 and entered into an amended note agreement that provides the Company with the ability to request, from time to time until May 15, 2023 (or such earlier date as provided for in the agreement), additional senior unsecured notes of the Company in an aggregate principal amount of up to $75,000,000 minus the aggregate principal amount of the notes then outstanding and the additional notes that have been accepted for purchase. The issuance of such additional notes is at the discretion of the noteholders and purchasers and on an uncommitted basis. Our ability to fund operations, to make planned capital expenditures, to make scheduled debt payments, to contribute to our pension plan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2019.</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5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made enhancements to the functionality of our existing ERP system so as to upgrade our technology and improve our financial and operational information. The Company has appropriately considered these functionality enhancements in its design of and testing for effectiveness of internal controls over financial reporting and concluded, as part of the evaluation described in the above paragraph, that the ongoing enhancement of the ERP system has not materially changed the effectiveness of its internal control over financial reporting. We have not experienced any material impact to our internal controls over financial reporting despite the fact that many of our employees are working remotely due to COVID-19. We are continually monitoring and assessing the effects of COVID-19 on our internal controls to minimize the impact to their design and operating effectiveness.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other than those described herein, in our internal control over financial reporting (as defined in Rule 13a-15(f) under the Exchange Act) that occurred during the fiscal quarter ended April 30, 2020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1, 3 and 5 of this Part II are either inapplicable or are answered in the negative and are omitted pursuant to the instructions to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operations and financial results are subject to various risks and uncertainties, including those described in Part I, Item 1A, “Risk Factors” in the Company's Annual Report on Form 10-K for the year ended July 31, 2019. Except as set forth below, there have been no material changes to our risk factors since the Company's Annual Report on Form 10-K for the year ended July 31,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5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Our business could be adversely affected by a widespread threat to public health</w:t>
      </w:r>
      <w:r>
        <w:rPr>
          <w:rFonts w:ascii="Arial" w:cs="Arial" w:eastAsia="Arial" w:hAnsi="Arial"/>
          <w:sz w:val="18"/>
          <w:szCs w:val="18"/>
          <w:color w:val="auto"/>
        </w:rPr>
        <w: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2019, COVID-19 was reported in China and has subsequently spread worldwide. In March 2020, the World Health Organization declared the COVID-19 outbreak a pandemic. In response to the COVID-19 outbreak, countries and local governments across the world implemented “Shelter in Place,” “Safe at Home,” quarantine or similar orders that restricted workforce and/or required closures of “non-essential” businesses along with restrictions on travel. Such restrictions and closures initially disrupted our sales office in China, limited travel by our salesforce and delayed product shipments. While our facilities otherwise have remained operational as essential businesses, there can be no assurances that we will not have to close facilities due to concerns over the health and well-being of our employees, or as a result of government directives. Further, while we have implemented policies and practices to protect our employees at each of our locations, including sanitizing and cleaning protocols, social distancing, remote work, and suspending non-essential employee travel, there can be no assurances that these efforts will be successful in preventing health concerns from impacting our operations. The spread of a widespread threat to public health such as COVID-19 has currently had limited disruption and impact our third party business partners, suppliers, service providers, and customers.</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the disruptions, delays and modifications to our operations caused by COVID-19 have not had a material impact on our results of operations, there continues to be significant uncertainty relating to the COVID-19 outbreak as well as the potential effects of such outbreak on our business which could negatively affect our costs, customer orders, and collection of accounts receivable, which may be material. In addition, the deterioration of worldwide economic conditions may impact the proper functioning of financial and capital markets, foreign currency exchange rates, and commodity and energy prices, as well as demand for our products. Even after the COVID-19 pandemic subsides, we may experience adverse impacts to our business and financial results due to any economic recession or depression that has occurred, and due to any major public health crises that may occur in the future. Given the uncertainties related to the outbreak, including its duration and severity, we cannot reasonably estimate the scope of its impact on our employees, operations, suppliers, or customers, or the full extent to which COVID-19 could continue to affect the global economy and our results. The potential effects of COVID-19 also could impact many of our risk factors included in Item 1.A. in our Annual Report on Form 10-K for the fiscal year ended July 31, 2019. However, as the COVID-19 situation is unprecedented and continuously evolving, the potential impacts to such risk factors remain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5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three months ended April 30, 2020, we did not sell any securities which were not registered under the Securities Act of 1933. The following charts summarize our repurchases (and remaining authority to repurchase) shares of our Common Stock during this period. There were no repurchases of Class B Stock during this period and no shares of our Class A Common Stock are currently outstanding. Descriptions of our Common Stock, Class B Stock and Class A Common Stock are contained in Exhibit 4.1 to our Annual Report on Form 10-K for the fiscal year ended July 31, 2019 filed with the SEC.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7" w:lineRule="exact"/>
        <w:rPr>
          <w:sz w:val="20"/>
          <w:szCs w:val="20"/>
          <w:color w:val="auto"/>
        </w:rPr>
      </w:pPr>
    </w:p>
    <w:tbl>
      <w:tblPr>
        <w:tblLayout w:type="fixed"/>
        <w:tblInd w:w="3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22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220" w:type="dxa"/>
            <w:vAlign w:val="bottom"/>
          </w:tcPr>
          <w:p>
            <w:pPr>
              <w:jc w:val="center"/>
              <w:ind w:left="30"/>
              <w:spacing w:after="0"/>
              <w:rPr>
                <w:sz w:val="20"/>
                <w:szCs w:val="20"/>
                <w:color w:val="auto"/>
              </w:rPr>
            </w:pPr>
            <w:r>
              <w:rPr>
                <w:rFonts w:ascii="Arial" w:cs="Arial" w:eastAsia="Arial" w:hAnsi="Arial"/>
                <w:sz w:val="18"/>
                <w:szCs w:val="18"/>
                <w:b w:val="1"/>
                <w:bCs w:val="1"/>
                <w:color w:val="auto"/>
                <w:w w:val="95"/>
              </w:rPr>
              <w:t>(d)</w:t>
            </w:r>
          </w:p>
        </w:tc>
        <w:tc>
          <w:tcPr>
            <w:tcW w:w="20" w:type="dxa"/>
            <w:vAlign w:val="bottom"/>
          </w:tcPr>
          <w:p>
            <w:pPr>
              <w:spacing w:after="0"/>
              <w:rPr>
                <w:sz w:val="20"/>
                <w:szCs w:val="20"/>
                <w:color w:val="auto"/>
              </w:rPr>
            </w:pPr>
          </w:p>
        </w:tc>
      </w:tr>
      <w:tr>
        <w:trPr>
          <w:trHeight w:val="252"/>
        </w:trPr>
        <w:tc>
          <w:tcPr>
            <w:tcW w:w="20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22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Maximum Number of</w:t>
            </w:r>
          </w:p>
        </w:tc>
        <w:tc>
          <w:tcPr>
            <w:tcW w:w="20" w:type="dxa"/>
            <w:vAlign w:val="bottom"/>
          </w:tcPr>
          <w:p>
            <w:pPr>
              <w:spacing w:after="0"/>
              <w:rPr>
                <w:sz w:val="21"/>
                <w:szCs w:val="21"/>
                <w:color w:val="auto"/>
              </w:rPr>
            </w:pPr>
          </w:p>
        </w:tc>
      </w:tr>
      <w:tr>
        <w:trPr>
          <w:trHeight w:val="216"/>
        </w:trPr>
        <w:tc>
          <w:tcPr>
            <w:tcW w:w="20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222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Shares that may yet be</w:t>
            </w:r>
          </w:p>
        </w:tc>
        <w:tc>
          <w:tcPr>
            <w:tcW w:w="20" w:type="dxa"/>
            <w:vAlign w:val="bottom"/>
          </w:tcPr>
          <w:p>
            <w:pPr>
              <w:spacing w:after="0"/>
              <w:rPr>
                <w:sz w:val="18"/>
                <w:szCs w:val="18"/>
                <w:color w:val="auto"/>
              </w:rPr>
            </w:pPr>
          </w:p>
        </w:tc>
      </w:tr>
      <w:tr>
        <w:trPr>
          <w:trHeight w:val="216"/>
        </w:trPr>
        <w:tc>
          <w:tcPr>
            <w:tcW w:w="2040" w:type="dxa"/>
            <w:vAlign w:val="bottom"/>
          </w:tcPr>
          <w:p>
            <w:pPr>
              <w:ind w:left="100"/>
              <w:spacing w:after="0"/>
              <w:rPr>
                <w:sz w:val="20"/>
                <w:szCs w:val="20"/>
                <w:color w:val="auto"/>
              </w:rPr>
            </w:pPr>
            <w:r>
              <w:rPr>
                <w:rFonts w:ascii="Arial" w:cs="Arial" w:eastAsia="Arial" w:hAnsi="Arial"/>
                <w:sz w:val="18"/>
                <w:szCs w:val="18"/>
                <w:b w:val="1"/>
                <w:bCs w:val="1"/>
                <w:color w:val="auto"/>
              </w:rPr>
              <w:t>For the Three Months</w:t>
            </w:r>
          </w:p>
        </w:tc>
        <w:tc>
          <w:tcPr>
            <w:tcW w:w="22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Total Number of Shares</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Price Paid per</w:t>
            </w: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222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Purchased Under Plans or</w:t>
            </w:r>
          </w:p>
        </w:tc>
        <w:tc>
          <w:tcPr>
            <w:tcW w:w="20" w:type="dxa"/>
            <w:vAlign w:val="bottom"/>
          </w:tcPr>
          <w:p>
            <w:pPr>
              <w:spacing w:after="0"/>
              <w:rPr>
                <w:sz w:val="18"/>
                <w:szCs w:val="18"/>
                <w:color w:val="auto"/>
              </w:rPr>
            </w:pPr>
          </w:p>
        </w:tc>
      </w:tr>
      <w:tr>
        <w:trPr>
          <w:trHeight w:val="261"/>
        </w:trPr>
        <w:tc>
          <w:tcPr>
            <w:tcW w:w="20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Ended April 30, 2020</w:t>
            </w:r>
          </w:p>
        </w:tc>
        <w:tc>
          <w:tcPr>
            <w:tcW w:w="2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Purchased</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220" w:type="dxa"/>
            <w:vAlign w:val="bottom"/>
            <w:tcBorders>
              <w:bottom w:val="single" w:sz="8" w:color="auto"/>
            </w:tcBorders>
          </w:tcPr>
          <w:p>
            <w:pPr>
              <w:jc w:val="center"/>
              <w:ind w:left="30"/>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1</w:t>
            </w:r>
          </w:p>
        </w:tc>
        <w:tc>
          <w:tcPr>
            <w:tcW w:w="20" w:type="dxa"/>
            <w:vAlign w:val="bottom"/>
            <w:tcBorders>
              <w:bottom w:val="single" w:sz="8" w:color="auto"/>
            </w:tcBorders>
          </w:tcPr>
          <w:p>
            <w:pPr>
              <w:spacing w:after="0"/>
              <w:rPr>
                <w:sz w:val="22"/>
                <w:szCs w:val="22"/>
                <w:color w:val="auto"/>
              </w:rPr>
            </w:pPr>
          </w:p>
        </w:tc>
      </w:tr>
      <w:tr>
        <w:trPr>
          <w:trHeight w:val="269"/>
        </w:trPr>
        <w:tc>
          <w:tcPr>
            <w:tcW w:w="2040" w:type="dxa"/>
            <w:vAlign w:val="bottom"/>
            <w:tcBorders>
              <w:left w:val="single" w:sz="8" w:color="auto"/>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Common Stock</w:t>
            </w:r>
          </w:p>
        </w:tc>
        <w:tc>
          <w:tcPr>
            <w:tcW w:w="24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r>
      <w:tr>
        <w:trPr>
          <w:trHeight w:val="222"/>
        </w:trPr>
        <w:tc>
          <w:tcPr>
            <w:tcW w:w="2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February 1, 2020 to</w:t>
            </w:r>
          </w:p>
        </w:tc>
        <w:tc>
          <w:tcPr>
            <w:tcW w:w="226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February 29, 2020</w:t>
            </w:r>
          </w:p>
        </w:tc>
        <w:tc>
          <w:tcPr>
            <w:tcW w:w="226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20" w:type="dxa"/>
            <w:vAlign w:val="bottom"/>
          </w:tcPr>
          <w:p>
            <w:pPr>
              <w:jc w:val="center"/>
              <w:ind w:left="10"/>
              <w:spacing w:after="0"/>
              <w:rPr>
                <w:sz w:val="20"/>
                <w:szCs w:val="20"/>
                <w:color w:val="auto"/>
              </w:rPr>
            </w:pPr>
            <w:r>
              <w:rPr>
                <w:rFonts w:ascii="Arial" w:cs="Arial" w:eastAsia="Arial" w:hAnsi="Arial"/>
                <w:sz w:val="18"/>
                <w:szCs w:val="18"/>
                <w:color w:val="auto"/>
                <w:w w:val="89"/>
              </w:rPr>
              <w:t>1,041,371</w:t>
            </w:r>
          </w:p>
        </w:tc>
        <w:tc>
          <w:tcPr>
            <w:tcW w:w="20" w:type="dxa"/>
            <w:vAlign w:val="bottom"/>
          </w:tcPr>
          <w:p>
            <w:pPr>
              <w:spacing w:after="0"/>
              <w:rPr>
                <w:sz w:val="20"/>
                <w:szCs w:val="20"/>
                <w:color w:val="auto"/>
              </w:rPr>
            </w:pPr>
          </w:p>
        </w:tc>
      </w:tr>
      <w:tr>
        <w:trPr>
          <w:trHeight w:val="27"/>
        </w:trPr>
        <w:tc>
          <w:tcPr>
            <w:tcW w:w="2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204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1, 2020 to March</w:t>
            </w:r>
          </w:p>
        </w:tc>
        <w:tc>
          <w:tcPr>
            <w:tcW w:w="226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204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31, 2020</w:t>
            </w:r>
          </w:p>
        </w:tc>
        <w:tc>
          <w:tcPr>
            <w:tcW w:w="22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0"/>
              </w:rPr>
              <w:t>74,393</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$31.49</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74,393</w:t>
            </w:r>
          </w:p>
        </w:tc>
        <w:tc>
          <w:tcPr>
            <w:tcW w:w="222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966,978</w:t>
            </w:r>
          </w:p>
        </w:tc>
        <w:tc>
          <w:tcPr>
            <w:tcW w:w="20" w:type="dxa"/>
            <w:vAlign w:val="bottom"/>
          </w:tcPr>
          <w:p>
            <w:pPr>
              <w:spacing w:after="0"/>
              <w:rPr>
                <w:sz w:val="20"/>
                <w:szCs w:val="20"/>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April 1, 2020 to April 30,</w:t>
            </w:r>
          </w:p>
        </w:tc>
        <w:tc>
          <w:tcPr>
            <w:tcW w:w="2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2020</w:t>
            </w:r>
          </w:p>
        </w:tc>
        <w:tc>
          <w:tcPr>
            <w:tcW w:w="2260" w:type="dxa"/>
            <w:vAlign w:val="bottom"/>
          </w:tcPr>
          <w:p>
            <w:pPr>
              <w:jc w:val="center"/>
              <w:ind w:right="30"/>
              <w:spacing w:after="0"/>
              <w:rPr>
                <w:sz w:val="20"/>
                <w:szCs w:val="20"/>
                <w:color w:val="auto"/>
              </w:rPr>
            </w:pPr>
            <w:r>
              <w:rPr>
                <w:rFonts w:ascii="Arial" w:cs="Arial" w:eastAsia="Arial" w:hAnsi="Arial"/>
                <w:sz w:val="18"/>
                <w:szCs w:val="18"/>
                <w:color w:val="auto"/>
                <w:w w:val="90"/>
              </w:rPr>
              <w:t>53,377</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$32.86</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53,377</w:t>
            </w:r>
          </w:p>
        </w:tc>
        <w:tc>
          <w:tcPr>
            <w:tcW w:w="2220" w:type="dxa"/>
            <w:vAlign w:val="bottom"/>
          </w:tcPr>
          <w:p>
            <w:pPr>
              <w:jc w:val="center"/>
              <w:ind w:left="30"/>
              <w:spacing w:after="0"/>
              <w:rPr>
                <w:sz w:val="20"/>
                <w:szCs w:val="20"/>
                <w:color w:val="auto"/>
              </w:rPr>
            </w:pPr>
            <w:r>
              <w:rPr>
                <w:rFonts w:ascii="Arial" w:cs="Arial" w:eastAsia="Arial" w:hAnsi="Arial"/>
                <w:sz w:val="18"/>
                <w:szCs w:val="18"/>
                <w:color w:val="auto"/>
                <w:w w:val="89"/>
              </w:rPr>
              <w:t>913,601</w:t>
            </w:r>
          </w:p>
        </w:tc>
        <w:tc>
          <w:tcPr>
            <w:tcW w:w="20" w:type="dxa"/>
            <w:vAlign w:val="bottom"/>
          </w:tcPr>
          <w:p>
            <w:pPr>
              <w:spacing w:after="0"/>
              <w:rPr>
                <w:sz w:val="20"/>
                <w:szCs w:val="20"/>
                <w:color w:val="auto"/>
              </w:rPr>
            </w:pPr>
          </w:p>
        </w:tc>
      </w:tr>
    </w:tbl>
    <w:p>
      <w:pPr>
        <w:spacing w:after="0" w:line="229" w:lineRule="exact"/>
        <w:rPr>
          <w:sz w:val="20"/>
          <w:szCs w:val="20"/>
          <w:color w:val="auto"/>
        </w:rPr>
      </w:pPr>
    </w:p>
    <w:p>
      <w:pPr>
        <w:jc w:val="both"/>
        <w:ind w:firstLine="8"/>
        <w:spacing w:after="0" w:line="250" w:lineRule="auto"/>
        <w:tabs>
          <w:tab w:leader="none" w:pos="125"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Our Board authorized the repurchase of 250,000 shares of Common Stock on March 11, 2011, an additional 250,000 shares on June 14, 2012 and an additional 750,000 shares on March 11, 2019. Our Board also authorized the repurchase of 300,000 shares of Class B Stock on March 21, 2018. These authorizations do not have a stated expiration date. The share numbers in this column indicate the number of shares of each class of stock that may yet be repurchased under these authorizations. Repurchases may be made on the open market (pursuant to Rule 10b5-1 plans or otherwise) or in negotiated transactions. The timing and number of shares repurchased will be determined by our management.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240"/>
          </w:cols>
          <w:pgMar w:left="320" w:top="553" w:right="339" w:bottom="1440" w:gutter="0" w:footer="0" w:header="0"/>
        </w:sectPr>
      </w:pPr>
    </w:p>
    <w:p>
      <w:pPr>
        <w:spacing w:after="0" w:line="39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380"/>
        <w:spacing w:after="0"/>
        <w:tabs>
          <w:tab w:leader="none" w:pos="40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49974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42" w:lineRule="exact"/>
        <w:rPr>
          <w:sz w:val="20"/>
          <w:szCs w:val="20"/>
          <w:color w:val="auto"/>
        </w:rPr>
      </w:pPr>
    </w:p>
    <w:p>
      <w:pPr>
        <w:ind w:left="1160" w:right="60" w:hanging="489"/>
        <w:spacing w:after="0" w:line="263"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3">
        <w:r>
          <w:rPr>
            <w:rFonts w:ascii="Arial" w:cs="Arial" w:eastAsia="Arial" w:hAnsi="Arial"/>
            <w:sz w:val="18"/>
            <w:szCs w:val="18"/>
            <w:u w:val="single" w:color="auto"/>
            <w:color w:val="0000FF"/>
          </w:rPr>
          <w:t>Amended and Restated Note Purchase and Private Shelf Agreement, dated as of May 15,</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2020, among Oil-Dri Corportion of America, PGIM, Inc. and existing noteholders and</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purchasers named therein.</w:t>
        </w:r>
      </w:hyperlink>
    </w:p>
    <w:p>
      <w:pPr>
        <w:spacing w:after="0" w:line="157" w:lineRule="exact"/>
        <w:rPr>
          <w:rFonts w:ascii="Arial" w:cs="Arial" w:eastAsia="Arial" w:hAnsi="Arial"/>
          <w:sz w:val="18"/>
          <w:szCs w:val="18"/>
          <w:u w:val="single" w:color="auto"/>
          <w:color w:val="0000FF"/>
        </w:rPr>
      </w:pPr>
    </w:p>
    <w:p>
      <w:pPr>
        <w:ind w:left="1160" w:hanging="340"/>
        <w:spacing w:after="0"/>
        <w:tabs>
          <w:tab w:leader="none" w:pos="1160" w:val="left"/>
        </w:tabs>
        <w:numPr>
          <w:ilvl w:val="0"/>
          <w:numId w:val="10"/>
        </w:numPr>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Statement re: Computation of Earnings per Share.</w:t>
        </w:r>
      </w:hyperlink>
    </w:p>
    <w:p>
      <w:pPr>
        <w:spacing w:after="0" w:line="333" w:lineRule="exact"/>
        <w:rPr>
          <w:rFonts w:ascii="Arial" w:cs="Arial" w:eastAsia="Arial" w:hAnsi="Arial"/>
          <w:sz w:val="18"/>
          <w:szCs w:val="18"/>
          <w:u w:val="single" w:color="auto"/>
          <w:color w:val="0000FF"/>
        </w:rPr>
      </w:pPr>
    </w:p>
    <w:p>
      <w:pPr>
        <w:ind w:left="1160" w:hanging="346"/>
        <w:spacing w:after="0"/>
        <w:tabs>
          <w:tab w:leader="none" w:pos="1160" w:val="left"/>
        </w:tabs>
        <w:numPr>
          <w:ilvl w:val="0"/>
          <w:numId w:val="11"/>
        </w:numPr>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Certifications pursuant to Rule 13a–14(a).</w:t>
        </w:r>
      </w:hyperlink>
    </w:p>
    <w:p>
      <w:pPr>
        <w:spacing w:after="0" w:line="333" w:lineRule="exact"/>
        <w:rPr>
          <w:rFonts w:ascii="Arial" w:cs="Arial" w:eastAsia="Arial" w:hAnsi="Arial"/>
          <w:sz w:val="18"/>
          <w:szCs w:val="18"/>
          <w:u w:val="single" w:color="auto"/>
          <w:color w:val="0000FF"/>
        </w:rPr>
      </w:pPr>
    </w:p>
    <w:p>
      <w:pPr>
        <w:ind w:left="1160" w:hanging="346"/>
        <w:spacing w:after="0"/>
        <w:tabs>
          <w:tab w:leader="none" w:pos="1160" w:val="left"/>
        </w:tabs>
        <w:numPr>
          <w:ilvl w:val="0"/>
          <w:numId w:val="11"/>
        </w:numPr>
        <w:rPr>
          <w:rFonts w:ascii="Arial" w:cs="Arial" w:eastAsia="Arial" w:hAnsi="Arial"/>
          <w:sz w:val="18"/>
          <w:szCs w:val="18"/>
          <w:color w:val="0000FF"/>
        </w:rPr>
      </w:pPr>
      <w:hyperlink w:anchor="page40">
        <w:r>
          <w:rPr>
            <w:rFonts w:ascii="Arial" w:cs="Arial" w:eastAsia="Arial" w:hAnsi="Arial"/>
            <w:sz w:val="18"/>
            <w:szCs w:val="18"/>
            <w:u w:val="single" w:color="auto"/>
            <w:color w:val="0000FF"/>
          </w:rPr>
          <w:t>Certifications pursuant to Section 1350 of the Sarbanes-Oxley Act of 2002</w:t>
        </w:r>
      </w:hyperlink>
      <w:r>
        <w:rPr>
          <w:rFonts w:ascii="Arial" w:cs="Arial" w:eastAsia="Arial" w:hAnsi="Arial"/>
          <w:sz w:val="18"/>
          <w:szCs w:val="18"/>
          <w:color w:val="000000"/>
        </w:rPr>
        <w:t>.</w:t>
      </w:r>
    </w:p>
    <w:p>
      <w:pPr>
        <w:spacing w:after="0" w:line="333" w:lineRule="exact"/>
        <w:rPr>
          <w:rFonts w:ascii="Arial" w:cs="Arial" w:eastAsia="Arial" w:hAnsi="Arial"/>
          <w:sz w:val="18"/>
          <w:szCs w:val="18"/>
          <w:color w:val="auto"/>
        </w:rPr>
      </w:pPr>
    </w:p>
    <w:p>
      <w:pPr>
        <w:ind w:left="1160" w:hanging="319"/>
        <w:spacing w:after="0"/>
        <w:tabs>
          <w:tab w:leader="none" w:pos="1160" w:val="left"/>
        </w:tabs>
        <w:numPr>
          <w:ilvl w:val="0"/>
          <w:numId w:val="12"/>
        </w:numPr>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Mine Safety Disclosures</w:t>
        </w:r>
      </w:hyperlink>
    </w:p>
    <w:p>
      <w:pPr>
        <w:spacing w:after="0" w:line="185" w:lineRule="exact"/>
        <w:rPr>
          <w:rFonts w:ascii="Arial" w:cs="Arial" w:eastAsia="Arial" w:hAnsi="Arial"/>
          <w:sz w:val="18"/>
          <w:szCs w:val="18"/>
          <w:color w:val="auto"/>
        </w:rPr>
      </w:pPr>
    </w:p>
    <w:tbl>
      <w:tblPr>
        <w:tblLayout w:type="fixed"/>
        <w:tblInd w:w="320" w:type="dxa"/>
        <w:tblCellMar>
          <w:top w:w="0" w:type="dxa"/>
          <w:left w:w="0" w:type="dxa"/>
          <w:bottom w:w="0" w:type="dxa"/>
          <w:right w:w="0" w:type="dxa"/>
        </w:tblCellMar>
      </w:tblPr>
      <w:tr>
        <w:trPr>
          <w:trHeight w:val="230"/>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0"/>
              </w:rPr>
              <w:t>101.SCH</w:t>
            </w:r>
          </w:p>
        </w:tc>
        <w:tc>
          <w:tcPr>
            <w:tcW w:w="6520" w:type="dxa"/>
            <w:vAlign w:val="bottom"/>
          </w:tcPr>
          <w:p>
            <w:pPr>
              <w:ind w:left="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4"/>
              </w:rPr>
              <w:t>101.CAL</w:t>
            </w:r>
          </w:p>
        </w:tc>
        <w:tc>
          <w:tcPr>
            <w:tcW w:w="652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1"/>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2"/>
              </w:rPr>
              <w:t>101.DEF</w:t>
            </w:r>
          </w:p>
        </w:tc>
        <w:tc>
          <w:tcPr>
            <w:tcW w:w="652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5"/>
              </w:rPr>
              <w:t>101.LAB</w:t>
            </w:r>
          </w:p>
        </w:tc>
        <w:tc>
          <w:tcPr>
            <w:tcW w:w="6520" w:type="dxa"/>
            <w:vAlign w:val="bottom"/>
          </w:tcPr>
          <w:p>
            <w:pPr>
              <w:ind w:left="6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780" w:type="dxa"/>
            <w:vAlign w:val="bottom"/>
          </w:tcPr>
          <w:p>
            <w:pPr>
              <w:jc w:val="right"/>
              <w:spacing w:after="0"/>
              <w:rPr>
                <w:sz w:val="20"/>
                <w:szCs w:val="20"/>
                <w:color w:val="auto"/>
              </w:rPr>
            </w:pPr>
            <w:r>
              <w:rPr>
                <w:rFonts w:ascii="Arial" w:cs="Arial" w:eastAsia="Arial" w:hAnsi="Arial"/>
                <w:sz w:val="18"/>
                <w:szCs w:val="18"/>
                <w:color w:val="auto"/>
                <w:w w:val="94"/>
              </w:rPr>
              <w:t>101.PRE</w:t>
            </w:r>
          </w:p>
        </w:tc>
        <w:tc>
          <w:tcPr>
            <w:tcW w:w="652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w:t>
            </w:r>
          </w:p>
        </w:tc>
      </w:tr>
      <w:tr>
        <w:trPr>
          <w:trHeight w:val="392"/>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6520" w:type="dxa"/>
            <w:vAlign w:val="bottom"/>
          </w:tcPr>
          <w:p>
            <w:pPr>
              <w:ind w:left="60"/>
              <w:spacing w:after="0"/>
              <w:rPr>
                <w:sz w:val="20"/>
                <w:szCs w:val="20"/>
                <w:color w:val="auto"/>
              </w:rPr>
            </w:pPr>
            <w:r>
              <w:rPr>
                <w:rFonts w:ascii="Arial" w:cs="Arial" w:eastAsia="Arial" w:hAnsi="Arial"/>
                <w:sz w:val="18"/>
                <w:szCs w:val="18"/>
                <w:color w:val="auto"/>
                <w:w w:val="91"/>
              </w:rPr>
              <w:t>Cover Page Interactive Data File (formatted as inline XBRL and contained in Exhibit 101</w:t>
            </w:r>
          </w:p>
        </w:tc>
      </w:tr>
    </w:tbl>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387" w:lineRule="exact"/>
        <w:rPr>
          <w:rFonts w:ascii="Arial" w:cs="Arial" w:eastAsia="Arial" w:hAnsi="Arial"/>
          <w:sz w:val="18"/>
          <w:szCs w:val="18"/>
          <w:color w:val="auto"/>
        </w:rPr>
      </w:pPr>
    </w:p>
    <w:p>
      <w:pPr>
        <w:jc w:val="center"/>
        <w:ind w:right="40"/>
        <w:spacing w:after="0"/>
        <w:rPr>
          <w:sz w:val="20"/>
          <w:szCs w:val="20"/>
          <w:color w:val="auto"/>
        </w:rPr>
      </w:pPr>
      <w:r>
        <w:rPr>
          <w:rFonts w:ascii="Arial" w:cs="Arial" w:eastAsia="Arial" w:hAnsi="Arial"/>
          <w:sz w:val="18"/>
          <w:szCs w:val="18"/>
          <w:color w:val="auto"/>
        </w:rPr>
        <w:t>SEC Document Reference</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065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57" w:lineRule="exact"/>
        <w:rPr>
          <w:rFonts w:ascii="Arial" w:cs="Arial" w:eastAsia="Arial" w:hAnsi="Arial"/>
          <w:sz w:val="18"/>
          <w:szCs w:val="18"/>
          <w:color w:val="auto"/>
        </w:rPr>
      </w:pPr>
    </w:p>
    <w:p>
      <w:pPr>
        <w:ind w:right="60"/>
        <w:spacing w:after="0" w:line="311" w:lineRule="auto"/>
        <w:rPr>
          <w:sz w:val="20"/>
          <w:szCs w:val="20"/>
          <w:color w:val="auto"/>
        </w:rPr>
      </w:pPr>
      <w:r>
        <w:rPr>
          <w:rFonts w:ascii="Arial" w:cs="Arial" w:eastAsia="Arial" w:hAnsi="Arial"/>
          <w:sz w:val="16"/>
          <w:szCs w:val="16"/>
          <w:color w:val="auto"/>
        </w:rPr>
        <w:t>Incorporated by reference to Exhibit 10.1 to Oil Dri's (file No. 001-12622) Current Report on Form 8-K filed on May 21, 2020.</w:t>
      </w:r>
    </w:p>
    <w:p>
      <w:pPr>
        <w:spacing w:after="0" w:line="12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Furnished herewith.</w:t>
      </w:r>
    </w:p>
    <w:p>
      <w:pPr>
        <w:spacing w:after="0" w:line="33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herewith.</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herewith.</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herewith.</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herewith.</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herewith.</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herewith.</w:t>
      </w:r>
    </w:p>
    <w:p>
      <w:pPr>
        <w:spacing w:after="0" w:line="18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 herewith.</w:t>
      </w:r>
    </w:p>
    <w:p>
      <w:pPr>
        <w:spacing w:after="0" w:line="223" w:lineRule="exact"/>
        <w:rPr>
          <w:rFonts w:ascii="Arial" w:cs="Arial" w:eastAsia="Arial" w:hAnsi="Arial"/>
          <w:sz w:val="18"/>
          <w:szCs w:val="18"/>
          <w:color w:val="auto"/>
        </w:rPr>
      </w:pPr>
    </w:p>
    <w:p>
      <w:pPr>
        <w:sectPr>
          <w:pgSz w:w="11900" w:h="16838" w:orient="portrait"/>
          <w:cols w:equalWidth="0" w:num="2">
            <w:col w:w="7620" w:space="400"/>
            <w:col w:w="3220"/>
          </w:cols>
          <w:pgMar w:left="320" w:top="553" w:right="339" w:bottom="1440" w:gutter="0" w:footer="0" w:header="0"/>
          <w:type w:val="continuous"/>
        </w:sectPr>
      </w:pPr>
    </w:p>
    <w:p>
      <w:pPr>
        <w:spacing w:after="0" w:line="29" w:lineRule="exact"/>
        <w:rPr>
          <w:rFonts w:ascii="Arial" w:cs="Arial" w:eastAsia="Arial" w:hAnsi="Arial"/>
          <w:sz w:val="18"/>
          <w:szCs w:val="18"/>
          <w:color w:val="auto"/>
        </w:rPr>
      </w:pPr>
    </w:p>
    <w:p>
      <w:pPr>
        <w:spacing w:after="0" w:line="308" w:lineRule="auto"/>
        <w:rPr>
          <w:sz w:val="20"/>
          <w:szCs w:val="20"/>
          <w:color w:val="auto"/>
        </w:rPr>
      </w:pPr>
      <w:r>
        <w:rPr>
          <w:rFonts w:ascii="Arial" w:cs="Arial" w:eastAsia="Arial" w:hAnsi="Arial"/>
          <w:sz w:val="17"/>
          <w:szCs w:val="17"/>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36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553"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3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39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June 8, 2020</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320"/>
          </w:cols>
          <w:pgMar w:left="660" w:top="557" w:right="9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right="412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7" w:lineRule="exact"/>
        <w:rPr>
          <w:sz w:val="20"/>
          <w:szCs w:val="20"/>
          <w:color w:val="auto"/>
        </w:rPr>
      </w:pPr>
    </w:p>
    <w:p>
      <w:pPr>
        <w:jc w:val="right"/>
        <w:ind w:right="4160"/>
        <w:spacing w:after="0"/>
        <w:rPr>
          <w:sz w:val="20"/>
          <w:szCs w:val="20"/>
          <w:color w:val="auto"/>
        </w:rPr>
      </w:pPr>
      <w:r>
        <w:rPr>
          <w:rFonts w:ascii="Arial" w:cs="Arial" w:eastAsia="Arial" w:hAnsi="Arial"/>
          <w:sz w:val="18"/>
          <w:szCs w:val="18"/>
          <w:b w:val="1"/>
          <w:bCs w:val="1"/>
          <w:color w:val="auto"/>
        </w:rPr>
        <w:t>Computation of Earnings Per Share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4"/>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2640" w:type="dxa"/>
            <w:vAlign w:val="bottom"/>
            <w:gridSpan w:val="4"/>
          </w:tcPr>
          <w:p>
            <w:pPr>
              <w:ind w:left="20"/>
              <w:spacing w:after="0"/>
              <w:rPr>
                <w:sz w:val="20"/>
                <w:szCs w:val="20"/>
                <w:color w:val="auto"/>
              </w:rPr>
            </w:pPr>
            <w:r>
              <w:rPr>
                <w:rFonts w:ascii="Arial" w:cs="Arial" w:eastAsia="Arial" w:hAnsi="Arial"/>
                <w:sz w:val="18"/>
                <w:szCs w:val="18"/>
                <w:b w:val="1"/>
                <w:bCs w:val="1"/>
                <w:color w:val="auto"/>
                <w:w w:val="92"/>
              </w:rPr>
              <w:t>For the Nine Months Ended April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April 30,</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30,</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4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4,648</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13,014</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Less: Distributed and undistributed earnings allocated</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(234)</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vMerge w:val="restart"/>
          </w:tcPr>
          <w:p>
            <w:pPr>
              <w:jc w:val="right"/>
              <w:ind w:right="270"/>
              <w:spacing w:after="0"/>
              <w:rPr>
                <w:sz w:val="20"/>
                <w:szCs w:val="20"/>
                <w:color w:val="auto"/>
              </w:rPr>
            </w:pPr>
            <w:r>
              <w:rPr>
                <w:rFonts w:ascii="Arial" w:cs="Arial" w:eastAsia="Arial" w:hAnsi="Arial"/>
                <w:sz w:val="18"/>
                <w:szCs w:val="18"/>
                <w:b w:val="1"/>
                <w:bCs w:val="1"/>
                <w:color w:val="auto"/>
              </w:rPr>
              <w:t>(655)</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to non-vested restricted stock</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4,414</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5,400</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12,359</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Shares Calculation</w:t>
            </w: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5,126</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5,152</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Average shares outstanding - Basic Class B Common</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2,036</w:t>
            </w: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2,068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2,042</w:t>
            </w:r>
          </w:p>
        </w:tc>
        <w:tc>
          <w:tcPr>
            <w:tcW w:w="4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Potential Common Stock relating to stock options and</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restricted stock</w:t>
            </w: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vMerge w:val="continue"/>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vMerge w:val="continue"/>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4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8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7,288</w:t>
            </w:r>
          </w:p>
        </w:tc>
        <w:tc>
          <w:tcPr>
            <w:tcW w:w="4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7,253</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7,310</w:t>
            </w:r>
          </w:p>
        </w:tc>
        <w:tc>
          <w:tcPr>
            <w:tcW w:w="4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7,245</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Common</w:t>
            </w: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0.66</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4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Per Share: Basic Class B Common</w:t>
            </w:r>
          </w:p>
        </w:tc>
        <w:tc>
          <w:tcPr>
            <w:tcW w:w="8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0.50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0.61</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 Common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0.74</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320" w:top="553" w:right="41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332"/>
        <w:spacing w:after="0" w:line="286" w:lineRule="auto"/>
        <w:tabs>
          <w:tab w:leader="none" w:pos="1960" w:val="left"/>
        </w:tabs>
        <w:numPr>
          <w:ilvl w:val="2"/>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2"/>
        <w:spacing w:after="0" w:line="286" w:lineRule="auto"/>
        <w:tabs>
          <w:tab w:leader="none" w:pos="1960" w:val="left"/>
        </w:tabs>
        <w:numPr>
          <w:ilvl w:val="2"/>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332"/>
        <w:spacing w:after="0" w:line="263" w:lineRule="auto"/>
        <w:tabs>
          <w:tab w:leader="none" w:pos="19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332"/>
        <w:spacing w:after="0" w:line="286" w:lineRule="auto"/>
        <w:tabs>
          <w:tab w:leader="none" w:pos="1960" w:val="left"/>
        </w:tabs>
        <w:numPr>
          <w:ilvl w:val="2"/>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332"/>
        <w:spacing w:after="0" w:line="263" w:lineRule="auto"/>
        <w:tabs>
          <w:tab w:leader="none" w:pos="19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332"/>
        <w:spacing w:after="0" w:line="277" w:lineRule="auto"/>
        <w:tabs>
          <w:tab w:leader="none" w:pos="19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480" w:type="dxa"/>
            <w:vAlign w:val="bottom"/>
          </w:tcPr>
          <w:p>
            <w:pPr>
              <w:ind w:left="20"/>
              <w:spacing w:after="0"/>
              <w:rPr>
                <w:sz w:val="20"/>
                <w:szCs w:val="20"/>
                <w:color w:val="auto"/>
              </w:rPr>
            </w:pPr>
            <w:r>
              <w:rPr>
                <w:rFonts w:ascii="Arial" w:cs="Arial" w:eastAsia="Arial" w:hAnsi="Arial"/>
                <w:sz w:val="18"/>
                <w:szCs w:val="18"/>
                <w:color w:val="auto"/>
              </w:rPr>
              <w:t>June 8, 2020</w:t>
            </w:r>
          </w:p>
        </w:tc>
      </w:tr>
      <w:tr>
        <w:trPr>
          <w:trHeight w:val="27"/>
        </w:trPr>
        <w:tc>
          <w:tcPr>
            <w:tcW w:w="9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00" w:type="dxa"/>
            <w:vAlign w:val="bottom"/>
          </w:tcPr>
          <w:p>
            <w:pPr>
              <w:spacing w:after="0"/>
              <w:rPr>
                <w:sz w:val="24"/>
                <w:szCs w:val="24"/>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8"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Exhibit 31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Susan M. Kreh,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332"/>
        <w:spacing w:after="0" w:line="286" w:lineRule="auto"/>
        <w:tabs>
          <w:tab w:leader="none" w:pos="1960" w:val="left"/>
        </w:tabs>
        <w:numPr>
          <w:ilvl w:val="2"/>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2"/>
        <w:spacing w:after="0" w:line="286" w:lineRule="auto"/>
        <w:tabs>
          <w:tab w:leader="none" w:pos="1960" w:val="left"/>
        </w:tabs>
        <w:numPr>
          <w:ilvl w:val="2"/>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332"/>
        <w:spacing w:after="0" w:line="263" w:lineRule="auto"/>
        <w:tabs>
          <w:tab w:leader="none" w:pos="19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332"/>
        <w:spacing w:after="0" w:line="286" w:lineRule="auto"/>
        <w:tabs>
          <w:tab w:leader="none" w:pos="1960" w:val="left"/>
        </w:tabs>
        <w:numPr>
          <w:ilvl w:val="2"/>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332"/>
        <w:spacing w:after="0" w:line="263" w:lineRule="auto"/>
        <w:tabs>
          <w:tab w:leader="none" w:pos="19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332"/>
        <w:spacing w:after="0" w:line="277" w:lineRule="auto"/>
        <w:tabs>
          <w:tab w:leader="none" w:pos="19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900" w:type="dxa"/>
            <w:vAlign w:val="bottom"/>
          </w:tcPr>
          <w:p>
            <w:pPr>
              <w:ind w:left="20"/>
              <w:spacing w:after="0"/>
              <w:rPr>
                <w:sz w:val="20"/>
                <w:szCs w:val="20"/>
                <w:color w:val="auto"/>
              </w:rPr>
            </w:pPr>
            <w:r>
              <w:rPr>
                <w:rFonts w:ascii="Arial" w:cs="Arial" w:eastAsia="Arial" w:hAnsi="Arial"/>
                <w:sz w:val="18"/>
                <w:szCs w:val="18"/>
                <w:color w:val="auto"/>
              </w:rPr>
              <w:t>June 8, 2020</w:t>
            </w:r>
          </w:p>
        </w:tc>
      </w:tr>
      <w:tr>
        <w:trPr>
          <w:trHeight w:val="27"/>
        </w:trPr>
        <w:tc>
          <w:tcPr>
            <w:tcW w:w="9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Susan M. Kreh</w:t>
            </w:r>
          </w:p>
        </w:tc>
      </w:tr>
      <w:tr>
        <w:trPr>
          <w:trHeight w:val="27"/>
        </w:trPr>
        <w:tc>
          <w:tcPr>
            <w:tcW w:w="9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Susan M. Kreh</w:t>
            </w:r>
          </w:p>
        </w:tc>
      </w:tr>
      <w:tr>
        <w:trPr>
          <w:trHeight w:val="378"/>
        </w:trPr>
        <w:tc>
          <w:tcPr>
            <w:tcW w:w="920" w:type="dxa"/>
            <w:vAlign w:val="bottom"/>
          </w:tcPr>
          <w:p>
            <w:pPr>
              <w:spacing w:after="0"/>
              <w:rPr>
                <w:sz w:val="24"/>
                <w:szCs w:val="24"/>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2020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Dated:</w:t>
        <w:tab/>
        <w:t>June 8, 2020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91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Chairman, President and Chief Executive Officer</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2020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8"/>
          <w:szCs w:val="18"/>
          <w:color w:val="auto"/>
        </w:rPr>
        <w:t>Dated:</w:t>
        <w:tab/>
        <w:t>June 8, 2020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91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Susan M. Kreh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8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April 30, 2020.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160" w:type="dxa"/>
            <w:vAlign w:val="bottom"/>
            <w:gridSpan w:val="2"/>
          </w:tcPr>
          <w:p>
            <w:pPr>
              <w:ind w:left="1020"/>
              <w:spacing w:after="0"/>
              <w:rPr>
                <w:sz w:val="20"/>
                <w:szCs w:val="20"/>
                <w:color w:val="auto"/>
              </w:rPr>
            </w:pPr>
            <w:r>
              <w:rPr>
                <w:rFonts w:ascii="Arial" w:cs="Arial" w:eastAsia="Arial" w:hAnsi="Arial"/>
                <w:sz w:val="18"/>
                <w:szCs w:val="18"/>
                <w:color w:val="auto"/>
              </w:rPr>
              <w:t>Legal Actions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Total Dollar</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20" w:type="dxa"/>
            <w:vAlign w:val="bottom"/>
          </w:tcPr>
          <w:p>
            <w:pPr>
              <w:ind w:left="80"/>
              <w:spacing w:after="0"/>
              <w:rPr>
                <w:sz w:val="20"/>
                <w:szCs w:val="20"/>
                <w:color w:val="auto"/>
              </w:rPr>
            </w:pPr>
            <w:r>
              <w:rPr>
                <w:rFonts w:ascii="Arial" w:cs="Arial" w:eastAsia="Arial" w:hAnsi="Arial"/>
                <w:sz w:val="18"/>
                <w:szCs w:val="18"/>
                <w:color w:val="auto"/>
              </w:rPr>
              <w:t>Section</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Value of</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Resolved</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Citations</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(2)Flagrant</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Proposed MSHA</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During</w:t>
            </w:r>
          </w:p>
        </w:tc>
        <w:tc>
          <w:tcPr>
            <w:tcW w:w="0" w:type="dxa"/>
            <w:vAlign w:val="bottom"/>
          </w:tcPr>
          <w:p>
            <w:pPr>
              <w:spacing w:after="0"/>
              <w:rPr>
                <w:sz w:val="1"/>
                <w:szCs w:val="1"/>
                <w:color w:val="auto"/>
              </w:rPr>
            </w:pPr>
          </w:p>
        </w:tc>
      </w:tr>
      <w:tr>
        <w:trPr>
          <w:trHeight w:val="230"/>
        </w:trPr>
        <w:tc>
          <w:tcPr>
            <w:tcW w:w="156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20" w:type="dxa"/>
            <w:vAlign w:val="bottom"/>
          </w:tcPr>
          <w:p>
            <w:pPr>
              <w:ind w:left="100"/>
              <w:spacing w:after="0"/>
              <w:rPr>
                <w:sz w:val="20"/>
                <w:szCs w:val="20"/>
                <w:color w:val="auto"/>
              </w:rPr>
            </w:pPr>
            <w:r>
              <w:rPr>
                <w:rFonts w:ascii="Arial" w:cs="Arial" w:eastAsia="Arial" w:hAnsi="Arial"/>
                <w:sz w:val="18"/>
                <w:szCs w:val="18"/>
                <w:color w:val="auto"/>
              </w:rPr>
              <w:t>Orders</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and Orders</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Period</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7"/>
        </w:trPr>
        <w:tc>
          <w:tcPr>
            <w:tcW w:w="15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Ochlocknee,</w:t>
            </w: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Georgia</w:t>
            </w:r>
          </w:p>
        </w:tc>
        <w:tc>
          <w:tcPr>
            <w:tcW w:w="1280" w:type="dxa"/>
            <w:vAlign w:val="bottom"/>
            <w:vMerge w:val="continue"/>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220" w:type="dxa"/>
            <w:vAlign w:val="bottom"/>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380" w:type="dxa"/>
            <w:vAlign w:val="bottom"/>
            <w:vMerge w:val="continue"/>
            <w:shd w:val="clear" w:color="auto" w:fill="CCEEFF"/>
          </w:tcPr>
          <w:p>
            <w:pPr>
              <w:spacing w:after="0"/>
              <w:rPr>
                <w:sz w:val="10"/>
                <w:szCs w:val="10"/>
                <w:color w:val="auto"/>
              </w:rPr>
            </w:pPr>
          </w:p>
        </w:tc>
        <w:tc>
          <w:tcPr>
            <w:tcW w:w="118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60" w:type="dxa"/>
            <w:vAlign w:val="bottom"/>
            <w:tcBorders>
              <w:bottom w:val="single" w:sz="8" w:color="CCEEFF"/>
            </w:tcBorders>
            <w:vMerge w:val="continue"/>
            <w:shd w:val="clear" w:color="auto" w:fill="CCEEFF"/>
          </w:tcPr>
          <w:p>
            <w:pPr>
              <w:spacing w:after="0"/>
              <w:rPr>
                <w:sz w:val="10"/>
                <w:szCs w:val="10"/>
                <w:color w:val="auto"/>
              </w:rPr>
            </w:pPr>
          </w:p>
        </w:tc>
        <w:tc>
          <w:tcPr>
            <w:tcW w:w="128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shd w:val="clear" w:color="auto" w:fill="CCEEFF"/>
          </w:tcPr>
          <w:p>
            <w:pPr>
              <w:spacing w:after="0"/>
              <w:rPr>
                <w:sz w:val="10"/>
                <w:szCs w:val="10"/>
                <w:color w:val="auto"/>
              </w:rPr>
            </w:pPr>
          </w:p>
        </w:tc>
        <w:tc>
          <w:tcPr>
            <w:tcW w:w="118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56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214</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6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6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6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4,086</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no mining-related fatalities at any of our facilities during the three months ended April 30, 2020.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7"/>
    </w:lvl>
  </w:abstractNum>
  <w:abstractNum w:abstractNumId="6">
    <w:nsid w:val="216231B"/>
    <w:multiLevelType w:val="hybridMultilevel"/>
    <w:lvl w:ilvl="0">
      <w:lvlJc w:val="left"/>
      <w:lvlText w:val="(%1)"/>
      <w:numFmt w:val="decimal"/>
      <w:start w:val="17"/>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bullet"/>
      <w:start w:val="1"/>
    </w:lvl>
  </w:abstractNum>
  <w:abstractNum w:abstractNumId="9">
    <w:nsid w:val="66EF438D"/>
    <w:multiLevelType w:val="hybridMultilevel"/>
    <w:lvl w:ilvl="0">
      <w:lvlJc w:val="left"/>
      <w:lvlText w:val="%1"/>
      <w:numFmt w:val="decimal"/>
      <w:start w:val="11"/>
    </w:lvl>
  </w:abstractNum>
  <w:abstractNum w:abstractNumId="10">
    <w:nsid w:val="140E0F76"/>
    <w:multiLevelType w:val="hybridMultilevel"/>
    <w:lvl w:ilvl="0">
      <w:lvlJc w:val="left"/>
      <w:lvlText w:val="%1"/>
      <w:numFmt w:val="decimal"/>
      <w:start w:val="31"/>
    </w:lvl>
  </w:abstractNum>
  <w:abstractNum w:abstractNumId="11">
    <w:nsid w:val="3352255A"/>
    <w:multiLevelType w:val="hybridMultilevel"/>
    <w:lvl w:ilvl="0">
      <w:lvlJc w:val="left"/>
      <w:lvlText w:val="%1"/>
      <w:numFmt w:val="decimal"/>
      <w:start w:val="95"/>
    </w:lvl>
  </w:abstractNum>
  <w:abstractNum w:abstractNumId="12">
    <w:nsid w:val="109CF92E"/>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13">
    <w:nsid w:val="DED7263"/>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3" Type="http://schemas.openxmlformats.org/officeDocument/2006/relationships/hyperlink" Target="http://www.sec.gov/Archives/edgar/data/74046/000007404620000025/odc20200515exh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2020-06-08T15:12:44Z</dcterms:created>
  <dcterms:modified xsi:type="dcterms:W3CDTF">2020-06-08T15:12:44Z</dcterms:modified>
</cp:coreProperties>
</file>