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55" w:lineRule="exact"/>
        <w:rPr>
          <w:sz w:val="24"/>
          <w:szCs w:val="24"/>
          <w:color w:val="auto"/>
        </w:rPr>
      </w:pPr>
    </w:p>
    <w:tbl>
      <w:tblPr>
        <w:tblLayout w:type="fixed"/>
        <w:tblInd w:w="280" w:type="dxa"/>
        <w:tblCellMar>
          <w:top w:w="0" w:type="dxa"/>
          <w:left w:w="0" w:type="dxa"/>
          <w:bottom w:w="0" w:type="dxa"/>
          <w:right w:w="0" w:type="dxa"/>
        </w:tblCellMar>
      </w:tblPr>
      <w:tr>
        <w:trPr>
          <w:trHeight w:val="248"/>
        </w:trPr>
        <w:tc>
          <w:tcPr>
            <w:tcW w:w="7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8, 2025</w:t>
            </w:r>
          </w:p>
        </w:tc>
      </w:tr>
      <w:tr>
        <w:trPr>
          <w:trHeight w:val="522"/>
        </w:trPr>
        <w:tc>
          <w:tcPr>
            <w:tcW w:w="3320" w:type="dxa"/>
            <w:vAlign w:val="bottom"/>
          </w:tcPr>
          <w:p>
            <w:pPr>
              <w:spacing w:after="0"/>
              <w:rPr>
                <w:sz w:val="24"/>
                <w:szCs w:val="24"/>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78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2780" w:type="dxa"/>
            <w:vAlign w:val="bottom"/>
          </w:tcPr>
          <w:p>
            <w:pPr>
              <w:spacing w:after="0"/>
              <w:rPr>
                <w:sz w:val="20"/>
                <w:szCs w:val="20"/>
                <w:color w:val="auto"/>
              </w:rPr>
            </w:pPr>
          </w:p>
        </w:tc>
      </w:tr>
      <w:tr>
        <w:trPr>
          <w:trHeight w:val="58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001-12622</w:t>
            </w:r>
          </w:p>
        </w:tc>
        <w:tc>
          <w:tcPr>
            <w:tcW w:w="27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180"/>
        </w:trPr>
        <w:tc>
          <w:tcPr>
            <w:tcW w:w="3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4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 Number)</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 North Michigan Avenue, Suite 400</w:t>
            </w:r>
          </w:p>
        </w:tc>
        <w:tc>
          <w:tcPr>
            <w:tcW w:w="4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Chicago, Illinois</w:t>
            </w:r>
          </w:p>
        </w:tc>
        <w:tc>
          <w:tcPr>
            <w:tcW w:w="4200" w:type="dxa"/>
            <w:vAlign w:val="bottom"/>
          </w:tcPr>
          <w:p>
            <w:pPr>
              <w:spacing w:after="0"/>
              <w:rPr>
                <w:sz w:val="19"/>
                <w:szCs w:val="19"/>
                <w:color w:val="auto"/>
              </w:rPr>
            </w:pP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60611-4213</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spacing w:after="0"/>
              <w:rPr>
                <w:sz w:val="20"/>
                <w:szCs w:val="20"/>
                <w:color w:val="auto"/>
              </w:rPr>
            </w:pP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2025, Oil-Dri Corporation of America (the “Company”) issued a press release announcing its results of operations for its fourth quarter and fiscal year ended July 31, 2025. A copy of the press release is attached as Exhibit 99.1, and the information contained therein is incorporated herein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338"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8, 2025, the Company issued a press release announcing that, at its regular meeting on October 8, 2025, the Board of Directors of the Company (the “Board”) declared quarterly cash dividends of $0.18 per share of Common Stock, and $0.135 per share of Class B Stock. The dividends will be payable on November 21, 2025 to stockholders of record at the close of business on November 7,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99.2, and the information contained therein is incorporated herein by reference.</w:t>
      </w:r>
    </w:p>
    <w:p>
      <w:pPr>
        <w:spacing w:after="0" w:line="370"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Press Release of the Company dated October 9, 2025</w:t>
            </w:r>
          </w:p>
        </w:tc>
        <w:tc>
          <w:tcPr>
            <w:tcW w:w="5020" w:type="dxa"/>
            <w:vAlign w:val="bottom"/>
            <w:gridSpan w:val="3"/>
          </w:tcPr>
          <w:p>
            <w:pPr>
              <w:spacing w:after="0"/>
              <w:rPr>
                <w:sz w:val="24"/>
                <w:szCs w:val="24"/>
                <w:color w:val="auto"/>
              </w:rPr>
            </w:pPr>
          </w:p>
        </w:tc>
      </w:tr>
      <w:tr>
        <w:trPr>
          <w:trHeight w:val="26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Dividends Press Release of the Company dated October 8, 2025</w:t>
            </w:r>
          </w:p>
        </w:tc>
        <w:tc>
          <w:tcPr>
            <w:tcW w:w="4920" w:type="dxa"/>
            <w:vAlign w:val="bottom"/>
            <w:gridSpan w:val="2"/>
          </w:tcPr>
          <w:p>
            <w:pPr>
              <w:spacing w:after="0"/>
              <w:rPr>
                <w:sz w:val="22"/>
                <w:szCs w:val="22"/>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9, 2025</w:t>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Oil-Dri Delivers Strongest Annual Financial Results in History,</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Bolstered by Solid Fourth Quarter Performance</w:t>
      </w:r>
    </w:p>
    <w:p>
      <w:pPr>
        <w:spacing w:after="0" w:line="223"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CHICAGO-(October 9, 2025) - Oil-Dri Corporation of America (NYSE: ODC), producer and marketer of sorbent mineral products, today announced results for its fourth quarter and fiscal year 2025.</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1140" w:type="dxa"/>
            <w:vAlign w:val="bottom"/>
          </w:tcPr>
          <w:p>
            <w:pPr>
              <w:spacing w:after="0"/>
              <w:rPr>
                <w:sz w:val="20"/>
                <w:szCs w:val="20"/>
                <w:color w:val="auto"/>
              </w:rPr>
            </w:pPr>
          </w:p>
        </w:tc>
      </w:tr>
      <w:tr>
        <w:trPr>
          <w:trHeight w:val="23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Ended July 31,</w:t>
            </w: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8"/>
              </w:rPr>
              <w:t>Ended July 31,</w:t>
            </w:r>
          </w:p>
        </w:tc>
        <w:tc>
          <w:tcPr>
            <w:tcW w:w="114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left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100" w:type="dxa"/>
            <w:vAlign w:val="bottom"/>
            <w:shd w:val="clear" w:color="auto" w:fill="000000"/>
          </w:tcPr>
          <w:p>
            <w:pPr>
              <w:spacing w:after="0"/>
              <w:rPr>
                <w:sz w:val="19"/>
                <w:szCs w:val="19"/>
                <w:color w:val="auto"/>
              </w:rPr>
            </w:pPr>
          </w:p>
        </w:tc>
        <w:tc>
          <w:tcPr>
            <w:tcW w:w="110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20" w:type="dxa"/>
            <w:vAlign w:val="bottom"/>
            <w:shd w:val="clear" w:color="auto" w:fill="000000"/>
          </w:tcPr>
          <w:p>
            <w:pPr>
              <w:spacing w:after="0"/>
              <w:rPr>
                <w:sz w:val="19"/>
                <w:szCs w:val="19"/>
                <w:color w:val="auto"/>
              </w:rPr>
            </w:pPr>
          </w:p>
        </w:tc>
        <w:tc>
          <w:tcPr>
            <w:tcW w:w="114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125,212</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113,702</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437,587</w:t>
            </w:r>
          </w:p>
        </w:tc>
        <w:tc>
          <w:tcPr>
            <w:tcW w:w="11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11%</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12,892</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51,645</w:t>
            </w:r>
          </w:p>
        </w:tc>
        <w:tc>
          <w:tcPr>
            <w:tcW w:w="11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8,525</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39,426</w:t>
            </w:r>
          </w:p>
        </w:tc>
        <w:tc>
          <w:tcPr>
            <w:tcW w:w="11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18,249</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69,863</w:t>
            </w:r>
          </w:p>
        </w:tc>
        <w:tc>
          <w:tcPr>
            <w:tcW w:w="11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 EPS - Common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0.59</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100" w:type="dxa"/>
            <w:vAlign w:val="bottom"/>
            <w:shd w:val="clear" w:color="auto" w:fill="000000"/>
          </w:tcPr>
          <w:p>
            <w:pPr>
              <w:spacing w:after="0"/>
              <w:rPr>
                <w:sz w:val="19"/>
                <w:szCs w:val="19"/>
                <w:color w:val="auto"/>
              </w:rPr>
            </w:pPr>
          </w:p>
        </w:tc>
        <w:tc>
          <w:tcPr>
            <w:tcW w:w="110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20" w:type="dxa"/>
            <w:vAlign w:val="bottom"/>
            <w:shd w:val="clear" w:color="auto" w:fill="000000"/>
          </w:tcPr>
          <w:p>
            <w:pPr>
              <w:spacing w:after="0"/>
              <w:rPr>
                <w:sz w:val="19"/>
                <w:szCs w:val="19"/>
                <w:color w:val="auto"/>
              </w:rPr>
            </w:pPr>
          </w:p>
        </w:tc>
        <w:tc>
          <w:tcPr>
            <w:tcW w:w="114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38,880</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150,471</w:t>
            </w:r>
          </w:p>
        </w:tc>
        <w:tc>
          <w:tcPr>
            <w:tcW w:w="11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12,876</w:t>
            </w:r>
          </w:p>
        </w:tc>
        <w:tc>
          <w:tcPr>
            <w:tcW w:w="11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45,589</w:t>
            </w:r>
          </w:p>
        </w:tc>
        <w:tc>
          <w:tcPr>
            <w:tcW w:w="11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1100" w:type="dxa"/>
            <w:vAlign w:val="bottom"/>
            <w:tcBorders>
              <w:right w:val="single" w:sz="8" w:color="auto"/>
            </w:tcBorders>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140" w:type="dxa"/>
            <w:vAlign w:val="bottom"/>
            <w:shd w:val="clear" w:color="auto" w:fill="000000"/>
          </w:tcPr>
          <w:p>
            <w:pPr>
              <w:spacing w:after="0"/>
              <w:rPr>
                <w:sz w:val="21"/>
                <w:szCs w:val="21"/>
                <w:color w:val="auto"/>
              </w:rPr>
            </w:pPr>
          </w:p>
        </w:tc>
        <w:tc>
          <w:tcPr>
            <w:tcW w:w="1220" w:type="dxa"/>
            <w:vAlign w:val="bottom"/>
            <w:shd w:val="clear" w:color="auto" w:fill="000000"/>
          </w:tcPr>
          <w:p>
            <w:pPr>
              <w:spacing w:after="0"/>
              <w:rPr>
                <w:sz w:val="21"/>
                <w:szCs w:val="21"/>
                <w:color w:val="auto"/>
              </w:rPr>
            </w:pPr>
          </w:p>
        </w:tc>
        <w:tc>
          <w:tcPr>
            <w:tcW w:w="1140" w:type="dxa"/>
            <w:vAlign w:val="bottom"/>
            <w:tcBorders>
              <w:right w:val="single" w:sz="8" w:color="auto"/>
            </w:tcBorders>
            <w:shd w:val="clear" w:color="auto" w:fill="000000"/>
          </w:tcPr>
          <w:p>
            <w:pPr>
              <w:spacing w:after="0"/>
              <w:rPr>
                <w:sz w:val="21"/>
                <w:szCs w:val="21"/>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77,125</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74,822</w:t>
            </w:r>
          </w:p>
        </w:tc>
        <w:tc>
          <w:tcPr>
            <w:tcW w:w="11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287,116</w:t>
            </w:r>
          </w:p>
        </w:tc>
        <w:tc>
          <w:tcPr>
            <w:tcW w:w="11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6%</w:t>
            </w:r>
          </w:p>
        </w:tc>
      </w:tr>
      <w:tr>
        <w:trPr>
          <w:trHeight w:val="234"/>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9,724</w:t>
            </w:r>
          </w:p>
        </w:tc>
        <w:tc>
          <w:tcPr>
            <w:tcW w:w="110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43,804</w:t>
            </w:r>
          </w:p>
        </w:tc>
        <w:tc>
          <w:tcPr>
            <w:tcW w:w="114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Includes unallocated corporate expenses.</w:t>
      </w:r>
    </w:p>
    <w:p>
      <w:pPr>
        <w:spacing w:after="0" w:line="11" w:lineRule="exact"/>
        <w:rPr>
          <w:sz w:val="20"/>
          <w:szCs w:val="20"/>
          <w:color w:val="auto"/>
        </w:rPr>
      </w:pPr>
    </w:p>
    <w:p>
      <w:pPr>
        <w:ind w:left="100" w:hanging="92"/>
        <w:spacing w:after="0"/>
        <w:tabs>
          <w:tab w:leader="none" w:pos="10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Please refer to Reconciliation of Non-GAAP Financial Measures below for a reconciliation of Non-GAAP items to the comparable GAAP measures.</w:t>
      </w:r>
    </w:p>
    <w:p>
      <w:pPr>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Prior year per share figures have been updated to reflect the 2-for-1 stock-split in January 2025.</w:t>
      </w:r>
    </w:p>
    <w:p>
      <w:pPr>
        <w:spacing w:after="0" w:line="5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“We closed the fourth quarter and fiscal year 2025 with record results and a very strong balance sheet, underscoring our commitment to long-term financial strength and disciplined capital allocation. Our data-driven approach to making decisions, a term we coined “Miney ball,” allowed us to grow our top and bottom lines across our entire business for both periods, when compared to the prior year. Throughout fiscal year 2025, we made strategic investments in our manufacturing facilities, increased our dividend, and substantially reduced our debt, all while growing our cash reserves to over $50 million. As we enter fiscal year 2026, the first six months will be measured against a particularly strong first half of fiscal year 2025, creating challenging comparisons. However, we remain confident in our ability to build on our past success and continue to deliver growth of our diverse product portfolio.”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Results</w:t>
      </w:r>
    </w:p>
    <w:p>
      <w:pPr>
        <w:spacing w:after="0" w:line="18"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22"/>
          <w:szCs w:val="22"/>
          <w:color w:val="auto"/>
        </w:rPr>
        <w:t>Consolidated net sales for fiscal year 2025 reached an all-time high of $485.6 million, or an 11% gain over the prior year. This increase reflects 8% organic growth, supplemented by a 3% boost</w:t>
      </w:r>
    </w:p>
    <w:p>
      <w:pPr>
        <w:spacing w:after="0" w:line="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from the acquisition of our subsidiary, Ultra Pet Company, Inc., reflecting both internal momentum and strategic expansion. Overall sales performance benefited from the combination of increased volumes, higher prices, and improved product mix. Record sales were achieved in both the Business to Business (“B2B”) and Retail &amp; Wholesale (“R&amp;W”) Product Groups. All B2B principal products generated unprecedented annual revenues, led by a 19% increase from fluids purification products, a 32% boost from agricultural carriers, and a 15% gain from animal health offerings, compared to last year. Within the R&amp;W operating segment, domestic cat litter, industrial &amp; sports, and co-packaged cat litter businesses each reported historic high sales results with growth of 6%, 4%, and 5%, respectively, over the prior year.</w:t>
      </w:r>
    </w:p>
    <w:p>
      <w:pPr>
        <w:spacing w:after="0" w:line="2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1"/>
          <w:szCs w:val="21"/>
          <w:color w:val="auto"/>
        </w:rPr>
        <w:t>Annual consolidated gross profit was a record $143.1 million, an increase of 14% over the last year, with margin expansion to 29.5% in fiscal year 2025 from 28.6% in fiscal year 2024. Domestic cost of goods sold per ton increased by 5% compared to the prior year, driven by a product mix which resulted in higher material and freight costs, partially offset by lower packaging costs.</w:t>
      </w:r>
    </w:p>
    <w:p>
      <w:pPr>
        <w:spacing w:after="0" w:line="18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2"/>
          <w:szCs w:val="22"/>
          <w:color w:val="auto"/>
        </w:rPr>
        <w:t>Selling, general and administrative (“SG&amp;A”) expenses rose 2% to $74.9 million in fiscal 2025, compared to $73.4 million last year. These slightly elevated costs were primarily driven by higher SG&amp;A expenses within the operating segments, partially offset by lower unallocated acquisition-related costs compared to fiscal 2024.</w:t>
      </w:r>
    </w:p>
    <w:p>
      <w:pPr>
        <w:spacing w:after="0" w:line="195"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Fiscal year 2025’s consolidated operating income reached a record high of $68.2 million, reflecting a $16.6 million, or 32% increase, over the prior year. Higher sales more than offset elevated cost of goods sold and SG&amp;A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other expense, net was $2.0 million for fiscal year 2025 and flat compared to last year.</w:t>
      </w:r>
    </w:p>
    <w:p>
      <w:pPr>
        <w:sectPr>
          <w:pgSz w:w="11900" w:h="16838" w:orient="portrait"/>
          <w:cols w:equalWidth="0" w:num="1">
            <w:col w:w="11260"/>
          </w:cols>
          <w:pgMar w:left="320" w:top="1270" w:right="319" w:bottom="0" w:gutter="0" w:footer="0" w:header="0"/>
        </w:sectPr>
      </w:pPr>
    </w:p>
    <w:bookmarkStart w:id="4" w:name="page5"/>
    <w:bookmarkEnd w:id="4"/>
    <w:p>
      <w:pPr>
        <w:ind w:right="140"/>
        <w:spacing w:after="0" w:line="258" w:lineRule="auto"/>
        <w:rPr>
          <w:sz w:val="20"/>
          <w:szCs w:val="20"/>
          <w:color w:val="auto"/>
        </w:rPr>
      </w:pPr>
      <w:r>
        <w:rPr>
          <w:rFonts w:ascii="Times New Roman" w:cs="Times New Roman" w:eastAsia="Times New Roman" w:hAnsi="Times New Roman"/>
          <w:sz w:val="22"/>
          <w:szCs w:val="22"/>
          <w:color w:val="auto"/>
        </w:rPr>
        <w:t>Income tax expense for fiscal year 2025 was $12.2 million compared to $10.2 million in the same period last year. This increase was driven by higher pre-tax income partially offset by a lower effective tax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Annual consolidated net income hit a historic high of $54.0 million in fiscal 2025, or a 37% increase over the prior year.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EBITDA increased by 29% to $90 million, underscoring Oil-Dri's strong operating momentum and disciplined execution.</w:t>
      </w:r>
    </w:p>
    <w:p>
      <w:pPr>
        <w:spacing w:after="0" w:line="20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Cash and cash equivalents grew from $23.5 million at the end of fiscal year 2024 to $50.5 million as of July 31, 2025. The increase was driven by higher net income. This unprecedented level of cash generation was achieved after accounting for $32.6 million in capital expenditures, the repayment of $11.0 million in debt, and the distribution of $8.4 million in dividends to shareholders during fiscal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2"/>
          <w:szCs w:val="22"/>
          <w:color w:val="auto"/>
        </w:rPr>
        <w:t>Consolidated net sales for the fourth quarter of fiscal 2025 reached $125.2 million, or a 10% gain over the same period in the prior year. This marks the 17th consecutive quarter of year-over-year sales growth and a record for the fourth quarter. Revenues increased for both the B2B and R&amp;W Products Groups, primarily due to elevated volumes and, to a lesser extent, higher prices. All principal products delivered increased sales, led by significant contributions from the agricultural, fluids purification, and domestic clay cat litter businesses.</w:t>
      </w:r>
    </w:p>
    <w:p>
      <w:pPr>
        <w:spacing w:after="0" w:line="21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20"/>
          <w:szCs w:val="20"/>
          <w:color w:val="auto"/>
        </w:rPr>
        <w:t>Consolidated gross profit reached $34.8 million, representing an all-time high for the fourth quarter and a 5% gain over the prior year. This marks the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consecutive quarter of year-over-year gross profit growth. Gross margins were 27.8% in the fourth quarter of fiscal year 2025 compared to 29.0% in the same period in fiscal year 2024. Domestic cost of goods sold per ton increased by 3% compared to last year, driven by higher material costs, partially offset by lower freight and packaging costs.</w:t>
      </w:r>
    </w:p>
    <w:p>
      <w:pPr>
        <w:spacing w:after="0" w:line="171" w:lineRule="exact"/>
        <w:rPr>
          <w:sz w:val="20"/>
          <w:szCs w:val="20"/>
          <w:color w:val="auto"/>
        </w:rPr>
      </w:pPr>
    </w:p>
    <w:p>
      <w:pPr>
        <w:ind w:right="580"/>
        <w:spacing w:after="0" w:line="295" w:lineRule="auto"/>
        <w:rPr>
          <w:sz w:val="20"/>
          <w:szCs w:val="20"/>
          <w:color w:val="auto"/>
        </w:rPr>
      </w:pPr>
      <w:r>
        <w:rPr>
          <w:rFonts w:ascii="Times New Roman" w:cs="Times New Roman" w:eastAsia="Times New Roman" w:hAnsi="Times New Roman"/>
          <w:sz w:val="21"/>
          <w:szCs w:val="21"/>
          <w:color w:val="auto"/>
        </w:rPr>
        <w:t>Selling, general and administrative expenses were $19.2 million during the fourth quarter of fiscal 2025 compared to $20.1 million for the same period last year. This $900,000, or 5%, decrease resulted primarily from lower advertising costs.</w:t>
      </w:r>
    </w:p>
    <w:p>
      <w:pPr>
        <w:spacing w:after="0" w:line="176"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Consolidated operating income increased to $15.6 million, or by 21%, in the fourth quarter of fiscal year 2025 compared to last year. Improved sales combined with lower SG&amp;A expenses drove this notable increase.</w:t>
      </w:r>
    </w:p>
    <w:p>
      <w:pPr>
        <w:spacing w:after="0" w:line="171"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22"/>
          <w:szCs w:val="22"/>
          <w:color w:val="auto"/>
        </w:rPr>
        <w:t>Total other expense, net was $150,000 for the three months ending July 31, 2025, compared to $900,000 in the same period last year. This decrease was due to lower interest expense resulting from the repayment of debt, coupled with higher interest income and foreign currency gains.</w:t>
      </w:r>
    </w:p>
    <w:p>
      <w:pPr>
        <w:spacing w:after="0" w:line="19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During the fourth quarter of fiscal 2025, income tax expense was $2.4 million compared to $3.5 million in the prior year. A lower estimated annual tax rate, partially offset by higher pre-tax income, resulted in this reduction.</w:t>
      </w:r>
    </w:p>
    <w:p>
      <w:pPr>
        <w:spacing w:after="0" w:line="171"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22"/>
          <w:szCs w:val="22"/>
          <w:color w:val="auto"/>
        </w:rPr>
        <w:t>Consolidated net income for the fourth quarter of fiscal year 2025 was $13.0 million versus $8.5 million in the same period last year, reflecting a 53% increase and a record high for the fourth quarter. EBITDA increased by 17% to $21.4 million, illustrating the Company’s strong operational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color w:val="auto"/>
        </w:rPr>
        <w:t>The B2B Products Group’s fourth quarter of fiscal year 2025 revenues were $48.1 million, or 24% greater than the prior year. This strong growth was primarily due to elevated demand for agricultural and fluids purification products, and to a lesser extent for animal health offerings. During the fourth quarter of fiscal 2025, revenues from the Company’s agricultural business reach an all-time high of $11.9 million, or 104% greater than last year. Normalized purchasing patterns by existing customers and the addition of a new key customer drove this growth. Sales of fluids purification products remained strong and reached $27.7 million, representing an 11% increase compared to the prior year. These revenue gains are primarily attributed to increased demand for products used in the filtration of edible oil and renewable diesel and, to a lesser extent, to higher prices. Amlan International, the Company’s animal health business, boosted its sales to a record $8.4 million during the fourth quarter of fiscal year 2025, representing a 5% improvement over the same period in fiscal year 2024. Higher international sales volumes fueled this growth.</w:t>
      </w:r>
    </w:p>
    <w:p>
      <w:pPr>
        <w:spacing w:after="0" w:line="21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color w:val="auto"/>
        </w:rPr>
        <w:t>Fourth quarter of fiscal year 2025 SG&amp;A costs within the B2B Products Group increased by $400,000, or 12%, compared to the same period last year. This increase was primarily driven by elevated research and development costs and by a foreign value-added tax (“VAT”) assessment.</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Operating income for the B2B Products Group was $15.0 million in the fourth quarter of fiscal year 2025 compared to $12.9 million in the same period of fiscal year 2024, reflecting an increase of 16%. This notable growth can be attributed to higher sales within the operating segment.</w:t>
      </w:r>
    </w:p>
    <w:p>
      <w:pPr>
        <w:spacing w:after="0" w:line="21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The R&amp;W Products Group’s fourth quarter revenues reached $77.1 million, a 3% gain over the prior year. This was primarily driven by an increase in demand for domestic cat litter and industrial products. Total domestic cat litter revenues, excluding the Company’s co-packaged coarse cat litter business, were $57.5 million, or 2% greater than the prior year. This topline growth</w:t>
      </w:r>
    </w:p>
    <w:p>
      <w:pPr>
        <w:sectPr>
          <w:pgSz w:w="11900" w:h="16838" w:orient="portrait"/>
          <w:cols w:equalWidth="0" w:num="1">
            <w:col w:w="11220"/>
          </w:cols>
          <w:pgMar w:left="320" w:top="355" w:right="359" w:bottom="0" w:gutter="0" w:footer="0" w:header="0"/>
        </w:sectPr>
      </w:pPr>
    </w:p>
    <w:bookmarkStart w:id="5" w:name="page6"/>
    <w:bookmarkEnd w:id="5"/>
    <w:p>
      <w:pPr>
        <w:ind w:right="20"/>
        <w:spacing w:after="0" w:line="250" w:lineRule="auto"/>
        <w:rPr>
          <w:sz w:val="20"/>
          <w:szCs w:val="20"/>
          <w:color w:val="auto"/>
        </w:rPr>
      </w:pPr>
      <w:r>
        <w:rPr>
          <w:rFonts w:ascii="Times New Roman" w:cs="Times New Roman" w:eastAsia="Times New Roman" w:hAnsi="Times New Roman"/>
          <w:sz w:val="22"/>
          <w:szCs w:val="22"/>
          <w:color w:val="auto"/>
        </w:rPr>
        <w:t>resulted from elevated volumes of coarse and lightweight cat litter products. The lightweight cat litter segment expanded and surpassed the growth of the cat litter category as a whole for the 13-week and 52-week periods ending August 9, 2025</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a trend that the Company views as a key driver for the advancement of its branded and private label lightweight litter items. However, competitors continued to increase their promotional activity during the three month period ending July 31, 2025 which Oil-Dri believes tempered its clay-based litter sales. During the fourth quarter of fiscal 2025, revenues of co-packaged coarse cat litter increased by 9% versus last year, primarily driven by higher prices. Domestic industrial and sports products sales reached $11.3 million in the fourth quarter of fiscal 2025, or 6% higher than the same period in the prior year. This increase was driven by both the net effect of higher pricing to offset elevated costs and new distribution at a national retailer. The Company’s Canadian subsidiary reported 4% higher sales due to increased revenues from cat litter products.</w:t>
      </w:r>
    </w:p>
    <w:p>
      <w:pPr>
        <w:spacing w:after="0" w:line="20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During the fourth quarter of fiscal 2025, SG&amp;A expenses within the R&amp;W Products Group decreased by $560,000, or 8% less than the prior year. This decrease primarily resulted from a reduction in advertising expenses.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Operating income for the R&amp;W Products Group was $9.7 million in the fourth quarter of fiscal year 2025 or flat compared to the prior year. Higher sales were offset by increased operating costs.</w:t>
      </w:r>
    </w:p>
    <w:p>
      <w:pPr>
        <w:spacing w:after="0" w:line="17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The Company will host its fourth quarter of fiscal year 2025 earnings discussion via a live webcast on Friday, October 10, 2025 at 10:00 a.m. Central Time. Participation details are available on the Company’s website’s Events page.</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“Oil-Dri”, “Amlan”, and “Ultra” are registered trademarks of Oil-Dri Corporation of America and its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vertAlign w:val="superscript"/>
        </w:rPr>
        <w:t>1</w:t>
      </w:r>
      <w:r>
        <w:rPr>
          <w:rFonts w:ascii="Times New Roman" w:cs="Times New Roman" w:eastAsia="Times New Roman" w:hAnsi="Times New Roman"/>
          <w:sz w:val="17"/>
          <w:szCs w:val="17"/>
          <w:i w:val="1"/>
          <w:iCs w:val="1"/>
          <w:color w:val="auto"/>
        </w:rPr>
        <w:t>Based in part on data reported by NielsenIQ through its Scantrack Service for the Cat Litter Category in the 13-week and 52-week periods ending August</w:t>
      </w:r>
    </w:p>
    <w:p>
      <w:pPr>
        <w:spacing w:after="0"/>
        <w:rPr>
          <w:sz w:val="20"/>
          <w:szCs w:val="20"/>
          <w:color w:val="auto"/>
        </w:rPr>
      </w:pPr>
      <w:r>
        <w:rPr>
          <w:rFonts w:ascii="Times New Roman" w:cs="Times New Roman" w:eastAsia="Times New Roman" w:hAnsi="Times New Roman"/>
          <w:sz w:val="18"/>
          <w:szCs w:val="18"/>
          <w:i w:val="1"/>
          <w:iCs w:val="1"/>
          <w:color w:val="auto"/>
        </w:rPr>
        <w:t>9, , 2025, for the U.S. xAOC+Pet Supers market. Copyright © 2025 NielsenIQ.</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w:t>
      </w:r>
    </w:p>
    <w:p>
      <w:pPr>
        <w:sectPr>
          <w:pgSz w:w="11900" w:h="16838" w:orient="portrait"/>
          <w:cols w:equalWidth="0" w:num="1">
            <w:col w:w="11140"/>
          </w:cols>
          <w:pgMar w:left="320" w:top="126" w:right="439" w:bottom="1440" w:gutter="0" w:footer="0" w:header="0"/>
        </w:sectPr>
      </w:pPr>
    </w:p>
    <w:bookmarkStart w:id="6" w:name="page7"/>
    <w:bookmarkEnd w:id="6"/>
    <w:p>
      <w:pPr>
        <w:ind w:left="6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supply chain to marketing and sales. With over 80 years of experience, the Company continues to fulfill its mission to Create Value from Sorbent Minerals.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spacing w:after="0" w:line="20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color w:val="auto"/>
        </w:rPr>
        <w:t>The non-GAAP financial measures we use may not be the same or calculated in the same manner as those used and calculated by other companies. Non-GAAP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w:t>
      </w:r>
    </w:p>
    <w:p>
      <w:pPr>
        <w:sectPr>
          <w:pgSz w:w="11900" w:h="16838" w:orient="portrait"/>
          <w:cols w:equalWidth="0" w:num="1">
            <w:col w:w="11200"/>
          </w:cols>
          <w:pgMar w:left="320" w:top="1026" w:right="379" w:bottom="1440" w:gutter="0" w:footer="0" w:header="0"/>
          <w:type w:val="continuous"/>
        </w:sectPr>
      </w:pPr>
    </w:p>
    <w:bookmarkStart w:id="7" w:name="page8"/>
    <w:bookmarkEnd w:id="7"/>
    <w:p>
      <w:pPr>
        <w:ind w:left="6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comparable GAAP financial measures included in this release, and not to rely on any single financial measure to evaluate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18"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180"/>
          </w:cols>
          <w:pgMar w:left="320" w:top="1026" w:right="399" w:bottom="1440" w:gutter="0" w:footer="0" w:header="0"/>
          <w:type w:val="continuous"/>
        </w:sectPr>
      </w:pPr>
    </w:p>
    <w:bookmarkStart w:id="8" w:name="page9"/>
    <w:bookmarkEnd w:id="8"/>
    <w:p>
      <w:pPr>
        <w:ind w:left="6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02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Fourth Quarter Ended July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760" w:type="dxa"/>
            <w:vAlign w:val="bottom"/>
            <w:gridSpan w:val="3"/>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125,212</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113,702</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(90,379)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(80,678)</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13,055</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24"/>
                <w:szCs w:val="24"/>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2-for-1 stock-split in January 2025.</w:t>
      </w:r>
    </w:p>
    <w:p>
      <w:pPr>
        <w:sectPr>
          <w:pgSz w:w="11900" w:h="16838" w:orient="portrait"/>
          <w:cols w:equalWidth="0" w:num="1">
            <w:col w:w="10900"/>
          </w:cols>
          <w:pgMar w:left="320" w:top="1026" w:right="679" w:bottom="1440" w:gutter="0" w:footer="0" w:header="0"/>
          <w:type w:val="continuous"/>
        </w:sectPr>
      </w:pPr>
    </w:p>
    <w:bookmarkStart w:id="9" w:name="page10"/>
    <w:bookmarkEnd w:id="9"/>
    <w:p>
      <w:pPr>
        <w:ind w:left="6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026" w:right="679" w:bottom="1440" w:gutter="0" w:footer="0" w:header="0"/>
        </w:sect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Twelve Months Ended July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485,572</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437,587</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(342,489)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(312,493)</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(74,863)</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53,996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39,426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28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4"/>
                <w:szCs w:val="24"/>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Avg Shares Outstanding: Basic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2-for-1 stock-split in January 2025.</w:t>
      </w:r>
    </w:p>
    <w:p>
      <w:pPr>
        <w:sectPr>
          <w:pgSz w:w="11900" w:h="16838" w:orient="portrait"/>
          <w:cols w:equalWidth="0" w:num="1">
            <w:col w:w="10900"/>
          </w:cols>
          <w:pgMar w:left="320" w:top="1026" w:right="679" w:bottom="1440" w:gutter="0" w:footer="0" w:header="0"/>
          <w:type w:val="continuous"/>
        </w:sectPr>
      </w:pPr>
    </w:p>
    <w:bookmarkStart w:id="10" w:name="page11"/>
    <w:bookmarkEnd w:id="10"/>
    <w:p>
      <w:pPr>
        <w:ind w:left="6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2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2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200" w:type="dxa"/>
            <w:vAlign w:val="bottom"/>
          </w:tcPr>
          <w:p>
            <w:pPr>
              <w:spacing w:after="0"/>
              <w:rPr>
                <w:sz w:val="20"/>
                <w:szCs w:val="20"/>
                <w:color w:val="auto"/>
              </w:rPr>
            </w:pP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1"/>
        </w:trPr>
        <w:tc>
          <w:tcPr>
            <w:tcW w:w="7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50,458</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147,158</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69,651</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391,677</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7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48,935</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69,187</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0" w:type="dxa"/>
            <w:vAlign w:val="bottom"/>
          </w:tcPr>
          <w:p>
            <w:pPr>
              <w:spacing w:after="0"/>
              <w:rPr>
                <w:sz w:val="1"/>
                <w:szCs w:val="1"/>
                <w:color w:val="auto"/>
              </w:rPr>
            </w:pPr>
          </w:p>
        </w:tc>
      </w:tr>
      <w:tr>
        <w:trPr>
          <w:trHeight w:val="201"/>
        </w:trPr>
        <w:tc>
          <w:tcPr>
            <w:tcW w:w="70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259,060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210,588</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391,677</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0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2-for-1 stock-split in January 2025.</w:t>
      </w:r>
    </w:p>
    <w:p>
      <w:pPr>
        <w:sectPr>
          <w:pgSz w:w="11900" w:h="16838" w:orient="portrait"/>
          <w:cols w:equalWidth="0" w:num="1">
            <w:col w:w="11060"/>
          </w:cols>
          <w:pgMar w:left="320" w:top="1026" w:right="519" w:bottom="1440" w:gutter="0" w:footer="0" w:header="0"/>
          <w:type w:val="continuous"/>
        </w:sectPr>
      </w:pPr>
    </w:p>
    <w:bookmarkStart w:id="11" w:name="page12"/>
    <w:bookmarkEnd w:id="11"/>
    <w:p>
      <w:pPr>
        <w:ind w:left="66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2976880</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40" w:top="1026"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19"/>
                <w:szCs w:val="19"/>
                <w:color w:val="auto"/>
              </w:rPr>
            </w:pPr>
          </w:p>
        </w:tc>
        <w:tc>
          <w:tcPr>
            <w:tcW w:w="30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34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23"/>
        </w:trPr>
        <w:tc>
          <w:tcPr>
            <w:tcW w:w="68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(32,562)</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(32,000)</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 of Business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(44,298)</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sale of property, plant and equipment</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(32,526)</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(76,116)</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long-term debt</w:t>
            </w:r>
          </w:p>
        </w:tc>
        <w:tc>
          <w:tcPr>
            <w:tcW w:w="10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 of Debt Issuance costs</w:t>
            </w:r>
          </w:p>
        </w:tc>
        <w:tc>
          <w:tcPr>
            <w:tcW w:w="10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Payments on Revolving Credit Facility</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(11,000)</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(21,744)</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46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25,977</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50,458</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40" w:top="1026" w:right="939" w:bottom="1440" w:gutter="0" w:footer="0" w:header="0"/>
          <w:type w:val="continuous"/>
        </w:sectPr>
      </w:pPr>
    </w:p>
    <w:bookmarkStart w:id="12" w:name="page13"/>
    <w:bookmarkEnd w:id="12"/>
    <w:p>
      <w:pPr>
        <w:ind w:left="5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2985770</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111760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19"/>
          </w:cols>
          <w:pgMar w:left="1040" w:top="10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3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RECONCILIATION OF NON-GAAP FINANCIAL MEASURES </w:t>
      </w: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Fourth Quarter</w:t>
            </w:r>
          </w:p>
        </w:tc>
        <w:tc>
          <w:tcPr>
            <w:tcW w:w="260" w:type="dxa"/>
            <w:vAlign w:val="bottom"/>
          </w:tcPr>
          <w:p>
            <w:pPr>
              <w:spacing w:after="0"/>
              <w:rPr>
                <w:sz w:val="19"/>
                <w:szCs w:val="19"/>
                <w:color w:val="auto"/>
              </w:rPr>
            </w:pPr>
          </w:p>
        </w:tc>
        <w:tc>
          <w:tcPr>
            <w:tcW w:w="21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Ended July 31,</w:t>
            </w:r>
          </w:p>
        </w:tc>
        <w:tc>
          <w:tcPr>
            <w:tcW w:w="260" w:type="dxa"/>
            <w:vAlign w:val="bottom"/>
          </w:tcPr>
          <w:p>
            <w:pPr>
              <w:spacing w:after="0"/>
              <w:rPr>
                <w:sz w:val="20"/>
                <w:szCs w:val="20"/>
                <w:color w:val="auto"/>
              </w:rPr>
            </w:pPr>
          </w:p>
        </w:tc>
        <w:tc>
          <w:tcPr>
            <w:tcW w:w="21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Ended July 31,</w:t>
            </w:r>
          </w:p>
        </w:tc>
      </w:tr>
      <w:tr>
        <w:trPr>
          <w:trHeight w:val="223"/>
        </w:trPr>
        <w:tc>
          <w:tcPr>
            <w:tcW w:w="4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w:t>
            </w:r>
          </w:p>
        </w:tc>
      </w:tr>
      <w:tr>
        <w:trPr>
          <w:trHeight w:val="229"/>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w:t>
            </w:r>
          </w:p>
        </w:tc>
      </w:tr>
      <w:tr>
        <w:trPr>
          <w:trHeight w:val="230"/>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29"/>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8"/>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69,863</w:t>
            </w: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419"/>
          </w:cols>
          <w:pgMar w:left="1040" w:top="1026"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Oil-Dri’s Board of Directors Declares Quarterly Dividends</w:t>
      </w:r>
    </w:p>
    <w:p>
      <w:pPr>
        <w:spacing w:after="0" w:line="209"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22"/>
          <w:szCs w:val="22"/>
          <w:color w:val="auto"/>
        </w:rPr>
        <w:t>CHICAGO—(October 8, 2025)—The Board of Directors of Oil-Dri Corporation of America (NYSE: ODC) today declared quarterly cash dividends of $0.18 per share of the Company’s Common Stock and $0.135 per share of the Company’s Class B Stock.</w:t>
      </w:r>
    </w:p>
    <w:p>
      <w:pPr>
        <w:spacing w:after="0" w:line="19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22"/>
          <w:szCs w:val="22"/>
          <w:color w:val="auto"/>
        </w:rPr>
        <w:t>The cash dividends will be payable on November 21, 2025 to stockholders of record at the close of business on November 7, 2025. Oil-Dri has paid cash dividends continuously each year since 1974 and has increased dividends annually for twenty-two consecutive years.</w:t>
      </w:r>
    </w:p>
    <w:p>
      <w:pPr>
        <w:spacing w:after="0" w:line="19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The Company’s press release outlining its performance for the fourth quarter of fiscal year 2025 will be issued after the close of the U.S. stock market on Thursday, October 9, 2025. Oil-Dri will host an earnings discussion via a live webcast on Friday, October 10, 2025 at 10:00 a.m. Central Time. Participation details are posted on the Company’s website’s Events page.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 To learn more about the Company, please visit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w:t>
      </w:r>
    </w:p>
    <w:p>
      <w:pPr>
        <w:sectPr>
          <w:pgSz w:w="11900" w:h="16838" w:orient="portrait"/>
          <w:cols w:equalWidth="0" w:num="1">
            <w:col w:w="11240"/>
          </w:cols>
          <w:pgMar w:left="320" w:top="919"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1"/>
          <w:szCs w:val="21"/>
          <w:color w:val="auto"/>
        </w:rPr>
        <w:t>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line="230" w:lineRule="auto"/>
        <w:rPr>
          <w:sz w:val="20"/>
          <w:szCs w:val="20"/>
          <w:color w:val="auto"/>
        </w:rPr>
      </w:pPr>
      <w:r>
        <w:rPr>
          <w:rFonts w:ascii="Times New Roman" w:cs="Times New Roman" w:eastAsia="Times New Roman" w:hAnsi="Times New Roman"/>
          <w:sz w:val="22"/>
          <w:szCs w:val="22"/>
          <w:color w:val="0000FF"/>
        </w:rPr>
        <w:t>InvestorRelations@oildri.com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2025-10-09T15:11:50Z</dcterms:created>
  <dcterms:modified xsi:type="dcterms:W3CDTF">2025-10-09T15:11:50Z</dcterms:modified>
</cp:coreProperties>
</file>