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4"/>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8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84"/>
        <w:spacing w:after="0"/>
        <w:rPr>
          <w:sz w:val="20"/>
          <w:szCs w:val="20"/>
          <w:color w:val="auto"/>
        </w:rPr>
      </w:pPr>
      <w:r>
        <w:rPr>
          <w:rFonts w:ascii="Arial" w:cs="Arial" w:eastAsia="Arial" w:hAnsi="Arial"/>
          <w:sz w:val="18"/>
          <w:szCs w:val="18"/>
          <w:color w:val="auto"/>
        </w:rPr>
        <w:t>Washington, D.C. 20549</w:t>
      </w:r>
    </w:p>
    <w:p>
      <w:pPr>
        <w:spacing w:after="0" w:line="123" w:lineRule="exact"/>
        <w:rPr>
          <w:sz w:val="24"/>
          <w:szCs w:val="24"/>
          <w:color w:val="auto"/>
        </w:rPr>
      </w:pPr>
    </w:p>
    <w:p>
      <w:pPr>
        <w:jc w:val="center"/>
        <w:ind w:right="-184"/>
        <w:spacing w:after="0"/>
        <w:rPr>
          <w:sz w:val="20"/>
          <w:szCs w:val="20"/>
          <w:color w:val="auto"/>
        </w:rPr>
      </w:pPr>
      <w:r>
        <w:rPr>
          <w:rFonts w:ascii="Arial" w:cs="Arial" w:eastAsia="Arial" w:hAnsi="Arial"/>
          <w:sz w:val="22"/>
          <w:szCs w:val="22"/>
          <w:color w:val="auto"/>
        </w:rPr>
        <w:t>DEFINITIVE PROXY STATEMENT</w:t>
      </w:r>
    </w:p>
    <w:p>
      <w:pPr>
        <w:spacing w:after="0" w:line="38"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SCHEDULE 14A</w:t>
      </w:r>
    </w:p>
    <w:p>
      <w:pPr>
        <w:spacing w:after="0" w:line="6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(Rule 14a-101)</w:t>
      </w:r>
    </w:p>
    <w:p>
      <w:pPr>
        <w:spacing w:after="0" w:line="63"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INFORMATION REQUIRED IN PROXY STATEMENT</w:t>
      </w:r>
    </w:p>
    <w:p>
      <w:pPr>
        <w:spacing w:after="0" w:line="171"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SCHEDULE 14A INFORMATION</w:t>
      </w:r>
    </w:p>
    <w:p>
      <w:pPr>
        <w:spacing w:after="0" w:line="171" w:lineRule="exact"/>
        <w:rPr>
          <w:sz w:val="24"/>
          <w:szCs w:val="24"/>
          <w:color w:val="auto"/>
        </w:rPr>
      </w:pPr>
    </w:p>
    <w:p>
      <w:pPr>
        <w:jc w:val="center"/>
        <w:ind w:right="-144"/>
        <w:spacing w:after="0"/>
        <w:rPr>
          <w:sz w:val="20"/>
          <w:szCs w:val="20"/>
          <w:color w:val="auto"/>
        </w:rPr>
      </w:pPr>
      <w:r>
        <w:rPr>
          <w:rFonts w:ascii="Arial" w:cs="Arial" w:eastAsia="Arial" w:hAnsi="Arial"/>
          <w:sz w:val="16"/>
          <w:szCs w:val="16"/>
          <w:color w:val="auto"/>
        </w:rPr>
        <w:t>Proxy Statement Pursuant to Section 14(a) of the Securities Exchange Act of 1934 (Amendment No. )</w:t>
      </w:r>
    </w:p>
    <w:p>
      <w:pPr>
        <w:spacing w:after="0" w:line="343"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x</w:t>
      </w:r>
    </w:p>
    <w:p>
      <w:pPr>
        <w:spacing w:after="0" w:line="90"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ectPr>
          <w:pgSz w:w="11900" w:h="16838" w:orient="portrait"/>
          <w:cols w:equalWidth="0" w:num="1">
            <w:col w:w="11165"/>
          </w:cols>
          <w:pgMar w:left="275" w:top="233" w:right="459" w:bottom="1440" w:gutter="0" w:footer="0" w:header="0"/>
        </w:sectPr>
      </w:pPr>
    </w:p>
    <w:p>
      <w:pPr>
        <w:spacing w:after="0" w:line="387"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
        <w:spacing w:after="0"/>
        <w:tabs>
          <w:tab w:leader="none" w:pos="1025"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Rule 14a-12</w:t>
      </w:r>
    </w:p>
    <w:p>
      <w:pPr>
        <w:spacing w:after="0" w:line="86" w:lineRule="exact"/>
        <w:rPr>
          <w:sz w:val="24"/>
          <w:szCs w:val="24"/>
          <w:color w:val="auto"/>
        </w:rPr>
      </w:pPr>
    </w:p>
    <w:p>
      <w:pPr>
        <w:sectPr>
          <w:pgSz w:w="11900" w:h="16838" w:orient="portrait"/>
          <w:cols w:equalWidth="0" w:num="3">
            <w:col w:w="4885" w:space="720"/>
            <w:col w:w="80" w:space="360"/>
            <w:col w:w="5120"/>
          </w:cols>
          <w:pgMar w:left="275" w:top="233" w:right="459" w:bottom="1440" w:gutter="0" w:footer="0" w:header="0"/>
          <w:type w:val="continuous"/>
        </w:sectPr>
      </w:pPr>
    </w:p>
    <w:p>
      <w:pPr>
        <w:ind w:left="1045" w:right="5760" w:hanging="1045"/>
        <w:spacing w:after="0" w:line="277" w:lineRule="auto"/>
        <w:tabs>
          <w:tab w:leader="none" w:pos="104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8" w:lineRule="exact"/>
        <w:rPr>
          <w:rFonts w:ascii="Arial" w:cs="Arial" w:eastAsia="Arial" w:hAnsi="Arial"/>
          <w:sz w:val="18"/>
          <w:szCs w:val="18"/>
          <w:color w:val="auto"/>
        </w:rPr>
      </w:pPr>
    </w:p>
    <w:p>
      <w:pPr>
        <w:ind w:left="1045" w:hanging="1045"/>
        <w:spacing w:after="0"/>
        <w:tabs>
          <w:tab w:leader="none" w:pos="104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1045" w:hanging="1045"/>
        <w:spacing w:after="0"/>
        <w:tabs>
          <w:tab w:leader="none" w:pos="1045"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84"/>
        <w:spacing w:after="0"/>
        <w:rPr>
          <w:sz w:val="20"/>
          <w:szCs w:val="20"/>
          <w:color w:val="auto"/>
        </w:rPr>
      </w:pPr>
      <w:r>
        <w:rPr>
          <w:rFonts w:ascii="Arial" w:cs="Arial" w:eastAsia="Arial" w:hAnsi="Arial"/>
          <w:sz w:val="25"/>
          <w:szCs w:val="25"/>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38100</wp:posOffset>
            </wp:positionV>
            <wp:extent cx="6654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79" w:lineRule="exact"/>
        <w:rPr>
          <w:sz w:val="24"/>
          <w:szCs w:val="24"/>
          <w:color w:val="auto"/>
        </w:rPr>
      </w:pPr>
    </w:p>
    <w:p>
      <w:pPr>
        <w:jc w:val="center"/>
        <w:ind w:right="-18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wp:posOffset>
            </wp:positionH>
            <wp:positionV relativeFrom="paragraph">
              <wp:posOffset>220980</wp:posOffset>
            </wp:positionV>
            <wp:extent cx="66548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367" w:lineRule="exact"/>
        <w:rPr>
          <w:sz w:val="24"/>
          <w:szCs w:val="24"/>
          <w:color w:val="auto"/>
        </w:rPr>
      </w:pPr>
    </w:p>
    <w:p>
      <w:pPr>
        <w:ind w:left="30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65" w:hanging="465"/>
        <w:spacing w:after="0"/>
        <w:tabs>
          <w:tab w:leader="none" w:pos="46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79" w:lineRule="exact"/>
        <w:rPr>
          <w:sz w:val="24"/>
          <w:szCs w:val="24"/>
          <w:color w:val="auto"/>
        </w:rPr>
      </w:pPr>
    </w:p>
    <w:p>
      <w:pPr>
        <w:ind w:left="465" w:hanging="465"/>
        <w:spacing w:after="0"/>
        <w:tabs>
          <w:tab w:leader="none" w:pos="4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306" w:lineRule="exact"/>
        <w:rPr>
          <w:sz w:val="24"/>
          <w:szCs w:val="24"/>
          <w:color w:val="auto"/>
        </w:rPr>
      </w:pPr>
    </w:p>
    <w:p>
      <w:pPr>
        <w:ind w:left="925" w:hanging="340"/>
        <w:spacing w:after="0"/>
        <w:tabs>
          <w:tab w:leader="none" w:pos="9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-147320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57" w:lineRule="exact"/>
        <w:rPr>
          <w:sz w:val="24"/>
          <w:szCs w:val="24"/>
          <w:color w:val="auto"/>
        </w:rPr>
      </w:pPr>
    </w:p>
    <w:p>
      <w:pPr>
        <w:ind w:left="925"/>
        <w:spacing w:after="0"/>
        <w:rPr>
          <w:sz w:val="20"/>
          <w:szCs w:val="20"/>
          <w:color w:val="auto"/>
        </w:rPr>
      </w:pPr>
      <w:r>
        <w:rPr>
          <w:rFonts w:ascii="Arial" w:cs="Arial" w:eastAsia="Arial" w:hAnsi="Arial"/>
          <w:sz w:val="16"/>
          <w:szCs w:val="16"/>
          <w:color w:val="auto"/>
        </w:rPr>
        <w:t>Per unit price or other underlying value of transaction computed pursuant to Exchange Act Rule 0-11 (set forth the amount on which the filing</w:t>
      </w:r>
    </w:p>
    <w:p>
      <w:pPr>
        <w:spacing w:after="0" w:line="46" w:lineRule="exact"/>
        <w:rPr>
          <w:sz w:val="24"/>
          <w:szCs w:val="24"/>
          <w:color w:val="auto"/>
        </w:rPr>
      </w:pPr>
    </w:p>
    <w:p>
      <w:pPr>
        <w:ind w:left="925" w:hanging="340"/>
        <w:spacing w:after="0"/>
        <w:tabs>
          <w:tab w:leader="none" w:pos="925"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is calculated and state how it was determined):</w:t>
      </w:r>
    </w:p>
    <w:p>
      <w:pPr>
        <w:spacing w:after="0" w:line="62"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4   Proposed maximum aggregate value of transaction:</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-147320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-327660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3" w:lineRule="exact"/>
        <w:rPr>
          <w:sz w:val="24"/>
          <w:szCs w:val="24"/>
          <w:color w:val="auto"/>
        </w:rPr>
      </w:pPr>
    </w:p>
    <w:p>
      <w:pPr>
        <w:ind w:left="465" w:hanging="465"/>
        <w:spacing w:after="0"/>
        <w:tabs>
          <w:tab w:leader="none" w:pos="465"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79" w:lineRule="exact"/>
        <w:rPr>
          <w:rFonts w:ascii="Arial" w:cs="Arial" w:eastAsia="Arial" w:hAnsi="Arial"/>
          <w:sz w:val="18"/>
          <w:szCs w:val="18"/>
          <w:color w:val="auto"/>
        </w:rPr>
      </w:pPr>
    </w:p>
    <w:p>
      <w:pPr>
        <w:ind w:left="465" w:right="180" w:hanging="465"/>
        <w:spacing w:after="0" w:line="308" w:lineRule="auto"/>
        <w:tabs>
          <w:tab w:leader="none" w:pos="465" w:val="left"/>
        </w:tabs>
        <w:numPr>
          <w:ilvl w:val="0"/>
          <w:numId w:val="7"/>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sz w:val="24"/>
          <w:szCs w:val="24"/>
          <w:color w:val="auto"/>
        </w:rPr>
      </w:pPr>
    </w:p>
    <w:p>
      <w:pPr>
        <w:ind w:left="925" w:hanging="340"/>
        <w:spacing w:after="0"/>
        <w:tabs>
          <w:tab w:leader="none" w:pos="925"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57" w:lineRule="exact"/>
        <w:rPr>
          <w:sz w:val="24"/>
          <w:szCs w:val="24"/>
          <w:color w:val="auto"/>
        </w:rPr>
      </w:pPr>
    </w:p>
    <w:p>
      <w:pPr>
        <w:ind w:left="925" w:hanging="340"/>
        <w:spacing w:after="0"/>
        <w:tabs>
          <w:tab w:leader="none" w:pos="92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76" w:lineRule="exact"/>
        <w:rPr>
          <w:rFonts w:ascii="Arial" w:cs="Arial" w:eastAsia="Arial" w:hAnsi="Arial"/>
          <w:sz w:val="18"/>
          <w:szCs w:val="18"/>
          <w:color w:val="auto"/>
        </w:rPr>
      </w:pPr>
    </w:p>
    <w:p>
      <w:pPr>
        <w:ind w:left="585"/>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-147320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-327660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65"/>
          </w:cols>
          <w:pgMar w:left="275" w:top="233" w:right="45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1221105</wp:posOffset>
            </wp:positionH>
            <wp:positionV relativeFrom="page">
              <wp:posOffset>380365</wp:posOffset>
            </wp:positionV>
            <wp:extent cx="5120005" cy="6629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120005" cy="6629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243205</wp:posOffset>
            </wp:positionV>
            <wp:extent cx="5866130" cy="7589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243205</wp:posOffset>
            </wp:positionV>
            <wp:extent cx="5866130" cy="7589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852170</wp:posOffset>
            </wp:positionH>
            <wp:positionV relativeFrom="page">
              <wp:posOffset>243205</wp:posOffset>
            </wp:positionV>
            <wp:extent cx="5866130" cy="7589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66130" cy="75895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x"/>
      <w:numFmt w:val="bullet"/>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o"/>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2020-01-18T15:02:47Z</dcterms:created>
  <dcterms:modified xsi:type="dcterms:W3CDTF">2020-01-18T15:02:47Z</dcterms:modified>
</cp:coreProperties>
</file>