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13G is filed:</w:t>
      </w:r>
    </w:p>
    <w:p>
      <w:pPr>
        <w:spacing w:after="0" w:line="233" w:lineRule="exact"/>
        <w:rPr>
          <w:sz w:val="24"/>
          <w:szCs w:val="24"/>
          <w:color w:val="auto"/>
        </w:rPr>
      </w:pPr>
    </w:p>
    <w:p>
      <w:pPr>
        <w:jc w:val="both"/>
        <w:ind w:left="660" w:right="9180" w:hanging="4"/>
        <w:spacing w:after="0" w:line="276" w:lineRule="auto"/>
        <w:tabs>
          <w:tab w:leader="none" w:pos="894"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00" w:lineRule="exact"/>
        <w:rPr>
          <w:sz w:val="24"/>
          <w:szCs w:val="24"/>
          <w:color w:val="auto"/>
        </w:rPr>
      </w:pPr>
    </w:p>
    <w:p>
      <w:pPr>
        <w:spacing w:after="0" w:line="258"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420"/>
          </w:cols>
          <w:pgMar w:left="240" w:top="706" w:right="239" w:bottom="1440" w:gutter="0" w:footer="0" w:header="0"/>
        </w:sectPr>
      </w:pPr>
    </w:p>
    <w:bookmarkStart w:id="1" w:name="page2"/>
    <w:bookmarkEnd w:id="1"/>
    <w:p>
      <w:pPr>
        <w:ind w:left="100"/>
        <w:spacing w:after="0"/>
        <w:rPr>
          <w:sz w:val="20"/>
          <w:szCs w:val="20"/>
          <w:color w:val="auto"/>
        </w:rPr>
      </w:pPr>
      <w:r>
        <w:rPr>
          <w:rFonts w:ascii="Arial" w:cs="Arial" w:eastAsia="Arial" w:hAnsi="Arial"/>
          <w:sz w:val="20"/>
          <w:szCs w:val="20"/>
          <w:color w:val="auto"/>
        </w:rPr>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Names of Reporting Persons. </w:t>
      </w:r>
      <w:r>
        <w:rPr>
          <w:rFonts w:ascii="Arial" w:cs="Arial" w:eastAsia="Arial" w:hAnsi="Arial"/>
          <w:sz w:val="17"/>
          <w:szCs w:val="17"/>
          <w:color w:val="auto"/>
        </w:rPr>
        <w:t>I.R.S. Identification Nos. of Above Persons (entities only):</w:t>
      </w:r>
    </w:p>
    <w:p>
      <w:pPr>
        <w:spacing w:after="0" w:line="133"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Harvey Partners, LLC</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20-3760303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09" w:right="399" w:bottom="1440" w:gutter="0" w:footer="0" w:header="0"/>
        </w:sectPr>
      </w:pPr>
    </w:p>
    <w:p>
      <w:pPr>
        <w:spacing w:after="0" w:line="20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color w:val="auto"/>
        </w:rPr>
        <w:t>(a) [</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8" w:lineRule="exact"/>
        <w:rPr>
          <w:sz w:val="20"/>
          <w:szCs w:val="20"/>
          <w:color w:val="auto"/>
        </w:rPr>
      </w:pPr>
    </w:p>
    <w:p>
      <w:pPr>
        <w:ind w:left="2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3">
            <w:col w:w="6820" w:space="720"/>
            <w:col w:w="380" w:space="260"/>
            <w:col w:w="3080"/>
          </w:cols>
          <w:pgMar w:left="240" w:top="609" w:right="399" w:bottom="1440" w:gutter="0" w:footer="0" w:header="0"/>
          <w:type w:val="continuous"/>
        </w:sectPr>
      </w:pPr>
    </w:p>
    <w:p>
      <w:pPr>
        <w:spacing w:after="0" w:line="148"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219"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02" w:lineRule="exact"/>
        <w:rPr>
          <w:rFonts w:ascii="Arial" w:cs="Arial" w:eastAsia="Arial" w:hAnsi="Arial"/>
          <w:sz w:val="22"/>
          <w:szCs w:val="22"/>
          <w:color w:val="auto"/>
        </w:rPr>
      </w:pPr>
    </w:p>
    <w:p>
      <w:pPr>
        <w:ind w:left="1020"/>
        <w:spacing w:after="0"/>
        <w:rPr>
          <w:rFonts w:ascii="Arial" w:cs="Arial" w:eastAsia="Arial" w:hAnsi="Arial"/>
          <w:sz w:val="22"/>
          <w:szCs w:val="22"/>
          <w:color w:val="auto"/>
        </w:rPr>
      </w:pPr>
      <w:r>
        <w:rPr>
          <w:rFonts w:ascii="Arial" w:cs="Arial" w:eastAsia="Arial" w:hAnsi="Arial"/>
          <w:sz w:val="20"/>
          <w:szCs w:val="20"/>
          <w:color w:val="auto"/>
        </w:rPr>
        <w:t>Delaware,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120" w:type="dxa"/>
            <w:vAlign w:val="bottom"/>
            <w:gridSpan w:val="3"/>
          </w:tcPr>
          <w:p>
            <w:pPr>
              <w:spacing w:after="0"/>
              <w:rPr>
                <w:sz w:val="20"/>
                <w:szCs w:val="20"/>
                <w:color w:val="auto"/>
              </w:rPr>
            </w:pPr>
            <w:r>
              <w:rPr>
                <w:rFonts w:ascii="Arial" w:cs="Arial" w:eastAsia="Arial" w:hAnsi="Arial"/>
                <w:sz w:val="22"/>
                <w:szCs w:val="22"/>
                <w:color w:val="auto"/>
              </w:rPr>
              <w:t>Number of Shares Beneficially Owned By Each Reporting Person With</w:t>
            </w: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1"/>
        </w:trPr>
        <w:tc>
          <w:tcPr>
            <w:tcW w:w="2900" w:type="dxa"/>
            <w:vAlign w:val="bottom"/>
            <w:gridSpan w:val="2"/>
          </w:tcPr>
          <w:p>
            <w:pPr>
              <w:jc w:val="right"/>
              <w:spacing w:after="0"/>
              <w:rPr>
                <w:sz w:val="20"/>
                <w:szCs w:val="20"/>
                <w:color w:val="auto"/>
              </w:rPr>
            </w:pPr>
            <w:r>
              <w:rPr>
                <w:rFonts w:ascii="Arial" w:cs="Arial" w:eastAsia="Arial" w:hAnsi="Arial"/>
                <w:sz w:val="22"/>
                <w:szCs w:val="22"/>
                <w:color w:val="auto"/>
              </w:rPr>
              <w:t>(5)</w:t>
            </w:r>
          </w:p>
        </w:tc>
        <w:tc>
          <w:tcPr>
            <w:tcW w:w="5220" w:type="dxa"/>
            <w:vAlign w:val="bottom"/>
          </w:tcPr>
          <w:p>
            <w:pPr>
              <w:ind w:left="40"/>
              <w:spacing w:after="0"/>
              <w:rPr>
                <w:sz w:val="20"/>
                <w:szCs w:val="20"/>
                <w:color w:val="auto"/>
              </w:rPr>
            </w:pPr>
            <w:r>
              <w:rPr>
                <w:rFonts w:ascii="Arial" w:cs="Arial" w:eastAsia="Arial" w:hAnsi="Arial"/>
                <w:sz w:val="22"/>
                <w:szCs w:val="22"/>
                <w:color w:val="auto"/>
              </w:rPr>
              <w:t>Sole Voting Power:</w:t>
            </w:r>
          </w:p>
        </w:tc>
        <w:tc>
          <w:tcPr>
            <w:tcW w:w="2740" w:type="dxa"/>
            <w:vAlign w:val="bottom"/>
          </w:tcPr>
          <w:p>
            <w:pPr>
              <w:jc w:val="right"/>
              <w:spacing w:after="0"/>
              <w:rPr>
                <w:sz w:val="20"/>
                <w:szCs w:val="20"/>
                <w:color w:val="auto"/>
              </w:rPr>
            </w:pPr>
            <w:r>
              <w:rPr>
                <w:rFonts w:ascii="Arial" w:cs="Arial" w:eastAsia="Arial" w:hAnsi="Arial"/>
                <w:sz w:val="22"/>
                <w:szCs w:val="22"/>
                <w:color w:val="auto"/>
              </w:rPr>
              <w:t>86,130*</w:t>
            </w:r>
          </w:p>
        </w:tc>
        <w:tc>
          <w:tcPr>
            <w:tcW w:w="0" w:type="dxa"/>
            <w:vAlign w:val="bottom"/>
          </w:tcPr>
          <w:p>
            <w:pPr>
              <w:spacing w:after="0"/>
              <w:rPr>
                <w:sz w:val="1"/>
                <w:szCs w:val="1"/>
                <w:color w:val="auto"/>
              </w:rPr>
            </w:pPr>
          </w:p>
        </w:tc>
      </w:tr>
      <w:tr>
        <w:trPr>
          <w:trHeight w:val="44"/>
        </w:trPr>
        <w:tc>
          <w:tcPr>
            <w:tcW w:w="2540" w:type="dxa"/>
            <w:vAlign w:val="bottom"/>
            <w:vMerge w:val="restart"/>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(6)</w:t>
            </w:r>
          </w:p>
        </w:tc>
        <w:tc>
          <w:tcPr>
            <w:tcW w:w="5220" w:type="dxa"/>
            <w:vAlign w:val="bottom"/>
          </w:tcPr>
          <w:p>
            <w:pPr>
              <w:ind w:left="40"/>
              <w:spacing w:after="0"/>
              <w:rPr>
                <w:sz w:val="20"/>
                <w:szCs w:val="20"/>
                <w:color w:val="auto"/>
              </w:rPr>
            </w:pPr>
            <w:r>
              <w:rPr>
                <w:rFonts w:ascii="Arial" w:cs="Arial" w:eastAsia="Arial" w:hAnsi="Arial"/>
                <w:sz w:val="22"/>
                <w:szCs w:val="22"/>
                <w:color w:val="auto"/>
              </w:rPr>
              <w:t>Shared Voting Power:</w:t>
            </w:r>
          </w:p>
        </w:tc>
        <w:tc>
          <w:tcPr>
            <w:tcW w:w="2740" w:type="dxa"/>
            <w:vAlign w:val="bottom"/>
          </w:tcPr>
          <w:p>
            <w:pPr>
              <w:jc w:val="right"/>
              <w:ind w:right="112"/>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2540" w:type="dxa"/>
            <w:vAlign w:val="bottom"/>
            <w:vMerge w:val="continue"/>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22"/>
                <w:szCs w:val="22"/>
                <w:color w:val="auto"/>
              </w:rPr>
              <w:t>(7)</w:t>
            </w:r>
          </w:p>
        </w:tc>
        <w:tc>
          <w:tcPr>
            <w:tcW w:w="5220" w:type="dxa"/>
            <w:vAlign w:val="bottom"/>
          </w:tcPr>
          <w:p>
            <w:pPr>
              <w:ind w:left="40"/>
              <w:spacing w:after="0"/>
              <w:rPr>
                <w:sz w:val="20"/>
                <w:szCs w:val="20"/>
                <w:color w:val="auto"/>
              </w:rPr>
            </w:pPr>
            <w:r>
              <w:rPr>
                <w:rFonts w:ascii="Arial" w:cs="Arial" w:eastAsia="Arial" w:hAnsi="Arial"/>
                <w:sz w:val="22"/>
                <w:szCs w:val="22"/>
                <w:color w:val="auto"/>
              </w:rPr>
              <w:t>Sole Dispositive Power:</w:t>
            </w:r>
          </w:p>
        </w:tc>
        <w:tc>
          <w:tcPr>
            <w:tcW w:w="2740" w:type="dxa"/>
            <w:vAlign w:val="bottom"/>
          </w:tcPr>
          <w:p>
            <w:pPr>
              <w:jc w:val="right"/>
              <w:spacing w:after="0"/>
              <w:rPr>
                <w:sz w:val="20"/>
                <w:szCs w:val="20"/>
                <w:color w:val="auto"/>
              </w:rPr>
            </w:pPr>
            <w:r>
              <w:rPr>
                <w:rFonts w:ascii="Arial" w:cs="Arial" w:eastAsia="Arial" w:hAnsi="Arial"/>
                <w:sz w:val="22"/>
                <w:szCs w:val="22"/>
                <w:color w:val="auto"/>
              </w:rPr>
              <w:t>86,130*</w:t>
            </w:r>
          </w:p>
        </w:tc>
        <w:tc>
          <w:tcPr>
            <w:tcW w:w="0" w:type="dxa"/>
            <w:vAlign w:val="bottom"/>
          </w:tcPr>
          <w:p>
            <w:pPr>
              <w:spacing w:after="0"/>
              <w:rPr>
                <w:sz w:val="1"/>
                <w:szCs w:val="1"/>
                <w:color w:val="auto"/>
              </w:rPr>
            </w:pPr>
          </w:p>
        </w:tc>
      </w:tr>
      <w:tr>
        <w:trPr>
          <w:trHeight w:val="23"/>
        </w:trPr>
        <w:tc>
          <w:tcPr>
            <w:tcW w:w="25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540" w:type="dxa"/>
            <w:vAlign w:val="bottom"/>
            <w:vMerge w:val="continue"/>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(8)</w:t>
            </w:r>
          </w:p>
        </w:tc>
        <w:tc>
          <w:tcPr>
            <w:tcW w:w="5220" w:type="dxa"/>
            <w:vAlign w:val="bottom"/>
            <w:tcBorders>
              <w:bottom w:val="single" w:sz="8" w:color="auto"/>
            </w:tcBorders>
          </w:tcPr>
          <w:p>
            <w:pPr>
              <w:ind w:left="40"/>
              <w:spacing w:after="0" w:line="237" w:lineRule="exact"/>
              <w:rPr>
                <w:sz w:val="20"/>
                <w:szCs w:val="20"/>
                <w:color w:val="auto"/>
              </w:rPr>
            </w:pPr>
            <w:r>
              <w:rPr>
                <w:rFonts w:ascii="Arial" w:cs="Arial" w:eastAsia="Arial" w:hAnsi="Arial"/>
                <w:sz w:val="22"/>
                <w:szCs w:val="22"/>
                <w:color w:val="auto"/>
              </w:rPr>
              <w:t>Shared Dispositive Power:</w:t>
            </w:r>
          </w:p>
        </w:tc>
        <w:tc>
          <w:tcPr>
            <w:tcW w:w="2740" w:type="dxa"/>
            <w:vAlign w:val="bottom"/>
            <w:tcBorders>
              <w:bottom w:val="single" w:sz="8" w:color="auto"/>
            </w:tcBorders>
          </w:tcPr>
          <w:p>
            <w:pPr>
              <w:jc w:val="right"/>
              <w:ind w:right="112"/>
              <w:spacing w:after="0" w:line="237"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ind w:left="1020" w:right="5120" w:hanging="1012"/>
        <w:spacing w:after="0" w:line="353" w:lineRule="auto"/>
        <w:tabs>
          <w:tab w:leader="none" w:pos="311" w:val="left"/>
        </w:tabs>
        <w:numPr>
          <w:ilvl w:val="0"/>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86,130*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0"/>
          <w:szCs w:val="20"/>
          <w:color w:val="auto"/>
        </w:rPr>
      </w:pPr>
    </w:p>
    <w:p>
      <w:pPr>
        <w:spacing w:after="0"/>
        <w:tabs>
          <w:tab w:leader="none" w:pos="8540" w:val="left"/>
        </w:tabs>
        <w:rPr>
          <w:sz w:val="20"/>
          <w:szCs w:val="20"/>
          <w:color w:val="auto"/>
        </w:rPr>
      </w:pPr>
      <w:r>
        <w:rPr>
          <w:rFonts w:ascii="Arial" w:cs="Arial" w:eastAsia="Arial" w:hAnsi="Arial"/>
          <w:sz w:val="21"/>
          <w:szCs w:val="21"/>
          <w:color w:val="auto"/>
        </w:rPr>
        <w:t>(10) Check if the Aggregate Amount in Row (9) Excludes Certain Shares (See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1"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1.7%*</w:t>
      </w:r>
    </w:p>
    <w:p>
      <w:pPr>
        <w:spacing w:after="0" w:line="219" w:lineRule="exact"/>
        <w:rPr>
          <w:rFonts w:ascii="Arial" w:cs="Arial" w:eastAsia="Arial" w:hAnsi="Arial"/>
          <w:sz w:val="22"/>
          <w:szCs w:val="22"/>
          <w:color w:val="auto"/>
        </w:rPr>
      </w:pPr>
    </w:p>
    <w:p>
      <w:pPr>
        <w:ind w:left="420" w:hanging="412"/>
        <w:spacing w:after="0"/>
        <w:tabs>
          <w:tab w:leader="none" w:pos="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jc w:val="both"/>
        <w:ind w:firstLine="8"/>
        <w:spacing w:after="0" w:line="271" w:lineRule="auto"/>
        <w:tabs>
          <w:tab w:leader="none" w:pos="14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the information set forth in the Quarterly Report on Form 10-Q of Oil-Dri Corporation of America (the “Company”) filed with the Securities and Exchange Commission on December 8, 2016, there were 5,080,689 shares of the Company’s common stock, par value $0.10 (the “Common Stock”), outstanding as of October 31, 2016. As of December 31, 2016, Harvey SMidCap Fund, LP, a Delaware limited partnership (“SMidCap Fund”), held 36,987 shares of Common Stock and Harvey Master Fund, L.P., a Cayman Islands exempted limited partnership (“Master Fund”), held 49,143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86,130 shares of Common Stock, or 1.7% of the Common Stock deemed issued and outstanding as of December 31, 2016.</w:t>
      </w:r>
    </w:p>
    <w:p>
      <w:pPr>
        <w:sectPr>
          <w:pgSz w:w="11900" w:h="16838" w:orient="portrait"/>
          <w:cols w:equalWidth="0" w:num="1">
            <w:col w:w="11260"/>
          </w:cols>
          <w:pgMar w:left="240" w:top="609" w:right="399" w:bottom="1440" w:gutter="0" w:footer="0" w:header="0"/>
          <w:type w:val="continuous"/>
        </w:sectPr>
      </w:pPr>
    </w:p>
    <w:bookmarkStart w:id="2" w:name="page3"/>
    <w:bookmarkEnd w:id="2"/>
    <w:p>
      <w:pPr>
        <w:ind w:left="100"/>
        <w:spacing w:after="0"/>
        <w:rPr>
          <w:sz w:val="20"/>
          <w:szCs w:val="20"/>
          <w:color w:val="auto"/>
        </w:rPr>
      </w:pPr>
      <w:r>
        <w:rPr>
          <w:rFonts w:ascii="Arial" w:cs="Arial" w:eastAsia="Arial" w:hAnsi="Arial"/>
          <w:sz w:val="22"/>
          <w:szCs w:val="22"/>
          <w:b w:val="1"/>
          <w:bCs w:val="1"/>
          <w:color w:val="auto"/>
        </w:rPr>
        <w:t>Item 1(a). Name Of Issuer:</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Oil-Dri Corporation of America</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410 North Michigan Avenue, Suite 400, Chicago, Illinois 60611</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Harvey Partners, LLC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551 Fifth Avenue, 36th Floor, New York, NY 10176</w:t>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Harvey Partners, LLC is a Delaware limited liability company.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Common Stock, par value $0.10</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No.:</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677864100</w:t>
      </w:r>
    </w:p>
    <w:p>
      <w:pPr>
        <w:spacing w:after="0" w:line="200" w:lineRule="exact"/>
        <w:rPr>
          <w:sz w:val="20"/>
          <w:szCs w:val="20"/>
          <w:color w:val="auto"/>
        </w:rPr>
      </w:pPr>
    </w:p>
    <w:p>
      <w:pPr>
        <w:ind w:left="740" w:hanging="728"/>
        <w:spacing w:after="0" w:line="256" w:lineRule="auto"/>
        <w:rPr>
          <w:sz w:val="20"/>
          <w:szCs w:val="20"/>
          <w:color w:val="auto"/>
        </w:rPr>
      </w:pPr>
      <w:r>
        <w:rPr>
          <w:rFonts w:ascii="Arial" w:cs="Arial" w:eastAsia="Arial" w:hAnsi="Arial"/>
          <w:sz w:val="22"/>
          <w:szCs w:val="22"/>
          <w:b w:val="1"/>
          <w:bCs w:val="1"/>
          <w:color w:val="auto"/>
        </w:rPr>
        <w:t>Item 3. If This Statement Is Filed Pursuant to Section 240.13d-1(b) or 240.13d-2(b) or (c), check whether the Person Filing is 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220" w:type="dxa"/>
            <w:vAlign w:val="bottom"/>
          </w:tcPr>
          <w:p>
            <w:pPr>
              <w:ind w:left="820"/>
              <w:spacing w:after="0"/>
              <w:rPr>
                <w:sz w:val="20"/>
                <w:szCs w:val="20"/>
                <w:color w:val="auto"/>
              </w:rPr>
            </w:pPr>
            <w:r>
              <w:rPr>
                <w:rFonts w:ascii="Arial" w:cs="Arial" w:eastAsia="Arial" w:hAnsi="Arial"/>
                <w:sz w:val="22"/>
                <w:szCs w:val="22"/>
                <w:color w:val="auto"/>
              </w:rPr>
              <w:t>Not Applicable.</w:t>
            </w:r>
          </w:p>
        </w:tc>
        <w:tc>
          <w:tcPr>
            <w:tcW w:w="3760" w:type="dxa"/>
            <w:vAlign w:val="bottom"/>
          </w:tcPr>
          <w:p>
            <w:pPr>
              <w:spacing w:after="0"/>
              <w:rPr>
                <w:sz w:val="23"/>
                <w:szCs w:val="23"/>
                <w:color w:val="auto"/>
              </w:rPr>
            </w:pPr>
          </w:p>
        </w:tc>
      </w:tr>
      <w:tr>
        <w:trPr>
          <w:trHeight w:val="459"/>
        </w:trPr>
        <w:tc>
          <w:tcPr>
            <w:tcW w:w="7220" w:type="dxa"/>
            <w:vAlign w:val="bottom"/>
          </w:tcPr>
          <w:p>
            <w:pPr>
              <w:spacing w:after="0"/>
              <w:rPr>
                <w:sz w:val="20"/>
                <w:szCs w:val="20"/>
                <w:color w:val="auto"/>
              </w:rPr>
            </w:pPr>
            <w:r>
              <w:rPr>
                <w:rFonts w:ascii="Arial" w:cs="Arial" w:eastAsia="Arial" w:hAnsi="Arial"/>
                <w:sz w:val="22"/>
                <w:szCs w:val="22"/>
                <w:b w:val="1"/>
                <w:bCs w:val="1"/>
                <w:color w:val="auto"/>
              </w:rPr>
              <w:t>Item 4. Ownership:</w:t>
            </w:r>
          </w:p>
        </w:tc>
        <w:tc>
          <w:tcPr>
            <w:tcW w:w="3760" w:type="dxa"/>
            <w:vAlign w:val="bottom"/>
          </w:tcPr>
          <w:p>
            <w:pPr>
              <w:spacing w:after="0"/>
              <w:rPr>
                <w:sz w:val="24"/>
                <w:szCs w:val="24"/>
                <w:color w:val="auto"/>
              </w:rPr>
            </w:pPr>
          </w:p>
        </w:tc>
      </w:tr>
      <w:tr>
        <w:trPr>
          <w:trHeight w:val="351"/>
        </w:trPr>
        <w:tc>
          <w:tcPr>
            <w:tcW w:w="7220" w:type="dxa"/>
            <w:vAlign w:val="bottom"/>
          </w:tcPr>
          <w:p>
            <w:pPr>
              <w:ind w:left="1260"/>
              <w:spacing w:after="0"/>
              <w:rPr>
                <w:sz w:val="20"/>
                <w:szCs w:val="20"/>
                <w:color w:val="auto"/>
              </w:rPr>
            </w:pPr>
            <w:r>
              <w:rPr>
                <w:rFonts w:ascii="Arial" w:cs="Arial" w:eastAsia="Arial" w:hAnsi="Arial"/>
                <w:sz w:val="22"/>
                <w:szCs w:val="22"/>
                <w:color w:val="auto"/>
              </w:rPr>
              <w:t>(a) Amount Beneficially Owned:</w:t>
            </w:r>
          </w:p>
        </w:tc>
        <w:tc>
          <w:tcPr>
            <w:tcW w:w="3760" w:type="dxa"/>
            <w:vAlign w:val="bottom"/>
          </w:tcPr>
          <w:p>
            <w:pPr>
              <w:jc w:val="right"/>
              <w:spacing w:after="0"/>
              <w:rPr>
                <w:sz w:val="20"/>
                <w:szCs w:val="20"/>
                <w:color w:val="auto"/>
              </w:rPr>
            </w:pPr>
            <w:r>
              <w:rPr>
                <w:rFonts w:ascii="Arial" w:cs="Arial" w:eastAsia="Arial" w:hAnsi="Arial"/>
                <w:sz w:val="22"/>
                <w:szCs w:val="22"/>
                <w:color w:val="auto"/>
              </w:rPr>
              <w:t>86,130*</w:t>
            </w:r>
          </w:p>
        </w:tc>
      </w:tr>
      <w:tr>
        <w:trPr>
          <w:trHeight w:val="555"/>
        </w:trPr>
        <w:tc>
          <w:tcPr>
            <w:tcW w:w="7220" w:type="dxa"/>
            <w:vAlign w:val="bottom"/>
          </w:tcPr>
          <w:p>
            <w:pPr>
              <w:ind w:left="1260"/>
              <w:spacing w:after="0"/>
              <w:rPr>
                <w:sz w:val="20"/>
                <w:szCs w:val="20"/>
                <w:color w:val="auto"/>
              </w:rPr>
            </w:pPr>
            <w:r>
              <w:rPr>
                <w:rFonts w:ascii="Arial" w:cs="Arial" w:eastAsia="Arial" w:hAnsi="Arial"/>
                <w:sz w:val="22"/>
                <w:szCs w:val="22"/>
                <w:color w:val="auto"/>
              </w:rPr>
              <w:t>(b) Percent of Class:</w:t>
            </w:r>
          </w:p>
        </w:tc>
        <w:tc>
          <w:tcPr>
            <w:tcW w:w="3760" w:type="dxa"/>
            <w:vAlign w:val="bottom"/>
          </w:tcPr>
          <w:p>
            <w:pPr>
              <w:jc w:val="right"/>
              <w:spacing w:after="0"/>
              <w:rPr>
                <w:sz w:val="20"/>
                <w:szCs w:val="20"/>
                <w:color w:val="auto"/>
              </w:rPr>
            </w:pPr>
            <w:r>
              <w:rPr>
                <w:rFonts w:ascii="Arial" w:cs="Arial" w:eastAsia="Arial" w:hAnsi="Arial"/>
                <w:sz w:val="22"/>
                <w:szCs w:val="22"/>
                <w:color w:val="auto"/>
              </w:rPr>
              <w:t>1.7%</w:t>
            </w:r>
            <w:r>
              <w:rPr>
                <w:rFonts w:ascii="Arial" w:cs="Arial" w:eastAsia="Arial" w:hAnsi="Arial"/>
                <w:sz w:val="36"/>
                <w:szCs w:val="36"/>
                <w:color w:val="auto"/>
                <w:vertAlign w:val="superscript"/>
              </w:rPr>
              <w:t>*</w:t>
            </w:r>
          </w:p>
        </w:tc>
      </w:tr>
    </w:tbl>
    <w:p>
      <w:pPr>
        <w:sectPr>
          <w:pgSz w:w="11900" w:h="16838" w:orient="portrait"/>
          <w:cols w:equalWidth="0" w:num="1">
            <w:col w:w="11300"/>
          </w:cols>
          <w:pgMar w:left="240" w:top="949" w:right="359" w:bottom="1440" w:gutter="0" w:footer="0" w:header="0"/>
        </w:sectPr>
      </w:pPr>
    </w:p>
    <w:bookmarkStart w:id="3" w:name="page4"/>
    <w:bookmarkEnd w:id="3"/>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275"/>
        </w:trPr>
        <w:tc>
          <w:tcPr>
            <w:tcW w:w="7500" w:type="dxa"/>
            <w:vAlign w:val="bottom"/>
            <w:gridSpan w:val="2"/>
          </w:tcPr>
          <w:p>
            <w:pPr>
              <w:spacing w:after="0"/>
              <w:rPr>
                <w:sz w:val="20"/>
                <w:szCs w:val="20"/>
                <w:color w:val="auto"/>
              </w:rPr>
            </w:pPr>
            <w:r>
              <w:rPr>
                <w:rFonts w:ascii="Arial" w:cs="Arial" w:eastAsia="Arial" w:hAnsi="Arial"/>
                <w:sz w:val="22"/>
                <w:szCs w:val="22"/>
                <w:color w:val="auto"/>
              </w:rPr>
              <w:t>(c) Number of Shares as to which such person has:</w:t>
            </w:r>
          </w:p>
        </w:tc>
        <w:tc>
          <w:tcPr>
            <w:tcW w:w="2020" w:type="dxa"/>
            <w:vAlign w:val="bottom"/>
          </w:tcPr>
          <w:p>
            <w:pPr>
              <w:spacing w:after="0"/>
              <w:rPr>
                <w:sz w:val="23"/>
                <w:szCs w:val="23"/>
                <w:color w:val="auto"/>
              </w:rPr>
            </w:pPr>
          </w:p>
        </w:tc>
      </w:tr>
      <w:tr>
        <w:trPr>
          <w:trHeight w:val="351"/>
        </w:trPr>
        <w:tc>
          <w:tcPr>
            <w:tcW w:w="7500" w:type="dxa"/>
            <w:vAlign w:val="bottom"/>
            <w:gridSpan w:val="2"/>
          </w:tcPr>
          <w:p>
            <w:pPr>
              <w:ind w:left="1040"/>
              <w:spacing w:after="0"/>
              <w:rPr>
                <w:sz w:val="20"/>
                <w:szCs w:val="20"/>
                <w:color w:val="auto"/>
              </w:rPr>
            </w:pPr>
            <w:r>
              <w:rPr>
                <w:rFonts w:ascii="Arial" w:cs="Arial" w:eastAsia="Arial" w:hAnsi="Arial"/>
                <w:sz w:val="22"/>
                <w:szCs w:val="22"/>
                <w:color w:val="auto"/>
              </w:rPr>
              <w:t>(i) Sole power to vote or to direct the vote:</w:t>
            </w:r>
          </w:p>
        </w:tc>
        <w:tc>
          <w:tcPr>
            <w:tcW w:w="2020" w:type="dxa"/>
            <w:vAlign w:val="bottom"/>
          </w:tcPr>
          <w:p>
            <w:pPr>
              <w:jc w:val="right"/>
              <w:spacing w:after="0"/>
              <w:rPr>
                <w:sz w:val="20"/>
                <w:szCs w:val="20"/>
                <w:color w:val="auto"/>
              </w:rPr>
            </w:pPr>
            <w:r>
              <w:rPr>
                <w:rFonts w:ascii="Arial" w:cs="Arial" w:eastAsia="Arial" w:hAnsi="Arial"/>
                <w:sz w:val="22"/>
                <w:szCs w:val="22"/>
                <w:color w:val="auto"/>
              </w:rPr>
              <w:t>86,130*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(ii)</w:t>
            </w:r>
          </w:p>
        </w:tc>
        <w:tc>
          <w:tcPr>
            <w:tcW w:w="6120" w:type="dxa"/>
            <w:vAlign w:val="bottom"/>
          </w:tcPr>
          <w:p>
            <w:pPr>
              <w:ind w:left="40"/>
              <w:spacing w:after="0"/>
              <w:rPr>
                <w:sz w:val="20"/>
                <w:szCs w:val="20"/>
                <w:color w:val="auto"/>
              </w:rPr>
            </w:pPr>
            <w:r>
              <w:rPr>
                <w:rFonts w:ascii="Arial" w:cs="Arial" w:eastAsia="Arial" w:hAnsi="Arial"/>
                <w:sz w:val="22"/>
                <w:szCs w:val="22"/>
                <w:color w:val="auto"/>
              </w:rPr>
              <w:t>Shared power to vote or to direct the vote:</w:t>
            </w:r>
          </w:p>
        </w:tc>
        <w:tc>
          <w:tcPr>
            <w:tcW w:w="2020" w:type="dxa"/>
            <w:vAlign w:val="bottom"/>
          </w:tcPr>
          <w:p>
            <w:pPr>
              <w:jc w:val="right"/>
              <w:ind w:right="12"/>
              <w:spacing w:after="0"/>
              <w:rPr>
                <w:sz w:val="20"/>
                <w:szCs w:val="20"/>
                <w:color w:val="auto"/>
              </w:rPr>
            </w:pPr>
            <w:r>
              <w:rPr>
                <w:rFonts w:ascii="Arial" w:cs="Arial" w:eastAsia="Arial" w:hAnsi="Arial"/>
                <w:sz w:val="22"/>
                <w:szCs w:val="22"/>
                <w:color w:val="auto"/>
              </w:rPr>
              <w:t>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(iii)</w:t>
            </w:r>
          </w:p>
        </w:tc>
        <w:tc>
          <w:tcPr>
            <w:tcW w:w="6120" w:type="dxa"/>
            <w:vAlign w:val="bottom"/>
          </w:tcPr>
          <w:p>
            <w:pPr>
              <w:ind w:left="100"/>
              <w:spacing w:after="0"/>
              <w:rPr>
                <w:sz w:val="20"/>
                <w:szCs w:val="20"/>
                <w:color w:val="auto"/>
              </w:rPr>
            </w:pPr>
            <w:r>
              <w:rPr>
                <w:rFonts w:ascii="Arial" w:cs="Arial" w:eastAsia="Arial" w:hAnsi="Arial"/>
                <w:sz w:val="22"/>
                <w:szCs w:val="22"/>
                <w:color w:val="auto"/>
              </w:rPr>
              <w:t>Sole power to dispose or to direct the disposition of:</w:t>
            </w:r>
          </w:p>
        </w:tc>
        <w:tc>
          <w:tcPr>
            <w:tcW w:w="2020" w:type="dxa"/>
            <w:vAlign w:val="bottom"/>
          </w:tcPr>
          <w:p>
            <w:pPr>
              <w:jc w:val="right"/>
              <w:spacing w:after="0"/>
              <w:rPr>
                <w:sz w:val="20"/>
                <w:szCs w:val="20"/>
                <w:color w:val="auto"/>
              </w:rPr>
            </w:pPr>
            <w:r>
              <w:rPr>
                <w:rFonts w:ascii="Arial" w:cs="Arial" w:eastAsia="Arial" w:hAnsi="Arial"/>
                <w:sz w:val="22"/>
                <w:szCs w:val="22"/>
                <w:color w:val="auto"/>
              </w:rPr>
              <w:t>86,130*</w:t>
            </w:r>
          </w:p>
        </w:tc>
      </w:tr>
      <w:tr>
        <w:trPr>
          <w:trHeight w:val="351"/>
        </w:trPr>
        <w:tc>
          <w:tcPr>
            <w:tcW w:w="1380" w:type="dxa"/>
            <w:vAlign w:val="bottom"/>
          </w:tcPr>
          <w:p>
            <w:pPr>
              <w:ind w:left="1040"/>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020" w:type="dxa"/>
            <w:vAlign w:val="bottom"/>
          </w:tcPr>
          <w:p>
            <w:pPr>
              <w:jc w:val="right"/>
              <w:ind w:right="12"/>
              <w:spacing w:after="0"/>
              <w:rPr>
                <w:sz w:val="20"/>
                <w:szCs w:val="20"/>
                <w:color w:val="auto"/>
              </w:rPr>
            </w:pPr>
            <w:r>
              <w:rPr>
                <w:rFonts w:ascii="Arial" w:cs="Arial" w:eastAsia="Arial" w:hAnsi="Arial"/>
                <w:sz w:val="22"/>
                <w:szCs w:val="22"/>
                <w:color w:val="auto"/>
              </w:rPr>
              <w:t>0</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w:t>
      </w:r>
    </w:p>
    <w:p>
      <w:pPr>
        <w:spacing w:after="0" w:line="11" w:lineRule="exact"/>
        <w:rPr>
          <w:sz w:val="20"/>
          <w:szCs w:val="20"/>
          <w:color w:val="auto"/>
        </w:rPr>
      </w:pPr>
    </w:p>
    <w:p>
      <w:pPr>
        <w:jc w:val="both"/>
        <w:ind w:right="160" w:firstLine="8"/>
        <w:spacing w:after="0" w:line="269" w:lineRule="auto"/>
        <w:tabs>
          <w:tab w:leader="none" w:pos="14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information set forth in the Quarterly Report on Form 10-Q of Oil-Dri Corporation of America (the “Company”) filed with the Securities and Exchange Commission on December 8, 2016, there were 5,080,689 shares of the Company’s common stock, par value $0.10 (the “Common Stock”), outstanding as of October 31, 2016. As of December 31, 2016, Harvey SMidCap Fund, LP, a Delaware limited partnership (“SMidCap Fund”), held 36,987 shares of Common Stock and Harvey Master Fund, L.P., a Cayman Islands exempted limited partnership (“Master Fund”), held 49,143 shares of Common Stock. Harvey Partners, LLC, a Delaware limited liability company (“Harvey Partners”), is the investment manager of SMidCap Fund and Master Fund, and as such, possesses the sole power to vote and the sole power to direct the disposition of all securities of the Company held by SMidCap Fund and Master Fund. James A. Schwartz and Jeffrey C. Moskowitz, the Managing Members of Harvey Partners, share voting and investment power with respect to all securities beneficially owned by Harvey Partners. As a result of the foregoing, for purposes of Reg. Section 240.13d-3, Harvey Partners is deemed to beneficially own 86,130 shares of Common Stock, or 1.7% of the Common Stock deemed issued and outstanding as of December 31, 2016.</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Ownership of Five Percent or Less of a Class</w:t>
      </w:r>
    </w:p>
    <w:p>
      <w:pPr>
        <w:spacing w:after="0" w:line="212" w:lineRule="exact"/>
        <w:rPr>
          <w:sz w:val="20"/>
          <w:szCs w:val="20"/>
          <w:color w:val="auto"/>
        </w:rPr>
      </w:pPr>
    </w:p>
    <w:p>
      <w:pPr>
        <w:ind w:left="82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owner of more than five percent of the class of securities, check the following: [ X ]</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ind w:left="740" w:right="240" w:hanging="728"/>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 or Control Person</w:t>
      </w:r>
    </w:p>
    <w:p>
      <w:pPr>
        <w:spacing w:after="0" w:line="16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8. Identification and Classification of Members of the Group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 Notice of Dissolution of Group</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420"/>
          </w:cols>
          <w:pgMar w:left="240" w:top="7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jc w:val="both"/>
        <w:ind w:firstLine="712"/>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SIGNATURE</w:t>
      </w:r>
    </w:p>
    <w:p>
      <w:pPr>
        <w:spacing w:after="0" w:line="2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February 14, 2017</w:t>
      </w:r>
    </w:p>
    <w:p>
      <w:pPr>
        <w:spacing w:after="0" w:line="227" w:lineRule="exact"/>
        <w:rPr>
          <w:sz w:val="20"/>
          <w:szCs w:val="20"/>
          <w:color w:val="auto"/>
        </w:rPr>
      </w:pPr>
    </w:p>
    <w:p>
      <w:pPr>
        <w:ind w:left="5260"/>
        <w:spacing w:after="0"/>
        <w:rPr>
          <w:sz w:val="20"/>
          <w:szCs w:val="20"/>
          <w:color w:val="auto"/>
        </w:rPr>
      </w:pPr>
      <w:r>
        <w:rPr>
          <w:rFonts w:ascii="Arial" w:cs="Arial" w:eastAsia="Arial" w:hAnsi="Arial"/>
          <w:sz w:val="22"/>
          <w:szCs w:val="22"/>
          <w:b w:val="1"/>
          <w:bCs w:val="1"/>
          <w:color w:val="auto"/>
        </w:rPr>
        <w:t>HARVEY PARTNERS, LLC</w:t>
      </w:r>
    </w:p>
    <w:p>
      <w:pPr>
        <w:spacing w:after="0" w:line="200" w:lineRule="exact"/>
        <w:rPr>
          <w:sz w:val="20"/>
          <w:szCs w:val="20"/>
          <w:color w:val="auto"/>
        </w:rPr>
      </w:pPr>
    </w:p>
    <w:p>
      <w:pPr>
        <w:spacing w:after="0" w:line="282" w:lineRule="exact"/>
        <w:rPr>
          <w:sz w:val="20"/>
          <w:szCs w:val="20"/>
          <w:color w:val="auto"/>
        </w:rPr>
      </w:pPr>
    </w:p>
    <w:p>
      <w:pPr>
        <w:ind w:left="5260"/>
        <w:spacing w:after="0"/>
        <w:tabs>
          <w:tab w:leader="none" w:pos="5820" w:val="left"/>
        </w:tabs>
        <w:rPr>
          <w:sz w:val="20"/>
          <w:szCs w:val="20"/>
          <w:color w:val="auto"/>
        </w:rPr>
      </w:pPr>
      <w:r>
        <w:rPr>
          <w:rFonts w:ascii="Arial" w:cs="Arial" w:eastAsia="Arial" w:hAnsi="Arial"/>
          <w:sz w:val="22"/>
          <w:szCs w:val="22"/>
          <w:color w:val="auto"/>
        </w:rPr>
        <w:t>By:</w:t>
        <w:tab/>
        <w:t>/s/ Jeffrey C. Moskowitz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7620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5840"/>
        <w:spacing w:after="0"/>
        <w:rPr>
          <w:sz w:val="20"/>
          <w:szCs w:val="20"/>
          <w:color w:val="auto"/>
        </w:rPr>
      </w:pPr>
      <w:r>
        <w:rPr>
          <w:rFonts w:ascii="Arial" w:cs="Arial" w:eastAsia="Arial" w:hAnsi="Arial"/>
          <w:sz w:val="22"/>
          <w:szCs w:val="22"/>
          <w:color w:val="auto"/>
        </w:rPr>
        <w:t>Name: Jeffrey C. Moskowitz</w:t>
      </w:r>
    </w:p>
    <w:p>
      <w:pPr>
        <w:ind w:left="5840"/>
        <w:spacing w:after="0"/>
        <w:rPr>
          <w:sz w:val="20"/>
          <w:szCs w:val="20"/>
          <w:color w:val="auto"/>
        </w:rPr>
      </w:pPr>
      <w:r>
        <w:rPr>
          <w:rFonts w:ascii="Arial" w:cs="Arial" w:eastAsia="Arial" w:hAnsi="Arial"/>
          <w:sz w:val="22"/>
          <w:szCs w:val="22"/>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Attention: Intentional misstatements or omissions of fact constitute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criminal violations (See 18 U.S.C. 1001).</w:t>
      </w:r>
    </w:p>
    <w:sectPr>
      <w:pgSz w:w="11900" w:h="16838" w:orient="portrait"/>
      <w:cols w:equalWidth="0" w:num="1">
        <w:col w:w="11420"/>
      </w:cols>
      <w:pgMar w:left="240" w:top="11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decimal"/>
      <w:start w:val="1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2020-01-16T07:30:32Z</dcterms:created>
  <dcterms:modified xsi:type="dcterms:W3CDTF">2020-01-16T07:30:32Z</dcterms:modified>
</cp:coreProperties>
</file>