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380"/>
              <w:spacing w:after="0"/>
              <w:rPr>
                <w:sz w:val="20"/>
                <w:szCs w:val="20"/>
                <w:color w:val="auto"/>
              </w:rPr>
            </w:pPr>
            <w:r>
              <w:rPr>
                <w:rFonts w:ascii="Arial" w:cs="Arial" w:eastAsia="Arial" w:hAnsi="Arial"/>
                <w:sz w:val="18"/>
                <w:szCs w:val="18"/>
                <w:color w:val="auto"/>
                <w:w w:val="84"/>
              </w:rPr>
              <w:t>June 8, 2023</w:t>
            </w:r>
          </w:p>
        </w:tc>
      </w:tr>
      <w:tr>
        <w:trPr>
          <w:trHeight w:val="539"/>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11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7"/>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tcPr>
          <w:p>
            <w:pPr>
              <w:jc w:val="center"/>
              <w:ind w:right="110"/>
              <w:spacing w:after="0"/>
              <w:rPr>
                <w:sz w:val="20"/>
                <w:szCs w:val="20"/>
                <w:color w:val="auto"/>
              </w:rPr>
            </w:pPr>
            <w:r>
              <w:rPr>
                <w:rFonts w:ascii="Arial" w:cs="Arial" w:eastAsia="Arial" w:hAnsi="Arial"/>
                <w:sz w:val="18"/>
                <w:szCs w:val="18"/>
                <w:color w:val="auto"/>
                <w:w w:val="93"/>
              </w:rPr>
              <w:t>Commission File Number</w:t>
            </w:r>
          </w:p>
        </w:tc>
        <w:tc>
          <w:tcPr>
            <w:tcW w:w="3280" w:type="dxa"/>
            <w:vAlign w:val="bottom"/>
          </w:tcPr>
          <w:p>
            <w:pPr>
              <w:ind w:left="30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4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40"/>
            <w:col w:w="4840"/>
          </w:cols>
          <w:pgMar w:left="320" w:top="999" w:right="339" w:bottom="1440" w:gutter="0" w:footer="0" w:header="0"/>
          <w:type w:val="continuous"/>
        </w:sectPr>
      </w:pPr>
    </w:p>
    <w:p>
      <w:pPr>
        <w:spacing w:after="0" w:line="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9" w:lineRule="exact"/>
        <w:rPr>
          <w:sz w:val="24"/>
          <w:szCs w:val="24"/>
          <w:color w:val="auto"/>
        </w:rPr>
      </w:pPr>
    </w:p>
    <w:p>
      <w:pPr>
        <w:ind w:left="800" w:hanging="548"/>
        <w:spacing w:after="0"/>
        <w:tabs>
          <w:tab w:leader="none" w:pos="8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800" w:hanging="564"/>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00" w:hanging="564"/>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800" w:hanging="564"/>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59690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93980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ind w:left="260"/>
        <w:spacing w:after="0"/>
        <w:tabs>
          <w:tab w:leader="none" w:pos="130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8, 2023, Oil-Dri Corporation of America (the “Registrant”) issued a press release announcing its results of operations for its third quarter ended April 30, 2023.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32" w:lineRule="exact"/>
        <w:rPr>
          <w:sz w:val="20"/>
          <w:szCs w:val="20"/>
          <w:color w:val="auto"/>
        </w:rPr>
      </w:pPr>
    </w:p>
    <w:p>
      <w:pPr>
        <w:ind w:left="260"/>
        <w:spacing w:after="0"/>
        <w:tabs>
          <w:tab w:leader="none" w:pos="130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At its regular meeting on June 7, 2023, the Board declared quarterly cash dividends of $0.29 per share of the Company’s Common Stock and $0.218 per share of the Company’s Class B Stock. The dividends will be payable on August 25, 2023, to stockholders of record at the close of business on August 11, 2023. A copy of the Company’s press release announcing these matters is attached as Exhibit 99.1 and the information contained therein is incorporated herein by reference.</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information in this Item 8.01 and Exhibit 99.2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39" w:lineRule="exact"/>
        <w:rPr>
          <w:sz w:val="20"/>
          <w:szCs w:val="20"/>
          <w:color w:val="auto"/>
        </w:rPr>
      </w:pPr>
    </w:p>
    <w:p>
      <w:pPr>
        <w:ind w:left="260"/>
        <w:spacing w:after="0"/>
        <w:tabs>
          <w:tab w:leader="none" w:pos="130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Exhibit</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5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3"/>
          </w:tcPr>
          <w:p>
            <w:pPr>
              <w:ind w:left="3900"/>
              <w:spacing w:after="0"/>
              <w:rPr>
                <w:sz w:val="20"/>
                <w:szCs w:val="20"/>
                <w:color w:val="auto"/>
              </w:rPr>
            </w:pPr>
            <w:r>
              <w:rPr>
                <w:rFonts w:ascii="Arial" w:cs="Arial" w:eastAsia="Arial" w:hAnsi="Arial"/>
                <w:sz w:val="18"/>
                <w:szCs w:val="18"/>
                <w:color w:val="auto"/>
              </w:rPr>
              <w:t>Description of Exhibits</w:t>
            </w:r>
          </w:p>
        </w:tc>
        <w:tc>
          <w:tcPr>
            <w:tcW w:w="20" w:type="dxa"/>
            <w:vAlign w:val="bottom"/>
          </w:tcPr>
          <w:p>
            <w:pPr>
              <w:spacing w:after="0"/>
              <w:rPr>
                <w:sz w:val="21"/>
                <w:szCs w:val="21"/>
                <w:color w:val="auto"/>
              </w:rPr>
            </w:pPr>
          </w:p>
        </w:tc>
      </w:tr>
      <w:tr>
        <w:trPr>
          <w:trHeight w:val="412"/>
        </w:trPr>
        <w:tc>
          <w:tcPr>
            <w:tcW w:w="118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Earnings Press Release of the Registrant dated June 8, 2023</w:t>
            </w:r>
          </w:p>
        </w:tc>
        <w:tc>
          <w:tcPr>
            <w:tcW w:w="5200" w:type="dxa"/>
            <w:vAlign w:val="bottom"/>
            <w:gridSpan w:val="3"/>
          </w:tcPr>
          <w:p>
            <w:pPr>
              <w:spacing w:after="0"/>
              <w:rPr>
                <w:sz w:val="24"/>
                <w:szCs w:val="24"/>
                <w:color w:val="auto"/>
              </w:rPr>
            </w:pPr>
          </w:p>
        </w:tc>
      </w:tr>
      <w:tr>
        <w:trPr>
          <w:trHeight w:val="223"/>
        </w:trPr>
        <w:tc>
          <w:tcPr>
            <w:tcW w:w="1180" w:type="dxa"/>
            <w:vAlign w:val="bottom"/>
          </w:tcPr>
          <w:p>
            <w:pPr>
              <w:jc w:val="right"/>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20" w:type="dxa"/>
            <w:vAlign w:val="bottom"/>
            <w:gridSpan w:val="4"/>
          </w:tcPr>
          <w:p>
            <w:pPr>
              <w:spacing w:after="0"/>
              <w:rPr>
                <w:sz w:val="20"/>
                <w:szCs w:val="20"/>
                <w:color w:val="auto"/>
              </w:rPr>
            </w:pPr>
            <w:r>
              <w:rPr>
                <w:rFonts w:ascii="Arial" w:cs="Arial" w:eastAsia="Arial" w:hAnsi="Arial"/>
                <w:sz w:val="18"/>
                <w:szCs w:val="18"/>
                <w:color w:val="0000FF"/>
              </w:rPr>
              <w:t>Dividends Press Release of the Registrant dated June 8, 2023</w:t>
            </w:r>
          </w:p>
        </w:tc>
      </w:tr>
      <w:tr>
        <w:trPr>
          <w:trHeight w:val="1243"/>
        </w:trPr>
        <w:tc>
          <w:tcPr>
            <w:tcW w:w="1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3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2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p>
      <w:pPr>
        <w:ind w:left="54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0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Laura G. Scheland</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Vice President, Strategic Partnerships and General Counsel &amp;</w:t>
      </w:r>
    </w:p>
    <w:p>
      <w:pPr>
        <w:ind w:left="6040"/>
        <w:spacing w:after="0"/>
        <w:rPr>
          <w:sz w:val="20"/>
          <w:szCs w:val="20"/>
          <w:color w:val="auto"/>
        </w:rPr>
      </w:pPr>
      <w:r>
        <w:rPr>
          <w:rFonts w:ascii="Arial" w:cs="Arial" w:eastAsia="Arial" w:hAnsi="Arial"/>
          <w:sz w:val="18"/>
          <w:szCs w:val="18"/>
          <w:color w:val="auto"/>
        </w:rPr>
        <w:t>Secretary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2023</w:t>
      </w:r>
    </w:p>
    <w:p>
      <w:pPr>
        <w:sectPr>
          <w:pgSz w:w="11900" w:h="16838" w:orient="portrait"/>
          <w:cols w:equalWidth="0" w:num="1">
            <w:col w:w="10860"/>
          </w:cols>
          <w:pgMar w:left="320" w:top="891"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Increases Dividends for 20</w:t>
      </w:r>
      <w:r>
        <w:rPr>
          <w:rFonts w:ascii="Arial" w:cs="Arial" w:eastAsia="Arial" w:hAnsi="Arial"/>
          <w:sz w:val="11"/>
          <w:szCs w:val="11"/>
          <w:b w:val="1"/>
          <w:bCs w:val="1"/>
          <w:color w:val="auto"/>
        </w:rPr>
        <w:t>th</w:t>
      </w:r>
      <w:r>
        <w:rPr>
          <w:rFonts w:ascii="Arial" w:cs="Arial" w:eastAsia="Arial" w:hAnsi="Arial"/>
          <w:sz w:val="22"/>
          <w:szCs w:val="22"/>
          <w:b w:val="1"/>
          <w:bCs w:val="1"/>
          <w:color w:val="auto"/>
        </w:rPr>
        <w:t xml:space="preserve"> Consecutive Year</w:t>
      </w:r>
    </w:p>
    <w:p>
      <w:pPr>
        <w:spacing w:after="0" w:line="239"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CHICAGO—(June 8, 2023)— The Board of Directors of Oil-Dri Corporation of America (NYSE: ODC) yesterday declared quarterly cash dividends of $0.29 per share of the Company’s Common Stock and $0.218 per share of the Company’s Class B Stock, an approximate 4% increase for both classes of stock.</w:t>
      </w:r>
    </w:p>
    <w:p>
      <w:pPr>
        <w:spacing w:after="0" w:line="21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dividends declared will be payable on August 25, 2023 to stockholders of record at the close of business on August 11, 2023. The Company has paid cash dividends continuously since 1974. This declaration marks the twentieth consecutive year Oil-Dri has increased dividends.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Based on the increased declared dividend and today’s closing price of $40.55, the dividend yield on Common Stock is 2.9%.</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The Company will host an earnings discussion for its third quarter of fiscal 2023 via webcast on Friday, June 9, 2023.</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Participation details are posted on the Events page of the Company’s website.</w:t>
      </w:r>
    </w:p>
    <w:p>
      <w:pPr>
        <w:spacing w:after="0" w:line="215" w:lineRule="exact"/>
        <w:rPr>
          <w:sz w:val="20"/>
          <w:szCs w:val="20"/>
          <w:color w:val="auto"/>
        </w:rPr>
      </w:pPr>
    </w:p>
    <w:p>
      <w:pPr>
        <w:ind w:right="500"/>
        <w:spacing w:after="0" w:line="297" w:lineRule="auto"/>
        <w:rPr>
          <w:sz w:val="20"/>
          <w:szCs w:val="20"/>
          <w:color w:val="auto"/>
        </w:rPr>
      </w:pPr>
      <w:r>
        <w:rPr>
          <w:rFonts w:ascii="Arial" w:cs="Arial" w:eastAsia="Arial" w:hAnsi="Arial"/>
          <w:sz w:val="19"/>
          <w:szCs w:val="19"/>
          <w:color w:val="auto"/>
        </w:rPr>
        <w:t>The Company expects to release earnings for its fourth quarter of fiscal 2023 after the close of the U.S. stock market on Thursday, October 12, 2023 and to host an earnings discussion via webcast on Friday, October 13, 2023. Approximately one week prior to the call, participation details will be posted on the Events page of the Company’s website.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oildri.com.</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Category: Dividends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25" w:lineRule="auto"/>
        <w:rPr>
          <w:sz w:val="20"/>
          <w:szCs w:val="20"/>
          <w:color w:val="auto"/>
        </w:rPr>
      </w:pPr>
      <w:r>
        <w:rPr>
          <w:rFonts w:ascii="Arial" w:cs="Arial" w:eastAsia="Arial" w:hAnsi="Arial"/>
          <w:sz w:val="22"/>
          <w:szCs w:val="22"/>
          <w:color w:val="auto"/>
        </w:rPr>
        <w:t>Leslie A. Garber</w:t>
      </w:r>
    </w:p>
    <w:p>
      <w:pPr>
        <w:spacing w:after="0" w:line="230" w:lineRule="auto"/>
        <w:rPr>
          <w:sz w:val="20"/>
          <w:szCs w:val="20"/>
          <w:color w:val="auto"/>
        </w:rPr>
      </w:pPr>
      <w:r>
        <w:rPr>
          <w:rFonts w:ascii="Arial" w:cs="Arial" w:eastAsia="Arial" w:hAnsi="Arial"/>
          <w:sz w:val="22"/>
          <w:szCs w:val="22"/>
          <w:color w:val="auto"/>
        </w:rPr>
        <w:t>Manager of Investor Relations</w:t>
      </w:r>
    </w:p>
    <w:p>
      <w:pPr>
        <w:spacing w:after="0" w:line="231" w:lineRule="auto"/>
        <w:rPr>
          <w:sz w:val="20"/>
          <w:szCs w:val="20"/>
          <w:color w:val="auto"/>
        </w:rPr>
      </w:pPr>
      <w:r>
        <w:rPr>
          <w:rFonts w:ascii="Arial" w:cs="Arial" w:eastAsia="Arial" w:hAnsi="Arial"/>
          <w:sz w:val="22"/>
          <w:szCs w:val="22"/>
          <w:color w:val="auto"/>
        </w:rPr>
        <w:t>Oil-Dri Corporation of America</w:t>
      </w:r>
    </w:p>
    <w:p>
      <w:pPr>
        <w:spacing w:after="0"/>
        <w:rPr>
          <w:sz w:val="20"/>
          <w:szCs w:val="20"/>
          <w:color w:val="auto"/>
        </w:rPr>
      </w:pPr>
      <w:r>
        <w:rPr>
          <w:rFonts w:ascii="Arial" w:cs="Arial" w:eastAsia="Arial" w:hAnsi="Arial"/>
          <w:sz w:val="22"/>
          <w:szCs w:val="22"/>
          <w:color w:val="auto"/>
        </w:rPr>
        <w:t>InvestorRelations@oildri.com</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240"/>
          </w:cols>
          <w:pgMar w:left="320" w:top="9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305"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99060</wp:posOffset>
            </wp:positionV>
            <wp:extent cx="66008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0825"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Record Financial Results for the Third Quarter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Nine-Months of Fiscal Year 2023</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CHICAGO-(June 8, 2023) - Oil-Dri Corporation of America (NYSE: ODC), producer and marketer of sorbent mineral products, today announced results for its third quarter and first nine-months of fiscal year 2023.</w:t>
      </w:r>
    </w:p>
    <w:p>
      <w:pPr>
        <w:spacing w:after="0" w:line="83" w:lineRule="exact"/>
        <w:rPr>
          <w:sz w:val="20"/>
          <w:szCs w:val="20"/>
          <w:color w:val="auto"/>
        </w:rPr>
      </w:pPr>
    </w:p>
    <w:p>
      <w:pPr>
        <w:ind w:left="5840"/>
        <w:spacing w:after="0"/>
        <w:tabs>
          <w:tab w:leader="none" w:pos="8800" w:val="left"/>
        </w:tabs>
        <w:rPr>
          <w:sz w:val="20"/>
          <w:szCs w:val="20"/>
          <w:color w:val="auto"/>
        </w:rPr>
      </w:pPr>
      <w:r>
        <w:rPr>
          <w:rFonts w:ascii="Arial" w:cs="Arial" w:eastAsia="Arial" w:hAnsi="Arial"/>
          <w:sz w:val="18"/>
          <w:szCs w:val="18"/>
          <w:b w:val="1"/>
          <w:bCs w:val="1"/>
          <w:color w:val="auto"/>
        </w:rPr>
        <w:t>Third Quarter</w:t>
      </w:r>
      <w:r>
        <w:rPr>
          <w:sz w:val="20"/>
          <w:szCs w:val="20"/>
          <w:color w:val="auto"/>
        </w:rPr>
        <w:tab/>
      </w:r>
      <w:r>
        <w:rPr>
          <w:rFonts w:ascii="Arial" w:cs="Arial" w:eastAsia="Arial" w:hAnsi="Arial"/>
          <w:sz w:val="16"/>
          <w:szCs w:val="16"/>
          <w:b w:val="1"/>
          <w:bCs w:val="1"/>
          <w:color w:val="auto"/>
        </w:rPr>
        <w:t>Year to Date</w:t>
      </w:r>
    </w:p>
    <w:p>
      <w:pPr>
        <w:spacing w:after="0" w:line="36" w:lineRule="exact"/>
        <w:rPr>
          <w:sz w:val="20"/>
          <w:szCs w:val="20"/>
          <w:color w:val="auto"/>
        </w:rPr>
      </w:pPr>
    </w:p>
    <w:p>
      <w:pPr>
        <w:ind w:left="520"/>
        <w:spacing w:after="0"/>
        <w:tabs>
          <w:tab w:leader="none" w:pos="5920" w:val="left"/>
          <w:tab w:leader="none" w:pos="8820" w:val="left"/>
        </w:tabs>
        <w:rPr>
          <w:sz w:val="20"/>
          <w:szCs w:val="20"/>
          <w:color w:val="auto"/>
        </w:rPr>
      </w:pPr>
      <w:r>
        <w:rPr>
          <w:rFonts w:ascii="Arial" w:cs="Arial" w:eastAsia="Arial" w:hAnsi="Arial"/>
          <w:sz w:val="14"/>
          <w:szCs w:val="14"/>
          <w:color w:val="auto"/>
        </w:rPr>
        <w:t>(in thousands, except per share amounts)</w:t>
      </w:r>
      <w:r>
        <w:rPr>
          <w:sz w:val="20"/>
          <w:szCs w:val="20"/>
          <w:color w:val="auto"/>
        </w:rPr>
        <w:tab/>
      </w:r>
      <w:r>
        <w:rPr>
          <w:rFonts w:ascii="Arial" w:cs="Arial" w:eastAsia="Arial" w:hAnsi="Arial"/>
          <w:sz w:val="14"/>
          <w:szCs w:val="14"/>
          <w:i w:val="1"/>
          <w:iCs w:val="1"/>
          <w:color w:val="auto"/>
        </w:rPr>
        <w:t>Ended April 30,</w:t>
      </w:r>
      <w:r>
        <w:rPr>
          <w:sz w:val="20"/>
          <w:szCs w:val="20"/>
          <w:color w:val="auto"/>
        </w:rPr>
        <w:tab/>
      </w:r>
      <w:r>
        <w:rPr>
          <w:rFonts w:ascii="Arial" w:cs="Arial" w:eastAsia="Arial" w:hAnsi="Arial"/>
          <w:sz w:val="13"/>
          <w:szCs w:val="13"/>
          <w:i w:val="1"/>
          <w:iCs w:val="1"/>
          <w:color w:val="auto"/>
        </w:rPr>
        <w:t>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20955</wp:posOffset>
            </wp:positionV>
            <wp:extent cx="651510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5100" cy="14541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color w:val="FFFFFF"/>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8255" cy="882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265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23495</wp:posOffset>
            </wp:positionV>
            <wp:extent cx="8890" cy="882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2650"/>
                    </a:xfrm>
                    <a:prstGeom prst="rect">
                      <a:avLst/>
                    </a:prstGeom>
                    <a:noFill/>
                  </pic:spPr>
                </pic:pic>
              </a:graphicData>
            </a:graphic>
          </wp:anchor>
        </w:drawing>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Sales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Income (Loss) Attributable to Oil-Dri</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Net Income Attributable to Oil-Dri Excluding Nonrecurring Events</w:t>
      </w:r>
    </w:p>
    <w:p>
      <w:pPr>
        <w:ind w:left="520"/>
        <w:spacing w:after="0"/>
        <w:rPr>
          <w:sz w:val="20"/>
          <w:szCs w:val="20"/>
          <w:color w:val="auto"/>
        </w:rPr>
      </w:pPr>
      <w:r>
        <w:rPr>
          <w:rFonts w:ascii="Arial" w:cs="Arial" w:eastAsia="Arial" w:hAnsi="Arial"/>
          <w:sz w:val="14"/>
          <w:szCs w:val="14"/>
          <w:i w:val="1"/>
          <w:iCs w:val="1"/>
          <w:color w:val="auto"/>
        </w:rPr>
        <w:t>†</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Earnings per Common Diluted Share</w:t>
      </w:r>
    </w:p>
    <w:p>
      <w:pPr>
        <w:spacing w:after="0" w:line="32" w:lineRule="exact"/>
        <w:rPr>
          <w:sz w:val="20"/>
          <w:szCs w:val="20"/>
          <w:color w:val="auto"/>
        </w:rPr>
      </w:pPr>
    </w:p>
    <w:p>
      <w:pPr>
        <w:ind w:left="520" w:right="340"/>
        <w:spacing w:after="0"/>
        <w:rPr>
          <w:sz w:val="20"/>
          <w:szCs w:val="20"/>
          <w:color w:val="auto"/>
        </w:rPr>
      </w:pPr>
      <w:r>
        <w:rPr>
          <w:rFonts w:ascii="Arial" w:cs="Arial" w:eastAsia="Arial" w:hAnsi="Arial"/>
          <w:sz w:val="16"/>
          <w:szCs w:val="16"/>
          <w:color w:val="auto"/>
        </w:rPr>
        <w:t xml:space="preserve">Earnings per Common Diluted Share Excluding Nonrecurring Events </w:t>
      </w:r>
      <w:r>
        <w:rPr>
          <w:rFonts w:ascii="Arial" w:cs="Arial" w:eastAsia="Arial" w:hAnsi="Arial"/>
          <w:sz w:val="14"/>
          <w:szCs w:val="14"/>
          <w:i w:val="1"/>
          <w:iCs w:val="1"/>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jc w:val="right"/>
              <w:ind w:right="399"/>
              <w:spacing w:after="0"/>
              <w:rPr>
                <w:sz w:val="20"/>
                <w:szCs w:val="20"/>
                <w:color w:val="auto"/>
              </w:rPr>
            </w:pPr>
            <w:r>
              <w:rPr>
                <w:rFonts w:ascii="Arial" w:cs="Arial" w:eastAsia="Arial" w:hAnsi="Arial"/>
                <w:sz w:val="16"/>
                <w:szCs w:val="16"/>
                <w:b w:val="1"/>
                <w:bCs w:val="1"/>
                <w:color w:val="auto"/>
                <w:w w:val="84"/>
              </w:rPr>
              <w:t>2023</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Change</w:t>
            </w:r>
          </w:p>
        </w:tc>
        <w:tc>
          <w:tcPr>
            <w:tcW w:w="1120" w:type="dxa"/>
            <w:vAlign w:val="bottom"/>
            <w:tcBorders>
              <w:left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ind w:left="120"/>
              <w:spacing w:after="0"/>
              <w:rPr>
                <w:sz w:val="20"/>
                <w:szCs w:val="20"/>
                <w:color w:val="auto"/>
              </w:rPr>
            </w:pPr>
            <w:r>
              <w:rPr>
                <w:rFonts w:ascii="Arial" w:cs="Arial" w:eastAsia="Arial" w:hAnsi="Arial"/>
                <w:sz w:val="16"/>
                <w:szCs w:val="16"/>
                <w:b w:val="1"/>
                <w:bCs w:val="1"/>
                <w:color w:val="auto"/>
                <w:w w:val="85"/>
              </w:rPr>
              <w:t>Change</w:t>
            </w:r>
          </w:p>
        </w:tc>
        <w:tc>
          <w:tcPr>
            <w:tcW w:w="0" w:type="dxa"/>
            <w:vAlign w:val="bottom"/>
          </w:tcPr>
          <w:p>
            <w:pPr>
              <w:spacing w:after="0"/>
              <w:rPr>
                <w:sz w:val="1"/>
                <w:szCs w:val="1"/>
                <w:color w:val="auto"/>
              </w:rPr>
            </w:pPr>
          </w:p>
        </w:tc>
      </w:tr>
      <w:tr>
        <w:trPr>
          <w:trHeight w:val="243"/>
        </w:trPr>
        <w:tc>
          <w:tcPr>
            <w:tcW w:w="80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$105,425</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$85,761</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23%</w:t>
            </w:r>
          </w:p>
        </w:tc>
        <w:tc>
          <w:tcPr>
            <w:tcW w:w="1120" w:type="dxa"/>
            <w:vAlign w:val="bottom"/>
          </w:tcPr>
          <w:p>
            <w:pPr>
              <w:spacing w:after="0"/>
              <w:rPr>
                <w:sz w:val="21"/>
                <w:szCs w:val="21"/>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$255,431</w:t>
            </w:r>
          </w:p>
        </w:tc>
        <w:tc>
          <w:tcPr>
            <w:tcW w:w="640" w:type="dxa"/>
            <w:vAlign w:val="bottom"/>
            <w:vMerge w:val="restart"/>
          </w:tcPr>
          <w:p>
            <w:pPr>
              <w:jc w:val="center"/>
              <w:ind w:left="39"/>
              <w:spacing w:after="0"/>
              <w:rPr>
                <w:sz w:val="20"/>
                <w:szCs w:val="20"/>
                <w:color w:val="auto"/>
              </w:rPr>
            </w:pPr>
            <w:r>
              <w:rPr>
                <w:rFonts w:ascii="Arial" w:cs="Arial" w:eastAsia="Arial" w:hAnsi="Arial"/>
                <w:sz w:val="16"/>
                <w:szCs w:val="16"/>
                <w:color w:val="auto"/>
                <w:w w:val="87"/>
              </w:rPr>
              <w:t>20%</w:t>
            </w:r>
          </w:p>
        </w:tc>
        <w:tc>
          <w:tcPr>
            <w:tcW w:w="0" w:type="dxa"/>
            <w:vAlign w:val="bottom"/>
          </w:tcPr>
          <w:p>
            <w:pPr>
              <w:spacing w:after="0"/>
              <w:rPr>
                <w:sz w:val="1"/>
                <w:szCs w:val="1"/>
                <w:color w:val="auto"/>
              </w:rPr>
            </w:pPr>
          </w:p>
        </w:tc>
      </w:tr>
      <w:tr>
        <w:trPr>
          <w:trHeight w:val="210"/>
        </w:trPr>
        <w:tc>
          <w:tcPr>
            <w:tcW w:w="8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20" w:type="dxa"/>
            <w:vAlign w:val="bottom"/>
            <w:tcBorders>
              <w:left w:val="single" w:sz="8" w:color="auto"/>
            </w:tcBorders>
          </w:tcPr>
          <w:p>
            <w:pPr>
              <w:jc w:val="right"/>
              <w:ind w:right="79"/>
              <w:spacing w:after="0"/>
              <w:rPr>
                <w:sz w:val="20"/>
                <w:szCs w:val="20"/>
                <w:color w:val="auto"/>
              </w:rPr>
            </w:pPr>
            <w:r>
              <w:rPr>
                <w:rFonts w:ascii="Arial" w:cs="Arial" w:eastAsia="Arial" w:hAnsi="Arial"/>
                <w:sz w:val="16"/>
                <w:szCs w:val="16"/>
                <w:color w:val="auto"/>
              </w:rPr>
              <w:t>$305,633</w:t>
            </w:r>
          </w:p>
        </w:tc>
        <w:tc>
          <w:tcPr>
            <w:tcW w:w="9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right"/>
              <w:ind w:right="99"/>
              <w:spacing w:after="0"/>
              <w:rPr>
                <w:sz w:val="20"/>
                <w:szCs w:val="20"/>
                <w:color w:val="auto"/>
              </w:rPr>
            </w:pPr>
            <w:r>
              <w:rPr>
                <w:rFonts w:ascii="Arial" w:cs="Arial" w:eastAsia="Arial" w:hAnsi="Arial"/>
                <w:sz w:val="16"/>
                <w:szCs w:val="16"/>
                <w:color w:val="auto"/>
              </w:rPr>
              <w:t>$8,535</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($2,109)</w:t>
            </w:r>
          </w:p>
        </w:tc>
        <w:tc>
          <w:tcPr>
            <w:tcW w:w="860" w:type="dxa"/>
            <w:vAlign w:val="bottom"/>
          </w:tcPr>
          <w:p>
            <w:pPr>
              <w:jc w:val="center"/>
              <w:ind w:right="19"/>
              <w:spacing w:after="0"/>
              <w:rPr>
                <w:sz w:val="20"/>
                <w:szCs w:val="20"/>
                <w:color w:val="auto"/>
              </w:rPr>
            </w:pPr>
            <w:r>
              <w:rPr>
                <w:rFonts w:ascii="Arial" w:cs="Arial" w:eastAsia="Arial" w:hAnsi="Arial"/>
                <w:sz w:val="16"/>
                <w:szCs w:val="16"/>
                <w:color w:val="auto"/>
              </w:rPr>
              <w:t>N/A</w:t>
            </w:r>
          </w:p>
        </w:tc>
        <w:tc>
          <w:tcPr>
            <w:tcW w:w="1120" w:type="dxa"/>
            <w:vAlign w:val="bottom"/>
            <w:tcBorders>
              <w:left w:val="single" w:sz="8" w:color="auto"/>
            </w:tcBorders>
          </w:tcPr>
          <w:p>
            <w:pPr>
              <w:jc w:val="right"/>
              <w:ind w:right="79"/>
              <w:spacing w:after="0"/>
              <w:rPr>
                <w:sz w:val="20"/>
                <w:szCs w:val="20"/>
                <w:color w:val="auto"/>
              </w:rPr>
            </w:pPr>
            <w:r>
              <w:rPr>
                <w:rFonts w:ascii="Arial" w:cs="Arial" w:eastAsia="Arial" w:hAnsi="Arial"/>
                <w:sz w:val="16"/>
                <w:szCs w:val="16"/>
                <w:color w:val="auto"/>
              </w:rPr>
              <w:t>$17,632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640" w:type="dxa"/>
            <w:vAlign w:val="bottom"/>
          </w:tcPr>
          <w:p>
            <w:pPr>
              <w:jc w:val="center"/>
              <w:ind w:left="59"/>
              <w:spacing w:after="0"/>
              <w:rPr>
                <w:sz w:val="20"/>
                <w:szCs w:val="20"/>
                <w:color w:val="auto"/>
              </w:rPr>
            </w:pPr>
            <w:r>
              <w:rPr>
                <w:rFonts w:ascii="Arial" w:cs="Arial" w:eastAsia="Arial" w:hAnsi="Arial"/>
                <w:sz w:val="16"/>
                <w:szCs w:val="16"/>
                <w:color w:val="auto"/>
                <w:w w:val="92"/>
              </w:rPr>
              <w:t>3,589%</w:t>
            </w:r>
          </w:p>
        </w:tc>
        <w:tc>
          <w:tcPr>
            <w:tcW w:w="0" w:type="dxa"/>
            <w:vAlign w:val="bottom"/>
          </w:tcPr>
          <w:p>
            <w:pPr>
              <w:spacing w:after="0"/>
              <w:rPr>
                <w:sz w:val="1"/>
                <w:szCs w:val="1"/>
                <w:color w:val="auto"/>
              </w:rPr>
            </w:pPr>
          </w:p>
        </w:tc>
      </w:tr>
      <w:tr>
        <w:trPr>
          <w:trHeight w:val="283"/>
        </w:trPr>
        <w:tc>
          <w:tcPr>
            <w:tcW w:w="800" w:type="dxa"/>
            <w:vAlign w:val="bottom"/>
          </w:tcPr>
          <w:p>
            <w:pPr>
              <w:jc w:val="right"/>
              <w:ind w:right="99"/>
              <w:spacing w:after="0"/>
              <w:rPr>
                <w:sz w:val="20"/>
                <w:szCs w:val="20"/>
                <w:color w:val="auto"/>
              </w:rPr>
            </w:pPr>
            <w:r>
              <w:rPr>
                <w:rFonts w:ascii="Arial" w:cs="Arial" w:eastAsia="Arial" w:hAnsi="Arial"/>
                <w:sz w:val="16"/>
                <w:szCs w:val="16"/>
                <w:color w:val="auto"/>
              </w:rPr>
              <w:t>$13,319</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$2,353</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466%</w:t>
            </w:r>
          </w:p>
        </w:tc>
        <w:tc>
          <w:tcPr>
            <w:tcW w:w="1120" w:type="dxa"/>
            <w:vAlign w:val="bottom"/>
            <w:tcBorders>
              <w:left w:val="single" w:sz="8" w:color="auto"/>
            </w:tcBorders>
          </w:tcPr>
          <w:p>
            <w:pPr>
              <w:jc w:val="right"/>
              <w:ind w:right="79"/>
              <w:spacing w:after="0"/>
              <w:rPr>
                <w:sz w:val="20"/>
                <w:szCs w:val="20"/>
                <w:color w:val="auto"/>
              </w:rPr>
            </w:pPr>
            <w:r>
              <w:rPr>
                <w:rFonts w:ascii="Arial" w:cs="Arial" w:eastAsia="Arial" w:hAnsi="Arial"/>
                <w:sz w:val="16"/>
                <w:szCs w:val="16"/>
                <w:color w:val="auto"/>
              </w:rPr>
              <w:t>$24,393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$4,940</w:t>
            </w:r>
          </w:p>
        </w:tc>
        <w:tc>
          <w:tcPr>
            <w:tcW w:w="640" w:type="dxa"/>
            <w:vAlign w:val="bottom"/>
          </w:tcPr>
          <w:p>
            <w:pPr>
              <w:jc w:val="center"/>
              <w:ind w:left="59"/>
              <w:spacing w:after="0"/>
              <w:rPr>
                <w:sz w:val="20"/>
                <w:szCs w:val="20"/>
                <w:color w:val="auto"/>
              </w:rPr>
            </w:pPr>
            <w:r>
              <w:rPr>
                <w:rFonts w:ascii="Arial" w:cs="Arial" w:eastAsia="Arial" w:hAnsi="Arial"/>
                <w:sz w:val="16"/>
                <w:szCs w:val="16"/>
                <w:color w:val="auto"/>
                <w:w w:val="92"/>
              </w:rPr>
              <w:t>394%</w:t>
            </w:r>
          </w:p>
        </w:tc>
        <w:tc>
          <w:tcPr>
            <w:tcW w:w="0" w:type="dxa"/>
            <w:vAlign w:val="bottom"/>
          </w:tcPr>
          <w:p>
            <w:pPr>
              <w:spacing w:after="0"/>
              <w:rPr>
                <w:sz w:val="1"/>
                <w:szCs w:val="1"/>
                <w:color w:val="auto"/>
              </w:rPr>
            </w:pPr>
          </w:p>
        </w:tc>
      </w:tr>
      <w:tr>
        <w:trPr>
          <w:trHeight w:val="283"/>
        </w:trPr>
        <w:tc>
          <w:tcPr>
            <w:tcW w:w="800" w:type="dxa"/>
            <w:vAlign w:val="bottom"/>
          </w:tcPr>
          <w:p>
            <w:pPr>
              <w:jc w:val="right"/>
              <w:ind w:right="99"/>
              <w:spacing w:after="0"/>
              <w:rPr>
                <w:sz w:val="20"/>
                <w:szCs w:val="20"/>
                <w:color w:val="auto"/>
              </w:rPr>
            </w:pPr>
            <w:r>
              <w:rPr>
                <w:rFonts w:ascii="Arial" w:cs="Arial" w:eastAsia="Arial" w:hAnsi="Arial"/>
                <w:sz w:val="16"/>
                <w:szCs w:val="16"/>
                <w:color w:val="auto"/>
              </w:rPr>
              <w:t>$1.24</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($0.32)</w:t>
            </w:r>
          </w:p>
        </w:tc>
        <w:tc>
          <w:tcPr>
            <w:tcW w:w="860" w:type="dxa"/>
            <w:vAlign w:val="bottom"/>
          </w:tcPr>
          <w:p>
            <w:pPr>
              <w:jc w:val="center"/>
              <w:ind w:right="19"/>
              <w:spacing w:after="0"/>
              <w:rPr>
                <w:sz w:val="20"/>
                <w:szCs w:val="20"/>
                <w:color w:val="auto"/>
              </w:rPr>
            </w:pPr>
            <w:r>
              <w:rPr>
                <w:rFonts w:ascii="Arial" w:cs="Arial" w:eastAsia="Arial" w:hAnsi="Arial"/>
                <w:sz w:val="16"/>
                <w:szCs w:val="16"/>
                <w:color w:val="auto"/>
              </w:rPr>
              <w:t>N/A</w:t>
            </w:r>
          </w:p>
        </w:tc>
        <w:tc>
          <w:tcPr>
            <w:tcW w:w="1120" w:type="dxa"/>
            <w:vAlign w:val="bottom"/>
            <w:tcBorders>
              <w:left w:val="single" w:sz="8" w:color="auto"/>
            </w:tcBorders>
          </w:tcPr>
          <w:p>
            <w:pPr>
              <w:jc w:val="right"/>
              <w:ind w:right="79"/>
              <w:spacing w:after="0"/>
              <w:rPr>
                <w:sz w:val="20"/>
                <w:szCs w:val="20"/>
                <w:color w:val="auto"/>
              </w:rPr>
            </w:pPr>
            <w:r>
              <w:rPr>
                <w:rFonts w:ascii="Arial" w:cs="Arial" w:eastAsia="Arial" w:hAnsi="Arial"/>
                <w:sz w:val="16"/>
                <w:szCs w:val="16"/>
                <w:color w:val="auto"/>
              </w:rPr>
              <w:t>$2.58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640" w:type="dxa"/>
            <w:vAlign w:val="bottom"/>
          </w:tcPr>
          <w:p>
            <w:pPr>
              <w:jc w:val="center"/>
              <w:ind w:left="59"/>
              <w:spacing w:after="0"/>
              <w:rPr>
                <w:sz w:val="20"/>
                <w:szCs w:val="20"/>
                <w:color w:val="auto"/>
              </w:rPr>
            </w:pPr>
            <w:r>
              <w:rPr>
                <w:rFonts w:ascii="Arial" w:cs="Arial" w:eastAsia="Arial" w:hAnsi="Arial"/>
                <w:sz w:val="16"/>
                <w:szCs w:val="16"/>
                <w:color w:val="auto"/>
                <w:w w:val="92"/>
              </w:rPr>
              <w:t>4,200%</w:t>
            </w:r>
          </w:p>
        </w:tc>
        <w:tc>
          <w:tcPr>
            <w:tcW w:w="0" w:type="dxa"/>
            <w:vAlign w:val="bottom"/>
          </w:tcPr>
          <w:p>
            <w:pPr>
              <w:spacing w:after="0"/>
              <w:rPr>
                <w:sz w:val="1"/>
                <w:szCs w:val="1"/>
                <w:color w:val="auto"/>
              </w:rPr>
            </w:pPr>
          </w:p>
        </w:tc>
      </w:tr>
      <w:tr>
        <w:trPr>
          <w:trHeight w:val="310"/>
        </w:trPr>
        <w:tc>
          <w:tcPr>
            <w:tcW w:w="800" w:type="dxa"/>
            <w:vAlign w:val="bottom"/>
          </w:tcPr>
          <w:p>
            <w:pPr>
              <w:jc w:val="right"/>
              <w:ind w:right="99"/>
              <w:spacing w:after="0"/>
              <w:rPr>
                <w:sz w:val="20"/>
                <w:szCs w:val="20"/>
                <w:color w:val="auto"/>
              </w:rPr>
            </w:pPr>
            <w:r>
              <w:rPr>
                <w:rFonts w:ascii="Arial" w:cs="Arial" w:eastAsia="Arial" w:hAnsi="Arial"/>
                <w:sz w:val="16"/>
                <w:szCs w:val="16"/>
                <w:color w:val="auto"/>
              </w:rPr>
              <w:t>$1.94</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454%</w:t>
            </w:r>
          </w:p>
        </w:tc>
        <w:tc>
          <w:tcPr>
            <w:tcW w:w="1120" w:type="dxa"/>
            <w:vAlign w:val="bottom"/>
            <w:tcBorders>
              <w:left w:val="single" w:sz="8" w:color="auto"/>
            </w:tcBorders>
          </w:tcPr>
          <w:p>
            <w:pPr>
              <w:jc w:val="right"/>
              <w:ind w:right="79"/>
              <w:spacing w:after="0"/>
              <w:rPr>
                <w:sz w:val="20"/>
                <w:szCs w:val="20"/>
                <w:color w:val="auto"/>
              </w:rPr>
            </w:pPr>
            <w:r>
              <w:rPr>
                <w:rFonts w:ascii="Arial" w:cs="Arial" w:eastAsia="Arial" w:hAnsi="Arial"/>
                <w:sz w:val="16"/>
                <w:szCs w:val="16"/>
                <w:color w:val="auto"/>
              </w:rPr>
              <w:t>$3.57</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$0.70</w:t>
            </w:r>
          </w:p>
        </w:tc>
        <w:tc>
          <w:tcPr>
            <w:tcW w:w="640" w:type="dxa"/>
            <w:vAlign w:val="bottom"/>
          </w:tcPr>
          <w:p>
            <w:pPr>
              <w:jc w:val="center"/>
              <w:ind w:left="59"/>
              <w:spacing w:after="0"/>
              <w:rPr>
                <w:sz w:val="20"/>
                <w:szCs w:val="20"/>
                <w:color w:val="auto"/>
              </w:rPr>
            </w:pPr>
            <w:r>
              <w:rPr>
                <w:rFonts w:ascii="Arial" w:cs="Arial" w:eastAsia="Arial" w:hAnsi="Arial"/>
                <w:sz w:val="16"/>
                <w:szCs w:val="16"/>
                <w:color w:val="auto"/>
                <w:w w:val="92"/>
              </w:rPr>
              <w:t>410%</w:t>
            </w: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2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-1036955</wp:posOffset>
            </wp:positionV>
            <wp:extent cx="6515100" cy="1183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0" cy="11830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80" w:space="400"/>
            <w:col w:w="5960"/>
          </w:cols>
          <w:pgMar w:left="320" w:top="1268" w:right="339" w:bottom="1440" w:gutter="0" w:footer="0" w:header="0"/>
          <w:type w:val="continuous"/>
        </w:sectPr>
      </w:pPr>
    </w:p>
    <w:p>
      <w:pPr>
        <w:ind w:left="520"/>
        <w:spacing w:after="0"/>
        <w:rPr>
          <w:sz w:val="20"/>
          <w:szCs w:val="20"/>
          <w:color w:val="auto"/>
        </w:rPr>
      </w:pPr>
      <w:r>
        <w:rPr>
          <w:rFonts w:ascii="Arial" w:cs="Arial" w:eastAsia="Arial" w:hAnsi="Arial"/>
          <w:sz w:val="18"/>
          <w:szCs w:val="18"/>
          <w:color w:val="FFFFFF"/>
        </w:rPr>
        <w:t>Business to Business</w:t>
      </w:r>
    </w:p>
    <w:p>
      <w:pPr>
        <w:spacing w:after="0" w:line="43" w:lineRule="exact"/>
        <w:rPr>
          <w:sz w:val="20"/>
          <w:szCs w:val="20"/>
          <w:color w:val="auto"/>
        </w:rPr>
      </w:pPr>
    </w:p>
    <w:tbl>
      <w:tblPr>
        <w:tblLayout w:type="fixed"/>
        <w:tblInd w:w="510" w:type="dxa"/>
        <w:tblCellMar>
          <w:top w:w="0" w:type="dxa"/>
          <w:left w:w="0" w:type="dxa"/>
          <w:bottom w:w="0" w:type="dxa"/>
          <w:right w:w="0" w:type="dxa"/>
        </w:tblCellMar>
      </w:tblPr>
      <w:tr>
        <w:trPr>
          <w:trHeight w:val="200"/>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$35,412</w:t>
            </w:r>
          </w:p>
        </w:tc>
        <w:tc>
          <w:tcPr>
            <w:tcW w:w="2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$27,888</w:t>
            </w:r>
          </w:p>
        </w:tc>
        <w:tc>
          <w:tcPr>
            <w:tcW w:w="84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3"/>
              </w:rPr>
              <w:t>27%</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$104,253</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$81,150</w:t>
            </w:r>
          </w:p>
        </w:tc>
        <w:tc>
          <w:tcPr>
            <w:tcW w:w="88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87"/>
              </w:rPr>
              <w:t>28%</w:t>
            </w:r>
          </w:p>
        </w:tc>
      </w:tr>
      <w:tr>
        <w:trPr>
          <w:trHeight w:val="209"/>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$9,803</w:t>
            </w:r>
          </w:p>
        </w:tc>
        <w:tc>
          <w:tcPr>
            <w:tcW w:w="24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$4,952</w:t>
            </w:r>
          </w:p>
        </w:tc>
        <w:tc>
          <w:tcPr>
            <w:tcW w:w="84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3"/>
              </w:rPr>
              <w:t>98%</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$24,794</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$16,914</w:t>
            </w:r>
          </w:p>
        </w:tc>
        <w:tc>
          <w:tcPr>
            <w:tcW w:w="88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87"/>
              </w:rPr>
              <w:t>47%</w:t>
            </w:r>
          </w:p>
        </w:tc>
      </w:tr>
      <w:tr>
        <w:trPr>
          <w:trHeight w:val="246"/>
        </w:trPr>
        <w:tc>
          <w:tcPr>
            <w:tcW w:w="446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Retail and Wholesale</w:t>
            </w:r>
          </w:p>
        </w:tc>
        <w:tc>
          <w:tcPr>
            <w:tcW w:w="26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840" w:type="dxa"/>
            <w:vAlign w:val="bottom"/>
            <w:tcBorders>
              <w:right w:val="single" w:sz="8" w:color="auto"/>
            </w:tcBorders>
            <w:shd w:val="clear" w:color="auto" w:fill="000000"/>
          </w:tcPr>
          <w:p>
            <w:pPr>
              <w:spacing w:after="0"/>
              <w:rPr>
                <w:sz w:val="21"/>
                <w:szCs w:val="21"/>
                <w:color w:val="auto"/>
              </w:rPr>
            </w:pPr>
          </w:p>
        </w:tc>
        <w:tc>
          <w:tcPr>
            <w:tcW w:w="1120" w:type="dxa"/>
            <w:vAlign w:val="bottom"/>
            <w:shd w:val="clear" w:color="auto" w:fill="000000"/>
          </w:tcPr>
          <w:p>
            <w:pPr>
              <w:spacing w:after="0"/>
              <w:rPr>
                <w:sz w:val="21"/>
                <w:szCs w:val="21"/>
                <w:color w:val="auto"/>
              </w:rPr>
            </w:pPr>
          </w:p>
        </w:tc>
        <w:tc>
          <w:tcPr>
            <w:tcW w:w="900" w:type="dxa"/>
            <w:vAlign w:val="bottom"/>
            <w:shd w:val="clear" w:color="auto" w:fill="000000"/>
          </w:tcPr>
          <w:p>
            <w:pPr>
              <w:spacing w:after="0"/>
              <w:rPr>
                <w:sz w:val="21"/>
                <w:szCs w:val="21"/>
                <w:color w:val="auto"/>
              </w:rPr>
            </w:pPr>
          </w:p>
        </w:tc>
        <w:tc>
          <w:tcPr>
            <w:tcW w:w="880" w:type="dxa"/>
            <w:vAlign w:val="bottom"/>
            <w:tcBorders>
              <w:right w:val="single" w:sz="8" w:color="auto"/>
            </w:tcBorders>
            <w:shd w:val="clear" w:color="auto" w:fill="000000"/>
          </w:tcPr>
          <w:p>
            <w:pPr>
              <w:spacing w:after="0"/>
              <w:rPr>
                <w:sz w:val="21"/>
                <w:szCs w:val="21"/>
                <w:color w:val="auto"/>
              </w:rPr>
            </w:pPr>
          </w:p>
        </w:tc>
      </w:tr>
      <w:tr>
        <w:trPr>
          <w:trHeight w:val="210"/>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$70,013</w:t>
            </w:r>
          </w:p>
        </w:tc>
        <w:tc>
          <w:tcPr>
            <w:tcW w:w="24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$57,873</w:t>
            </w:r>
          </w:p>
        </w:tc>
        <w:tc>
          <w:tcPr>
            <w:tcW w:w="84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3"/>
              </w:rPr>
              <w:t>21%</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$201,380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$174,281</w:t>
            </w:r>
          </w:p>
        </w:tc>
        <w:tc>
          <w:tcPr>
            <w:tcW w:w="88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87"/>
              </w:rPr>
              <w:t>16%</w:t>
            </w:r>
          </w:p>
        </w:tc>
      </w:tr>
      <w:tr>
        <w:trPr>
          <w:trHeight w:val="216"/>
        </w:trPr>
        <w:tc>
          <w:tcPr>
            <w:tcW w:w="4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 (Loss)*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$10,744</w:t>
            </w:r>
          </w:p>
        </w:tc>
        <w:tc>
          <w:tcPr>
            <w:tcW w:w="24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($2,349)</w:t>
            </w:r>
          </w:p>
        </w:tc>
        <w:tc>
          <w:tcPr>
            <w:tcW w:w="8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N/A</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$27,000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88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2"/>
              </w:rPr>
              <w:t>2,534%</w:t>
            </w:r>
          </w:p>
        </w:tc>
      </w:tr>
      <w:tr>
        <w:trPr>
          <w:trHeight w:val="219"/>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 Excluding Nonrecurring Events*</w:t>
            </w:r>
            <w:r>
              <w:rPr>
                <w:rFonts w:ascii="Arial" w:cs="Arial" w:eastAsia="Arial" w:hAnsi="Arial"/>
                <w:sz w:val="14"/>
                <w:szCs w:val="14"/>
                <w:i w:val="1"/>
                <w:iCs w:val="1"/>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10,744</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3,295</w:t>
            </w:r>
          </w:p>
        </w:tc>
        <w:tc>
          <w:tcPr>
            <w:tcW w:w="840" w:type="dxa"/>
            <w:vAlign w:val="bottom"/>
            <w:tcBorders>
              <w:bottom w:val="single" w:sz="8" w:color="auto"/>
              <w:right w:val="single" w:sz="8" w:color="auto"/>
            </w:tcBorders>
          </w:tcPr>
          <w:p>
            <w:pPr>
              <w:jc w:val="center"/>
              <w:ind w:right="59"/>
              <w:spacing w:after="0"/>
              <w:rPr>
                <w:sz w:val="20"/>
                <w:szCs w:val="20"/>
                <w:color w:val="auto"/>
              </w:rPr>
            </w:pPr>
            <w:r>
              <w:rPr>
                <w:rFonts w:ascii="Arial" w:cs="Arial" w:eastAsia="Arial" w:hAnsi="Arial"/>
                <w:sz w:val="16"/>
                <w:szCs w:val="16"/>
                <w:color w:val="auto"/>
                <w:w w:val="92"/>
              </w:rPr>
              <w:t>226%</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$27,000</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$6,669</w:t>
            </w:r>
          </w:p>
        </w:tc>
        <w:tc>
          <w:tcPr>
            <w:tcW w:w="880" w:type="dxa"/>
            <w:vAlign w:val="bottom"/>
            <w:tcBorders>
              <w:bottom w:val="single" w:sz="8" w:color="auto"/>
              <w:right w:val="single" w:sz="8" w:color="auto"/>
            </w:tcBorders>
          </w:tcPr>
          <w:p>
            <w:pPr>
              <w:jc w:val="center"/>
              <w:ind w:right="19"/>
              <w:spacing w:after="0"/>
              <w:rPr>
                <w:sz w:val="20"/>
                <w:szCs w:val="20"/>
                <w:color w:val="auto"/>
              </w:rPr>
            </w:pPr>
            <w:r>
              <w:rPr>
                <w:rFonts w:ascii="Arial" w:cs="Arial" w:eastAsia="Arial" w:hAnsi="Arial"/>
                <w:sz w:val="16"/>
                <w:szCs w:val="16"/>
                <w:color w:val="auto"/>
                <w:w w:val="92"/>
              </w:rPr>
              <w:t>305%</w:t>
            </w:r>
          </w:p>
        </w:tc>
      </w:tr>
    </w:tbl>
    <w:p>
      <w:pPr>
        <w:spacing w:after="0" w:line="319" w:lineRule="exact"/>
        <w:rPr>
          <w:sz w:val="20"/>
          <w:szCs w:val="20"/>
          <w:color w:val="auto"/>
        </w:rPr>
      </w:pPr>
    </w:p>
    <w:p>
      <w:pPr>
        <w:ind w:firstLine="8"/>
        <w:spacing w:after="0" w:line="260" w:lineRule="auto"/>
        <w:tabs>
          <w:tab w:leader="none" w:pos="128"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Segment net sales and operating income for nine months ended April 30, 2022 have been adjusted for a realignment of segments. See Note 11 of the unaudited Notes to the Condensed Consolidated Financial Statements in our Quarterly Report on Form 10-Q for the year ended April 30, 2023.</w:t>
      </w: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 Please refer to Reconciliation of Non-GAAP Financial Measures below for a reconciliation of Non-GAAP items to the comparable GAAP measures.</w:t>
      </w:r>
    </w:p>
    <w:p>
      <w:pPr>
        <w:spacing w:after="0" w:line="243"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color w:val="auto"/>
        </w:rPr>
        <w:t>Daniel S. Jaffee, President and Chief Executive Officer, stated, “We achieved outstanding third quarter results with record sales, gross profit and net income. Our team has been committed to driving profitability across all principal product lines, and I am extremely pleased with the success. Our goal has been to return gross margins to historical levels, and we made great strides during the last nine months and particularly within the third quarter. We gained 350 basis points in gross margin over the second quarter of fiscal 2023, as well as 790 basis points over the third quarter last year. We appreciate that our customers have been receptive to our pricing actions to offset inflationary headwinds. Excluding the one-time non-cash charge of $4.8 million in connection with the termination of our pension plan, we delivered approximately $13.3 million in net income. As we move forward into the final three months of our fiscal year, we will remain</w:t>
      </w:r>
    </w:p>
    <w:p>
      <w:pPr>
        <w:sectPr>
          <w:pgSz w:w="11900" w:h="16838" w:orient="portrait"/>
          <w:cols w:equalWidth="0" w:num="1">
            <w:col w:w="11240"/>
          </w:cols>
          <w:pgMar w:left="320" w:top="1268" w:right="339" w:bottom="1440" w:gutter="0" w:footer="0" w:header="0"/>
          <w:type w:val="continuous"/>
        </w:sectPr>
      </w:pPr>
    </w:p>
    <w:bookmarkStart w:id="5" w:name="page6"/>
    <w:bookmarkEnd w:id="5"/>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dedicated to revenue, volume, and profitability enhancement while implementing our strategic initiatives.”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7" w:lineRule="exact"/>
        <w:rPr>
          <w:sz w:val="20"/>
          <w:szCs w:val="20"/>
          <w:color w:val="auto"/>
        </w:rPr>
      </w:pPr>
    </w:p>
    <w:p>
      <w:pPr>
        <w:ind w:right="220"/>
        <w:spacing w:after="0" w:line="248" w:lineRule="auto"/>
        <w:rPr>
          <w:sz w:val="20"/>
          <w:szCs w:val="20"/>
          <w:color w:val="auto"/>
        </w:rPr>
      </w:pPr>
      <w:r>
        <w:rPr>
          <w:rFonts w:ascii="Arial" w:cs="Arial" w:eastAsia="Arial" w:hAnsi="Arial"/>
          <w:sz w:val="22"/>
          <w:szCs w:val="22"/>
          <w:color w:val="auto"/>
        </w:rPr>
        <w:t>Consolidated net sales in the third quarter reached an all-time high of $105.4 million, a 23% increase over the prior year. This increase was driven by pricing actions taken across multiple principal products in order to improve profitability. As a result, the Company experienced sales gains within all areas of our business. Revenues from cat litter, fluids purification and agricultural products fueled a significant portion of the growth.</w:t>
      </w:r>
    </w:p>
    <w:p>
      <w:pPr>
        <w:spacing w:after="0" w:line="219" w:lineRule="exact"/>
        <w:rPr>
          <w:sz w:val="20"/>
          <w:szCs w:val="20"/>
          <w:color w:val="auto"/>
        </w:rPr>
      </w:pPr>
    </w:p>
    <w:p>
      <w:pPr>
        <w:ind w:right="100"/>
        <w:spacing w:after="0" w:line="307" w:lineRule="auto"/>
        <w:rPr>
          <w:sz w:val="20"/>
          <w:szCs w:val="20"/>
          <w:color w:val="auto"/>
        </w:rPr>
      </w:pPr>
      <w:r>
        <w:rPr>
          <w:rFonts w:ascii="Arial" w:cs="Arial" w:eastAsia="Arial" w:hAnsi="Arial"/>
          <w:sz w:val="19"/>
          <w:szCs w:val="19"/>
          <w:color w:val="auto"/>
        </w:rPr>
        <w:t>Third quarter consolidated gross profit was a record $27.5 million, an increase of $11.8 million, or 76%, over the third quarter of the prior year, with margin expansion to 26% in fiscal 2023 from 18% in fiscal 2022. Domestic cost of goods sold per ton increased 12% compared to the third quarter of the prior year as a result of higher per ton freight and non-fuel manufacturing costs. The implementation of several rounds of pricing actions during the last nine months helped to offset this increase.</w:t>
      </w:r>
    </w:p>
    <w:p>
      <w:pPr>
        <w:spacing w:after="0" w:line="151" w:lineRule="exact"/>
        <w:rPr>
          <w:sz w:val="20"/>
          <w:szCs w:val="20"/>
          <w:color w:val="auto"/>
        </w:rPr>
      </w:pPr>
    </w:p>
    <w:p>
      <w:pPr>
        <w:ind w:right="440"/>
        <w:spacing w:after="0" w:line="264" w:lineRule="auto"/>
        <w:rPr>
          <w:sz w:val="20"/>
          <w:szCs w:val="20"/>
          <w:color w:val="auto"/>
        </w:rPr>
      </w:pPr>
      <w:r>
        <w:rPr>
          <w:rFonts w:ascii="Arial" w:cs="Arial" w:eastAsia="Arial" w:hAnsi="Arial"/>
          <w:sz w:val="21"/>
          <w:szCs w:val="21"/>
          <w:color w:val="auto"/>
        </w:rPr>
        <w:t>Selling, general and administrative (“SGA”) expenses were $13.0 million during the third quarter of fiscal 2023 compared to $14.0 million for the same period last year. This $1 million, or 7%, reduction primarily reflects lower unallocated corporate expenses and the reclassification of certain trade spending charges from SG&amp;A to net sales</w:t>
      </w:r>
      <w:r>
        <w:rPr>
          <w:rFonts w:ascii="Arial" w:cs="Arial" w:eastAsia="Arial" w:hAnsi="Arial"/>
          <w:sz w:val="21"/>
          <w:szCs w:val="21"/>
          <w:color w:val="0000FF"/>
        </w:rPr>
        <w:t>.</w:t>
      </w:r>
    </w:p>
    <w:p>
      <w:pPr>
        <w:spacing w:after="0" w:line="189" w:lineRule="exact"/>
        <w:rPr>
          <w:sz w:val="20"/>
          <w:szCs w:val="20"/>
          <w:color w:val="auto"/>
        </w:rPr>
      </w:pPr>
    </w:p>
    <w:p>
      <w:pPr>
        <w:ind w:right="220"/>
        <w:spacing w:after="0" w:line="256" w:lineRule="auto"/>
        <w:rPr>
          <w:sz w:val="20"/>
          <w:szCs w:val="20"/>
          <w:color w:val="auto"/>
        </w:rPr>
      </w:pPr>
      <w:r>
        <w:rPr>
          <w:rFonts w:ascii="Arial" w:cs="Arial" w:eastAsia="Arial" w:hAnsi="Arial"/>
          <w:sz w:val="21"/>
          <w:szCs w:val="21"/>
          <w:color w:val="auto"/>
        </w:rPr>
        <w:t>Consolidated operating income was approximately $14.5 million for the three months ended April 30, 2023, compared to a loss of $4.0 million during the same period in fiscal 2022. Last year’s operating loss includes a one-time non-cash goodwill impairment charge of $5.6 million for the Retail &amp; Wholesale (“R&amp;W”) Products Group. Excluding this impairment, consolidated operating income for the third quarter of fiscal 2022 was $1.6 million.</w:t>
      </w:r>
    </w:p>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Total other (expense) income, net was $(4.5) million for the third quarter of fiscal 2023 compared to total other (expense) income, net of $0.2 million in the same period of fiscal year 2022. In April 2023, Oil-Dri settled all outstanding obligations related to its decision to terminate the Company’s pension plan. This resulted in the recognition of unrealized losses of $2.0 million and a surplus distribution of $2.8 million, with a total impact of $4.8 million.</w:t>
      </w:r>
    </w:p>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Income tax expense increased to $1.5 million in the third quarter of fiscal year 2023 compared to a tax benefit of $1.7 million in the same period last year as a result of the Company’s higher taxable income.</w:t>
      </w:r>
    </w:p>
    <w:p>
      <w:pPr>
        <w:spacing w:after="0" w:line="202"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Third quarter consolidated net income attributed to Oil-Dri was the highest in the Company’s history reaching $8.5 million in fiscal 2023, from a net loss of $2.1 million in fiscal 2022. Excluding both aforementioned nonrecurring charges in fiscal 2023 and in fiscal 2022, net income attributed to Oil-Dri for the third quarter of fiscal 2023 was approximately $13.3 million compared to $2.4 million in the same period last year, reflecting a very strong improvement in the Company’s bottom line.</w:t>
      </w:r>
    </w:p>
    <w:p>
      <w:pPr>
        <w:sectPr>
          <w:pgSz w:w="11900" w:h="16838" w:orient="portrait"/>
          <w:cols w:equalWidth="0" w:num="1">
            <w:col w:w="11240"/>
          </w:cols>
          <w:pgMar w:left="320" w:top="1440" w:right="339" w:bottom="1440" w:gutter="0" w:footer="0" w:header="0"/>
        </w:sectPr>
      </w:pPr>
    </w:p>
    <w:bookmarkStart w:id="6" w:name="page7"/>
    <w:bookmarkEnd w:id="6"/>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Product Group Review</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The Business to Business (“B2B”) Products Group’s third quarter revenues reached an all-time high of $35.4 million, a 27% gain over the prior year. This increase was primarily due to higher prices, and to a lesser extent from elevated demand. All principal products within the B2B Products Group demonstrated very strong topline growth. Sales of fluids purification products increased to $17.8 million, or 21% compared to the prior year, as a result of higher prices, timing of orders, and increased demand for our products used in the renewable diesel and jet fuel markets. Solid revenue growth was achieved in all regions with significant gains concentrated in North America and Latin America. The agricultural products business achieved record quarterly net sales of $10.7 million, or a 35% increase over last year. Higher prices of our Agsorb and Verge products along with increased shipments to a key customer contributed to the revenue improvement. Amlan, the Company’s animal health business, generated a record $6.9 million in sales during the third quarter of fiscal 2023. This represents a $1.7 million, or 32%, increase over the prior year and demonstrates the ongoing success of the Company’s strategic focus on this area of the business. Revenue gains from animal health products can be attributed to robust customer demand and higher prices within Latin America, North America, Asia (excluding China), and Mexico. During the third quarter of fiscal 2023, sales of Amlan’s products in China decreased when compared to the same period last year. As previously announced last week, the Company decided to transition to a new distribution strategy in China by engaging a master sales distributor within the country.</w:t>
      </w:r>
    </w:p>
    <w:p>
      <w:pPr>
        <w:spacing w:after="0" w:line="186"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Operating income for the B2B Products Group was $9.8 million in the third quarter of fiscal 2023 compared to $5.0 million in fiscal 2022, reflecting a 98% increase. Strategic pricing actions and increased volumes helped to offset inflationary headwinds on cost of goods sold. SG&amp;A expenses were relatively flat in the third quarter compared to the same period of fiscal year 2022.</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The Retail and Wholesale Products Group’s third quarter revenues reached a record $70.0 million, a 21% increase over the prior year. This was primarily driven by a $8.9 million, or 22%, increase in domestic cat litter sales, excluding the Company’s co-packaged coarse cat litter business. While pricing actions were responsible for this revenue enhancement, the Company saw a slight decline in volume due to the Company’s decision to reduce some non-strategic business. Both scoopable and coarse cat litter products experienced topline growth during the third quarter of fiscal 2023 compared to last year. Revenues from combined domestic branded and private label lightweight litter items rose 44% in the third quarter of fiscal 2023 versus the prior year, exceeding the lightweight litter segment sales growth of 11% for the 13-week period ended April 22, 2023, according to third-party research data for retail sales</w:t>
      </w:r>
      <w:r>
        <w:rPr>
          <w:rFonts w:ascii="Arial" w:cs="Arial" w:eastAsia="Arial" w:hAnsi="Arial"/>
          <w:sz w:val="11"/>
          <w:szCs w:val="11"/>
          <w:color w:val="auto"/>
        </w:rPr>
        <w:t>1</w:t>
      </w:r>
      <w:r>
        <w:rPr>
          <w:rFonts w:ascii="Arial" w:cs="Arial" w:eastAsia="Arial" w:hAnsi="Arial"/>
          <w:sz w:val="20"/>
          <w:szCs w:val="20"/>
          <w:color w:val="auto"/>
        </w:rPr>
        <w:t>. In addition, demand for lightweight litter products increased as a result of both organic growth and new distribution. Net sales of co-packaged products increased by approximately $0.4 million, or 9%, compared to the same period in fiscal year 2022. While pricing actions were responsible for this gain, they were partially offset by a decrease in volume. Oil-Dri’s subsidiary in Canada also demonstrated strong sales growth from its cat litter products in the third quarter of fiscal 2023 compared to the prior year, driven by increased customer demand of both private label and branded lightweight products. Domestic industrial and sports products achieved record quarterly sales of $12.2</w:t>
      </w:r>
    </w:p>
    <w:p>
      <w:pPr>
        <w:sectPr>
          <w:pgSz w:w="11900" w:h="16838" w:orient="portrait"/>
          <w:cols w:equalWidth="0" w:num="1">
            <w:col w:w="11200"/>
          </w:cols>
          <w:pgMar w:left="320" w:top="1440" w:right="379" w:bottom="1440" w:gutter="0" w:footer="0" w:header="0"/>
        </w:sectPr>
      </w:pPr>
    </w:p>
    <w:bookmarkStart w:id="7" w:name="page8"/>
    <w:bookmarkEnd w:id="7"/>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million, representing a 20% improvement over the prior year resulting from price increases implemented to rebuild margins.</w:t>
      </w:r>
    </w:p>
    <w:p>
      <w:pPr>
        <w:spacing w:after="0" w:line="281" w:lineRule="exact"/>
        <w:rPr>
          <w:sz w:val="20"/>
          <w:szCs w:val="20"/>
          <w:color w:val="auto"/>
        </w:rPr>
      </w:pPr>
    </w:p>
    <w:p>
      <w:pPr>
        <w:ind w:right="100"/>
        <w:spacing w:after="0" w:line="286" w:lineRule="auto"/>
        <w:rPr>
          <w:sz w:val="20"/>
          <w:szCs w:val="20"/>
          <w:color w:val="auto"/>
        </w:rPr>
      </w:pPr>
      <w:r>
        <w:rPr>
          <w:rFonts w:ascii="Arial" w:cs="Arial" w:eastAsia="Arial" w:hAnsi="Arial"/>
          <w:sz w:val="19"/>
          <w:szCs w:val="19"/>
          <w:color w:val="auto"/>
        </w:rPr>
        <w:t>Operating income for the R&amp;W Products Group was $10.7 million in the third quarter of fiscal year 2023 compared to an operating loss of $2.3 million in the prior year, which included $5.6 of goodwill impairment. Excluding this one-time non-cash charge, third quarter of fiscal 2022 operating income was $3.3 million. Revenue gains and reduced SG&amp;A expenses offset inflation on cost of goods sold. SG&amp;A expenses for the third quarter of fiscal 2023 declined by 10% from last year as a result of the reclassification of certain trade spending charges from SG&amp;A to net sales, partially offset by increased advertising expenses and broker commissions. Oil-Dri expects advertising expenses for the full fiscal year 2023 to be higher than fiscal year 2022 and more in line with historical levels. The majority of the spending will be concentrated in the fourth quarter of the fiscal year.</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The Company will host its third quarter of fiscal 2023 earnings discussion via webcast on Friday, June 9, 2023 at 10:00 a.m.</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Central Time. Participation details are available on the company’s website’s </w:t>
      </w:r>
      <w:r>
        <w:rPr>
          <w:rFonts w:ascii="Arial" w:cs="Arial" w:eastAsia="Arial" w:hAnsi="Arial"/>
          <w:sz w:val="22"/>
          <w:szCs w:val="22"/>
          <w:color w:val="0000FF"/>
        </w:rPr>
        <w:t>Events</w:t>
      </w:r>
      <w:r>
        <w:rPr>
          <w:rFonts w:ascii="Arial" w:cs="Arial" w:eastAsia="Arial" w:hAnsi="Arial"/>
          <w:sz w:val="22"/>
          <w:szCs w:val="22"/>
          <w:color w:val="auto"/>
        </w:rPr>
        <w:t xml:space="preserve"> page.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4" w:lineRule="exact"/>
        <w:rPr>
          <w:sz w:val="20"/>
          <w:szCs w:val="20"/>
          <w:color w:val="auto"/>
        </w:rPr>
      </w:pPr>
    </w:p>
    <w:p>
      <w:pPr>
        <w:jc w:val="both"/>
        <w:spacing w:after="0" w:line="227" w:lineRule="auto"/>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Based in part on data reported by NielsenIQ through its Scantrack Service for the Cat Litter Category in the 13-week period ended April 22, 2023, for the U.S. xAOC+Pet Supers market. Copyright © 2023 NielsenIQ.</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“Oil-Dri”, “Agsorb”, “Verge”, and “Amlan” are registered trademarks of Oil-Dri Corporation of America.</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price fluctuations and pressures, increases in costs, disruptions to our and our counterparties’ businesses and operations and other uncertainties and assumptions that are described in Item 1A (Risk Factors) of our Quarterly Report on Form 10-Q for the quarter ended April 30, 2023 and our most recent Annual Report on Form 10-K and other reports we file with the Securities and Exchange Commission. Should one or more of these or other risks or uncertainties materialize, or should underlying assumptions prove incorrect, our actual results may</w:t>
      </w:r>
    </w:p>
    <w:p>
      <w:pPr>
        <w:sectPr>
          <w:pgSz w:w="11900" w:h="16838" w:orient="portrait"/>
          <w:cols w:equalWidth="0" w:num="1">
            <w:col w:w="11240"/>
          </w:cols>
          <w:pgMar w:left="320" w:top="1440" w:right="339" w:bottom="1440" w:gutter="0" w:footer="0" w:header="0"/>
        </w:sectPr>
      </w:pPr>
    </w:p>
    <w:bookmarkStart w:id="8" w:name="page9"/>
    <w:bookmarkEnd w:id="8"/>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7"/>
          <w:szCs w:val="17"/>
          <w:i w:val="1"/>
          <w:iCs w:val="1"/>
          <w:color w:val="auto"/>
        </w:rPr>
        <w:t>vary materially from those anticipated, intended, expected, believed, estimated, projected, planned or otherwise expressed in any forward-looking statements.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Leslie A. Garber</w:t>
      </w:r>
    </w:p>
    <w:p>
      <w:pPr>
        <w:spacing w:after="0" w:line="230" w:lineRule="auto"/>
        <w:rPr>
          <w:sz w:val="20"/>
          <w:szCs w:val="20"/>
          <w:color w:val="auto"/>
        </w:rPr>
      </w:pPr>
      <w:r>
        <w:rPr>
          <w:rFonts w:ascii="Arial" w:cs="Arial" w:eastAsia="Arial" w:hAnsi="Arial"/>
          <w:sz w:val="22"/>
          <w:szCs w:val="22"/>
          <w:color w:val="auto"/>
        </w:rPr>
        <w:t>Manager of Investor Relations</w:t>
      </w:r>
    </w:p>
    <w:p>
      <w:pPr>
        <w:spacing w:after="0" w:line="231" w:lineRule="auto"/>
        <w:rPr>
          <w:sz w:val="20"/>
          <w:szCs w:val="20"/>
          <w:color w:val="auto"/>
        </w:rPr>
      </w:pPr>
      <w:r>
        <w:rPr>
          <w:rFonts w:ascii="Arial" w:cs="Arial" w:eastAsia="Arial" w:hAnsi="Arial"/>
          <w:sz w:val="22"/>
          <w:szCs w:val="22"/>
          <w:color w:val="auto"/>
        </w:rPr>
        <w:t>Oil-Dri Corporation of America</w:t>
      </w:r>
    </w:p>
    <w:p>
      <w:pPr>
        <w:spacing w:after="0"/>
        <w:rPr>
          <w:sz w:val="20"/>
          <w:szCs w:val="20"/>
          <w:color w:val="auto"/>
        </w:rPr>
      </w:pPr>
      <w:r>
        <w:rPr>
          <w:rFonts w:ascii="Arial" w:cs="Arial" w:eastAsia="Arial" w:hAnsi="Arial"/>
          <w:sz w:val="22"/>
          <w:szCs w:val="22"/>
          <w:color w:val="0000FF"/>
        </w:rPr>
        <w:t>InvestorRelations@oildri.com</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vMerge w:val="restart"/>
          </w:tcPr>
          <w:p>
            <w:pPr>
              <w:ind w:left="220"/>
              <w:spacing w:after="0"/>
              <w:rPr>
                <w:sz w:val="20"/>
                <w:szCs w:val="20"/>
                <w:color w:val="auto"/>
              </w:rPr>
            </w:pPr>
            <w:r>
              <w:rPr>
                <w:rFonts w:ascii="Arial" w:cs="Arial" w:eastAsia="Arial" w:hAnsi="Arial"/>
                <w:sz w:val="18"/>
                <w:szCs w:val="18"/>
                <w:b w:val="1"/>
                <w:bCs w:val="1"/>
                <w:color w:val="auto"/>
                <w:w w:val="98"/>
              </w:rPr>
              <w:t>Third Quarter Ended April 30,</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vMerge w:val="continue"/>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 of Sales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w w:val="99"/>
              </w:rPr>
              <w:t>% of Sales</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105,425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85,761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b w:val="1"/>
                <w:bCs w:val="1"/>
                <w:color w:val="auto"/>
              </w:rPr>
              <w:t>Cost of Goods Sold</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(77,958)</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(70,131)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02"/>
        </w:trPr>
        <w:tc>
          <w:tcPr>
            <w:tcW w:w="530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27,467</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18.2 %</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(13,011)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6"/>
                <w:szCs w:val="16"/>
                <w:b w:val="1"/>
                <w:bCs w:val="1"/>
                <w:color w:val="auto"/>
              </w:rPr>
              <w:t>Loss on Impairment of Goodwill</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14,456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b w:val="1"/>
                <w:bCs w:val="1"/>
                <w:color w:val="auto"/>
              </w:rPr>
              <w:t>Loss on Pension Termination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(4,858)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6"/>
                <w:szCs w:val="16"/>
                <w:b w:val="1"/>
                <w:bCs w:val="1"/>
                <w:color w:val="auto"/>
              </w:rPr>
              <w:t>Other Income, Net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6"/>
                <w:szCs w:val="16"/>
                <w:b w:val="1"/>
                <w:bCs w:val="1"/>
                <w:color w:val="auto"/>
              </w:rPr>
              <w:t>Total Other (Expense) Income, Net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(4,475)</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3"/>
        </w:trPr>
        <w:tc>
          <w:tcPr>
            <w:tcW w:w="530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9,981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6"/>
                <w:szCs w:val="16"/>
                <w:b w:val="1"/>
                <w:bCs w:val="1"/>
                <w:color w:val="auto"/>
              </w:rPr>
              <w:t>Income Taxes (Expense) Benefit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8,488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6"/>
                <w:szCs w:val="16"/>
                <w:b w:val="1"/>
                <w:bCs w:val="1"/>
                <w:color w:val="auto"/>
              </w:rPr>
              <w:t>Net Income (Loss) attributable to Oil-Dri</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8,535</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Net Income (Loss) Per Share: Basic Common</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300" w:type="dxa"/>
            <w:vAlign w:val="bottom"/>
            <w:vMerge w:val="continue"/>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0.96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4,838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5,003</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1,999</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340" w:top="1440" w:right="1239" w:bottom="1440" w:gutter="0" w:footer="0" w:header="0"/>
        </w:sectPr>
      </w:pPr>
    </w:p>
    <w:bookmarkStart w:id="10" w:name="page11"/>
    <w:bookmarkEnd w:id="10"/>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w w:val="92"/>
              </w:rPr>
              <w:t>Nine Months Ended April 30,</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 of Sales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305,633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255,431</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b w:val="1"/>
                <w:bCs w:val="1"/>
                <w:color w:val="auto"/>
              </w:rPr>
              <w:t>Cost of Goods Sold</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(232,840)</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(210,397)</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72,793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23.8 %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45,034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(44,462)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(41,054)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b w:val="1"/>
                <w:bCs w:val="1"/>
                <w:color w:val="auto"/>
              </w:rPr>
              <w:t>Loss on Impairment of Goodwill</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28,331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b w:val="1"/>
                <w:bCs w:val="1"/>
                <w:color w:val="auto"/>
              </w:rPr>
              <w:t>Loss on Pension Termination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(4,858)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b w:val="1"/>
                <w:bCs w:val="1"/>
                <w:color w:val="auto"/>
              </w:rPr>
              <w:t>Other (Expense) Income, Net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6"/>
                <w:szCs w:val="16"/>
                <w:b w:val="1"/>
                <w:bCs w:val="1"/>
                <w:color w:val="auto"/>
              </w:rPr>
              <w:t>Total Other (Expense) Income, Net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(6,874)</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21,457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b w:val="1"/>
                <w:bCs w:val="1"/>
                <w:color w:val="auto"/>
              </w:rPr>
              <w:t>Income Taxes (Expense) Benefit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17,564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9"/>
        </w:trPr>
        <w:tc>
          <w:tcPr>
            <w:tcW w:w="530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17,632</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300" w:type="dxa"/>
            <w:vAlign w:val="bottom"/>
            <w:vMerge w:val="continue"/>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4,824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5,042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1,933</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4,964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340" w:top="1440" w:right="1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1020" w:type="dxa"/>
            <w:vAlign w:val="bottom"/>
          </w:tcPr>
          <w:p>
            <w:pPr>
              <w:spacing w:after="0"/>
              <w:rPr>
                <w:sz w:val="20"/>
                <w:szCs w:val="20"/>
                <w:color w:val="auto"/>
              </w:rPr>
            </w:pPr>
          </w:p>
        </w:tc>
        <w:tc>
          <w:tcPr>
            <w:tcW w:w="154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rPr>
              <w:t>As of April 30,</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vMerge w:val="continue"/>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29,746</w:t>
            </w:r>
          </w:p>
        </w:tc>
        <w:tc>
          <w:tcPr>
            <w:tcW w:w="8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22,825</w:t>
            </w: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56,983</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43,287</w:t>
            </w:r>
          </w:p>
        </w:tc>
        <w:tc>
          <w:tcPr>
            <w:tcW w:w="0" w:type="dxa"/>
            <w:vAlign w:val="bottom"/>
          </w:tcPr>
          <w:p>
            <w:pPr>
              <w:spacing w:after="0"/>
              <w:rPr>
                <w:sz w:val="1"/>
                <w:szCs w:val="1"/>
                <w:color w:val="auto"/>
              </w:rPr>
            </w:pPr>
          </w:p>
        </w:tc>
      </w:tr>
      <w:tr>
        <w:trPr>
          <w:trHeight w:val="234"/>
        </w:trPr>
        <w:tc>
          <w:tcPr>
            <w:tcW w:w="660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36,664</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34,951</w:t>
            </w:r>
          </w:p>
        </w:tc>
        <w:tc>
          <w:tcPr>
            <w:tcW w:w="0" w:type="dxa"/>
            <w:vAlign w:val="bottom"/>
          </w:tcPr>
          <w:p>
            <w:pPr>
              <w:spacing w:after="0"/>
              <w:rPr>
                <w:sz w:val="1"/>
                <w:szCs w:val="1"/>
                <w:color w:val="auto"/>
              </w:rPr>
            </w:pPr>
          </w:p>
        </w:tc>
      </w:tr>
      <w:tr>
        <w:trPr>
          <w:trHeight w:val="243"/>
        </w:trPr>
        <w:tc>
          <w:tcPr>
            <w:tcW w:w="6600" w:type="dxa"/>
            <w:vAlign w:val="bottom"/>
          </w:tcPr>
          <w:p>
            <w:pPr>
              <w:ind w:left="380"/>
              <w:spacing w:after="0"/>
              <w:rPr>
                <w:sz w:val="20"/>
                <w:szCs w:val="20"/>
                <w:color w:val="auto"/>
              </w:rPr>
            </w:pPr>
            <w:r>
              <w:rPr>
                <w:rFonts w:ascii="Arial" w:cs="Arial" w:eastAsia="Arial" w:hAnsi="Arial"/>
                <w:sz w:val="18"/>
                <w:szCs w:val="18"/>
                <w:b w:val="1"/>
                <w:bCs w:val="1"/>
                <w:color w:val="auto"/>
              </w:rPr>
              <w:t>Prepaid Expenses and Other Assets</w:t>
            </w: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10,672</w:t>
            </w:r>
          </w:p>
        </w:tc>
        <w:tc>
          <w:tcPr>
            <w:tcW w:w="3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12,639</w:t>
            </w:r>
          </w:p>
        </w:tc>
        <w:tc>
          <w:tcPr>
            <w:tcW w:w="0" w:type="dxa"/>
            <w:vAlign w:val="bottom"/>
          </w:tcPr>
          <w:p>
            <w:pPr>
              <w:spacing w:after="0"/>
              <w:rPr>
                <w:sz w:val="1"/>
                <w:szCs w:val="1"/>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134,065</w:t>
            </w: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113,702</w:t>
            </w:r>
          </w:p>
        </w:tc>
        <w:tc>
          <w:tcPr>
            <w:tcW w:w="0" w:type="dxa"/>
            <w:vAlign w:val="bottom"/>
          </w:tcPr>
          <w:p>
            <w:pPr>
              <w:spacing w:after="0"/>
              <w:rPr>
                <w:sz w:val="1"/>
                <w:szCs w:val="1"/>
                <w:color w:val="auto"/>
              </w:rPr>
            </w:pPr>
          </w:p>
        </w:tc>
      </w:tr>
      <w:tr>
        <w:trPr>
          <w:trHeight w:val="224"/>
        </w:trPr>
        <w:tc>
          <w:tcPr>
            <w:tcW w:w="66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111,128</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102,230</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25,103</w:t>
            </w:r>
          </w:p>
        </w:tc>
        <w:tc>
          <w:tcPr>
            <w:tcW w:w="3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270,296</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241,452</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66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8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8"/>
        </w:trPr>
        <w:tc>
          <w:tcPr>
            <w:tcW w:w="660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11,919</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10,099</w:t>
            </w:r>
          </w:p>
        </w:tc>
        <w:tc>
          <w:tcPr>
            <w:tcW w:w="0" w:type="dxa"/>
            <w:vAlign w:val="bottom"/>
          </w:tcPr>
          <w:p>
            <w:pPr>
              <w:spacing w:after="0"/>
              <w:rPr>
                <w:sz w:val="1"/>
                <w:szCs w:val="1"/>
                <w:color w:val="auto"/>
              </w:rPr>
            </w:pPr>
          </w:p>
        </w:tc>
      </w:tr>
      <w:tr>
        <w:trPr>
          <w:trHeight w:val="234"/>
        </w:trPr>
        <w:tc>
          <w:tcPr>
            <w:tcW w:w="660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1,863</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4"/>
        </w:trPr>
        <w:tc>
          <w:tcPr>
            <w:tcW w:w="6600" w:type="dxa"/>
            <w:vAlign w:val="bottom"/>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w:t>
            </w:r>
          </w:p>
        </w:tc>
        <w:tc>
          <w:tcPr>
            <w:tcW w:w="3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28,463</w:t>
            </w:r>
          </w:p>
        </w:tc>
        <w:tc>
          <w:tcPr>
            <w:tcW w:w="0" w:type="dxa"/>
            <w:vAlign w:val="bottom"/>
          </w:tcPr>
          <w:p>
            <w:pPr>
              <w:spacing w:after="0"/>
              <w:rPr>
                <w:sz w:val="1"/>
                <w:szCs w:val="1"/>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51,904</w:t>
            </w: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41,407</w:t>
            </w:r>
          </w:p>
        </w:tc>
        <w:tc>
          <w:tcPr>
            <w:tcW w:w="0" w:type="dxa"/>
            <w:vAlign w:val="bottom"/>
          </w:tcPr>
          <w:p>
            <w:pPr>
              <w:spacing w:after="0"/>
              <w:rPr>
                <w:sz w:val="1"/>
                <w:szCs w:val="1"/>
                <w:color w:val="auto"/>
              </w:rPr>
            </w:pPr>
          </w:p>
        </w:tc>
      </w:tr>
      <w:tr>
        <w:trPr>
          <w:trHeight w:val="218"/>
        </w:trPr>
        <w:tc>
          <w:tcPr>
            <w:tcW w:w="66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31,818</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32,788</w:t>
            </w:r>
          </w:p>
        </w:tc>
        <w:tc>
          <w:tcPr>
            <w:tcW w:w="0" w:type="dxa"/>
            <w:vAlign w:val="bottom"/>
          </w:tcPr>
          <w:p>
            <w:pPr>
              <w:spacing w:after="0"/>
              <w:rPr>
                <w:sz w:val="1"/>
                <w:szCs w:val="1"/>
                <w:color w:val="auto"/>
              </w:rPr>
            </w:pPr>
          </w:p>
        </w:tc>
      </w:tr>
      <w:tr>
        <w:trPr>
          <w:trHeight w:val="244"/>
        </w:trPr>
        <w:tc>
          <w:tcPr>
            <w:tcW w:w="660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19,479</w:t>
            </w:r>
          </w:p>
        </w:tc>
        <w:tc>
          <w:tcPr>
            <w:tcW w:w="3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21,502</w:t>
            </w:r>
          </w:p>
        </w:tc>
        <w:tc>
          <w:tcPr>
            <w:tcW w:w="0" w:type="dxa"/>
            <w:vAlign w:val="bottom"/>
          </w:tcPr>
          <w:p>
            <w:pPr>
              <w:spacing w:after="0"/>
              <w:rPr>
                <w:sz w:val="1"/>
                <w:szCs w:val="1"/>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51,297</w:t>
            </w: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167,095</w:t>
            </w: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145,755</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270,296</w:t>
            </w: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241,452</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600" w:type="dxa"/>
            <w:vAlign w:val="bottom"/>
            <w:vMerge w:val="continue"/>
          </w:tcPr>
          <w:p>
            <w:pPr>
              <w:spacing w:after="0"/>
              <w:rPr>
                <w:sz w:val="24"/>
                <w:szCs w:val="24"/>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24.64</w:t>
            </w:r>
          </w:p>
        </w:tc>
        <w:tc>
          <w:tcPr>
            <w:tcW w:w="8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481"/>
        </w:trPr>
        <w:tc>
          <w:tcPr>
            <w:tcW w:w="660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340"/>
              <w:spacing w:after="0"/>
              <w:rPr>
                <w:sz w:val="20"/>
                <w:szCs w:val="20"/>
                <w:color w:val="auto"/>
              </w:rPr>
            </w:pPr>
            <w:r>
              <w:rPr>
                <w:rFonts w:ascii="Arial" w:cs="Arial" w:eastAsia="Arial" w:hAnsi="Arial"/>
                <w:sz w:val="18"/>
                <w:szCs w:val="18"/>
                <w:b w:val="1"/>
                <w:bCs w:val="1"/>
                <w:color w:val="auto"/>
              </w:rPr>
              <w:t>Third Quarter</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4,159</w:t>
            </w:r>
          </w:p>
        </w:tc>
        <w:tc>
          <w:tcPr>
            <w:tcW w:w="8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30"/>
        </w:trPr>
        <w:tc>
          <w:tcPr>
            <w:tcW w:w="6600" w:type="dxa"/>
            <w:vAlign w:val="bottom"/>
          </w:tcPr>
          <w:p>
            <w:pPr>
              <w:ind w:left="340"/>
              <w:spacing w:after="0"/>
              <w:rPr>
                <w:sz w:val="20"/>
                <w:szCs w:val="20"/>
                <w:color w:val="auto"/>
              </w:rPr>
            </w:pPr>
            <w:r>
              <w:rPr>
                <w:rFonts w:ascii="Arial" w:cs="Arial" w:eastAsia="Arial" w:hAnsi="Arial"/>
                <w:sz w:val="18"/>
                <w:szCs w:val="18"/>
                <w:b w:val="1"/>
                <w:bCs w:val="1"/>
                <w:color w:val="auto"/>
              </w:rPr>
              <w:t>Year To Date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17,444</w:t>
            </w:r>
          </w:p>
        </w:tc>
        <w:tc>
          <w:tcPr>
            <w:tcW w:w="8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16,012</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340"/>
              <w:spacing w:after="0"/>
              <w:rPr>
                <w:sz w:val="20"/>
                <w:szCs w:val="20"/>
                <w:color w:val="auto"/>
              </w:rPr>
            </w:pPr>
            <w:r>
              <w:rPr>
                <w:rFonts w:ascii="Arial" w:cs="Arial" w:eastAsia="Arial" w:hAnsi="Arial"/>
                <w:sz w:val="18"/>
                <w:szCs w:val="18"/>
                <w:b w:val="1"/>
                <w:bCs w:val="1"/>
                <w:color w:val="auto"/>
              </w:rPr>
              <w:t>Third Quarter</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4,074</w:t>
            </w:r>
          </w:p>
        </w:tc>
        <w:tc>
          <w:tcPr>
            <w:tcW w:w="8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34"/>
        </w:trPr>
        <w:tc>
          <w:tcPr>
            <w:tcW w:w="6600" w:type="dxa"/>
            <w:vAlign w:val="bottom"/>
          </w:tcPr>
          <w:p>
            <w:pPr>
              <w:ind w:left="340"/>
              <w:spacing w:after="0"/>
              <w:rPr>
                <w:sz w:val="20"/>
                <w:szCs w:val="20"/>
                <w:color w:val="auto"/>
              </w:rPr>
            </w:pPr>
            <w:r>
              <w:rPr>
                <w:rFonts w:ascii="Arial" w:cs="Arial" w:eastAsia="Arial" w:hAnsi="Arial"/>
                <w:sz w:val="18"/>
                <w:szCs w:val="18"/>
                <w:b w:val="1"/>
                <w:bCs w:val="1"/>
                <w:color w:val="auto"/>
              </w:rPr>
              <w:t>Year To Date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11,348</w:t>
            </w:r>
          </w:p>
        </w:tc>
        <w:tc>
          <w:tcPr>
            <w:tcW w:w="8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10,034</w:t>
            </w:r>
          </w:p>
        </w:tc>
        <w:tc>
          <w:tcPr>
            <w:tcW w:w="0" w:type="dxa"/>
            <w:vAlign w:val="bottom"/>
          </w:tcPr>
          <w:p>
            <w:pPr>
              <w:spacing w:after="0"/>
              <w:rPr>
                <w:sz w:val="1"/>
                <w:szCs w:val="1"/>
                <w:color w:val="auto"/>
              </w:rPr>
            </w:pPr>
          </w:p>
        </w:tc>
      </w:tr>
    </w:tbl>
    <w:p>
      <w:pPr>
        <w:sectPr>
          <w:pgSz w:w="11900" w:h="16838" w:orient="portrait"/>
          <w:cols w:equalWidth="0" w:num="1">
            <w:col w:w="10340"/>
          </w:cols>
          <w:pgMar w:left="340" w:top="1440" w:right="12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(in thousands)</w:t>
            </w:r>
          </w:p>
        </w:tc>
        <w:tc>
          <w:tcPr>
            <w:tcW w:w="3100" w:type="dxa"/>
            <w:vAlign w:val="bottom"/>
            <w:gridSpan w:val="4"/>
            <w:vMerge w:val="restart"/>
          </w:tcPr>
          <w:p>
            <w:pPr>
              <w:jc w:val="right"/>
              <w:ind w:right="50"/>
              <w:spacing w:after="0"/>
              <w:rPr>
                <w:sz w:val="20"/>
                <w:szCs w:val="20"/>
                <w:color w:val="auto"/>
              </w:rPr>
            </w:pPr>
            <w:r>
              <w:rPr>
                <w:rFonts w:ascii="Arial" w:cs="Arial" w:eastAsia="Arial" w:hAnsi="Arial"/>
                <w:sz w:val="18"/>
                <w:szCs w:val="18"/>
                <w:b w:val="1"/>
                <w:bCs w:val="1"/>
                <w:color w:val="auto"/>
              </w:rPr>
              <w:t>For the Nine Months Ended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19"/>
                <w:szCs w:val="19"/>
                <w:color w:val="auto"/>
              </w:rPr>
            </w:pPr>
          </w:p>
        </w:tc>
        <w:tc>
          <w:tcPr>
            <w:tcW w:w="3100" w:type="dxa"/>
            <w:vAlign w:val="bottom"/>
            <w:gridSpan w:val="4"/>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April 30,</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17,564</w:t>
            </w:r>
          </w:p>
        </w:tc>
        <w:tc>
          <w:tcPr>
            <w:tcW w:w="14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11,348</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10,034</w:t>
            </w:r>
          </w:p>
        </w:tc>
        <w:tc>
          <w:tcPr>
            <w:tcW w:w="0" w:type="dxa"/>
            <w:vAlign w:val="bottom"/>
          </w:tcPr>
          <w:p>
            <w:pPr>
              <w:spacing w:after="0"/>
              <w:rPr>
                <w:sz w:val="1"/>
                <w:szCs w:val="1"/>
                <w:color w:val="auto"/>
              </w:rPr>
            </w:pPr>
          </w:p>
        </w:tc>
      </w:tr>
      <w:tr>
        <w:trPr>
          <w:trHeight w:val="234"/>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Loss on Impairment of Goodwill</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Loss on Pension Termination</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4,858</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Receivable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(5,604)</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34"/>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Increase in Inventories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(1,209)</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(11,456)</w:t>
            </w: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Payable</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Increase in Accrued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5,653</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4"/>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Decrease in Pension and Postretirement Benefits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(981)</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3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23"/>
        </w:trPr>
        <w:tc>
          <w:tcPr>
            <w:tcW w:w="6580" w:type="dxa"/>
            <w:vAlign w:val="bottom"/>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19,227</w:t>
            </w:r>
          </w:p>
        </w:tc>
        <w:tc>
          <w:tcPr>
            <w:tcW w:w="3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20"/>
                <w:szCs w:val="20"/>
                <w:b w:val="1"/>
                <w:bCs w:val="1"/>
                <w:color w:val="auto"/>
              </w:rPr>
              <w:t>Net Cash Provided by Operating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36,791</w:t>
            </w:r>
          </w:p>
        </w:tc>
        <w:tc>
          <w:tcPr>
            <w:tcW w:w="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466"/>
        </w:trPr>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Capital Expenditures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(17,444)</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(16,012)</w:t>
            </w:r>
          </w:p>
        </w:tc>
        <w:tc>
          <w:tcPr>
            <w:tcW w:w="0" w:type="dxa"/>
            <w:vAlign w:val="bottom"/>
          </w:tcPr>
          <w:p>
            <w:pPr>
              <w:spacing w:after="0"/>
              <w:rPr>
                <w:sz w:val="1"/>
                <w:szCs w:val="1"/>
                <w:color w:val="auto"/>
              </w:rPr>
            </w:pPr>
          </w:p>
        </w:tc>
      </w:tr>
      <w:tr>
        <w:trPr>
          <w:trHeight w:val="234"/>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20"/>
                <w:szCs w:val="20"/>
                <w:b w:val="1"/>
                <w:bCs w:val="1"/>
                <w:color w:val="auto"/>
              </w:rPr>
              <w:t>Net Cash Used in Investing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(17,434)</w:t>
            </w:r>
          </w:p>
        </w:tc>
        <w:tc>
          <w:tcPr>
            <w:tcW w:w="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(16,012)</w:t>
            </w:r>
          </w:p>
        </w:tc>
        <w:tc>
          <w:tcPr>
            <w:tcW w:w="0" w:type="dxa"/>
            <w:vAlign w:val="bottom"/>
          </w:tcPr>
          <w:p>
            <w:pPr>
              <w:spacing w:after="0"/>
              <w:rPr>
                <w:sz w:val="1"/>
                <w:szCs w:val="1"/>
                <w:color w:val="auto"/>
              </w:rPr>
            </w:pPr>
          </w:p>
        </w:tc>
      </w:tr>
      <w:tr>
        <w:trPr>
          <w:trHeight w:val="461"/>
        </w:trPr>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Proceeds from Issuance of Notes Payable</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Payment of Debt Issuance costs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Dividends Paid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(5,574)</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34"/>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Purchases of Treasury Stock</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(10,506)</w:t>
            </w:r>
          </w:p>
        </w:tc>
        <w:tc>
          <w:tcPr>
            <w:tcW w:w="0" w:type="dxa"/>
            <w:vAlign w:val="bottom"/>
          </w:tcPr>
          <w:p>
            <w:pPr>
              <w:spacing w:after="0"/>
              <w:rPr>
                <w:sz w:val="1"/>
                <w:szCs w:val="1"/>
                <w:color w:val="auto"/>
              </w:rPr>
            </w:pPr>
          </w:p>
        </w:tc>
      </w:tr>
      <w:tr>
        <w:trPr>
          <w:trHeight w:val="236"/>
        </w:trPr>
        <w:tc>
          <w:tcPr>
            <w:tcW w:w="6580" w:type="dxa"/>
            <w:vAlign w:val="bottom"/>
          </w:tcPr>
          <w:p>
            <w:pPr>
              <w:spacing w:after="0"/>
              <w:rPr>
                <w:sz w:val="20"/>
                <w:szCs w:val="20"/>
                <w:color w:val="auto"/>
              </w:rPr>
            </w:pPr>
            <w:r>
              <w:rPr>
                <w:rFonts w:ascii="Arial" w:cs="Arial" w:eastAsia="Arial" w:hAnsi="Arial"/>
                <w:sz w:val="20"/>
                <w:szCs w:val="20"/>
                <w:b w:val="1"/>
                <w:bCs w:val="1"/>
                <w:color w:val="auto"/>
              </w:rPr>
              <w:t>Net Cash (Used In) Provided By Financing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8,807</w:t>
            </w:r>
          </w:p>
        </w:tc>
        <w:tc>
          <w:tcPr>
            <w:tcW w:w="0" w:type="dxa"/>
            <w:vAlign w:val="bottom"/>
          </w:tcPr>
          <w:p>
            <w:pPr>
              <w:spacing w:after="0"/>
              <w:rPr>
                <w:sz w:val="1"/>
                <w:szCs w:val="1"/>
                <w:color w:val="auto"/>
              </w:rPr>
            </w:pPr>
          </w:p>
        </w:tc>
      </w:tr>
      <w:tr>
        <w:trPr>
          <w:trHeight w:val="466"/>
        </w:trPr>
        <w:tc>
          <w:tcPr>
            <w:tcW w:w="658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92"/>
        </w:trPr>
        <w:tc>
          <w:tcPr>
            <w:tcW w:w="6580" w:type="dxa"/>
            <w:vAlign w:val="bottom"/>
          </w:tcPr>
          <w:p>
            <w:pPr>
              <w:spacing w:after="0"/>
              <w:rPr>
                <w:sz w:val="20"/>
                <w:szCs w:val="20"/>
                <w:color w:val="auto"/>
              </w:rPr>
            </w:pPr>
            <w:r>
              <w:rPr>
                <w:rFonts w:ascii="Arial" w:cs="Arial" w:eastAsia="Arial" w:hAnsi="Arial"/>
                <w:sz w:val="20"/>
                <w:szCs w:val="20"/>
                <w:b w:val="1"/>
                <w:bCs w:val="1"/>
                <w:color w:val="auto"/>
              </w:rPr>
              <w:t>Net Increase (Decrease) in Cash and Cash Equivalents</w:t>
            </w: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13,448</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16,298</w:t>
            </w:r>
          </w:p>
        </w:tc>
        <w:tc>
          <w:tcPr>
            <w:tcW w:w="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29,746</w:t>
            </w:r>
          </w:p>
        </w:tc>
        <w:tc>
          <w:tcPr>
            <w:tcW w:w="380" w:type="dxa"/>
            <w:vAlign w:val="bottom"/>
          </w:tcPr>
          <w:p>
            <w:pPr>
              <w:spacing w:after="0"/>
              <w:rPr>
                <w:sz w:val="20"/>
                <w:szCs w:val="20"/>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40" w:top="1440" w:right="12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RECONCILIATION OF NON-GAAP FINANCIAL MEASURES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2300" w:type="dxa"/>
            <w:vAlign w:val="bottom"/>
            <w:gridSpan w:val="4"/>
            <w:vMerge w:val="restart"/>
          </w:tcPr>
          <w:p>
            <w:pPr>
              <w:jc w:val="right"/>
              <w:ind w:right="630"/>
              <w:spacing w:after="0"/>
              <w:rPr>
                <w:sz w:val="20"/>
                <w:szCs w:val="20"/>
                <w:color w:val="auto"/>
              </w:rPr>
            </w:pPr>
            <w:r>
              <w:rPr>
                <w:rFonts w:ascii="Arial" w:cs="Arial" w:eastAsia="Arial" w:hAnsi="Arial"/>
                <w:sz w:val="18"/>
                <w:szCs w:val="18"/>
                <w:b w:val="1"/>
                <w:bCs w:val="1"/>
                <w:color w:val="auto"/>
              </w:rPr>
              <w:t>Third Quarter</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Year to Date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Ended April 30,</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Ended April 30,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18"/>
        </w:trPr>
        <w:tc>
          <w:tcPr>
            <w:tcW w:w="5400" w:type="dxa"/>
            <w:vAlign w:val="bottom"/>
          </w:tcPr>
          <w:p>
            <w:pPr>
              <w:spacing w:after="0"/>
              <w:rPr>
                <w:sz w:val="20"/>
                <w:szCs w:val="20"/>
                <w:color w:val="auto"/>
              </w:rPr>
            </w:pPr>
            <w:r>
              <w:rPr>
                <w:rFonts w:ascii="Arial" w:cs="Arial" w:eastAsia="Arial" w:hAnsi="Arial"/>
                <w:sz w:val="18"/>
                <w:szCs w:val="18"/>
                <w:b w:val="1"/>
                <w:bCs w:val="1"/>
                <w:color w:val="auto"/>
              </w:rPr>
              <w:t>RETAIL AND WHOLESALE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GAAP: Segment Operating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10,744</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(2,349)</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27,000</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0"/>
                <w:szCs w:val="20"/>
                <w:color w:val="auto"/>
              </w:rPr>
            </w:pPr>
            <w:r>
              <w:rPr>
                <w:rFonts w:ascii="Arial" w:cs="Arial" w:eastAsia="Arial" w:hAnsi="Arial"/>
                <w:sz w:val="18"/>
                <w:szCs w:val="18"/>
                <w:b w:val="1"/>
                <w:bCs w:val="1"/>
                <w:color w:val="auto"/>
              </w:rPr>
              <w:t>Goodwill Impairment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26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164"/>
        </w:trPr>
        <w:tc>
          <w:tcPr>
            <w:tcW w:w="5400" w:type="dxa"/>
            <w:vAlign w:val="bottom"/>
          </w:tcPr>
          <w:p>
            <w:pPr>
              <w:spacing w:after="0" w:line="164" w:lineRule="exact"/>
              <w:rPr>
                <w:sz w:val="20"/>
                <w:szCs w:val="20"/>
                <w:color w:val="auto"/>
              </w:rPr>
            </w:pPr>
            <w:r>
              <w:rPr>
                <w:rFonts w:ascii="Arial" w:cs="Arial" w:eastAsia="Arial" w:hAnsi="Arial"/>
                <w:sz w:val="18"/>
                <w:szCs w:val="18"/>
                <w:b w:val="1"/>
                <w:bCs w:val="1"/>
                <w:color w:val="auto"/>
                <w:w w:val="98"/>
              </w:rPr>
              <w:t>Non-GAAP: Segment Operating Income excluding Nonrecurring</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10,744</w:t>
            </w:r>
          </w:p>
        </w:tc>
        <w:tc>
          <w:tcPr>
            <w:tcW w:w="4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3,295</w:t>
            </w:r>
          </w:p>
        </w:tc>
        <w:tc>
          <w:tcPr>
            <w:tcW w:w="5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27,000</w:t>
            </w:r>
          </w:p>
        </w:tc>
        <w:tc>
          <w:tcPr>
            <w:tcW w:w="52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8"/>
                <w:szCs w:val="18"/>
                <w:b w:val="1"/>
                <w:bCs w:val="1"/>
                <w:color w:val="auto"/>
              </w:rPr>
              <w:t>Events</w:t>
            </w:r>
          </w:p>
        </w:tc>
        <w:tc>
          <w:tcPr>
            <w:tcW w:w="2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RESULTS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GAAP: Net Income Attributable to Oil-Dri</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8,535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(2,109)</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17,632</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r>
              <w:rPr>
                <w:rFonts w:ascii="Arial" w:cs="Arial" w:eastAsia="Arial" w:hAnsi="Arial"/>
                <w:sz w:val="18"/>
                <w:szCs w:val="18"/>
                <w:b w:val="1"/>
                <w:bCs w:val="1"/>
                <w:color w:val="auto"/>
              </w:rPr>
              <w:t>Plus: Nonrecurring Events, Net of Tax</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20"/>
              <w:spacing w:after="0"/>
              <w:rPr>
                <w:sz w:val="20"/>
                <w:szCs w:val="20"/>
                <w:color w:val="auto"/>
              </w:rPr>
            </w:pPr>
            <w:r>
              <w:rPr>
                <w:rFonts w:ascii="Arial" w:cs="Arial" w:eastAsia="Arial" w:hAnsi="Arial"/>
                <w:sz w:val="18"/>
                <w:szCs w:val="18"/>
                <w:b w:val="1"/>
                <w:bCs w:val="1"/>
                <w:color w:val="auto"/>
              </w:rPr>
              <w:t>Goodwill Impairment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4,462</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34"/>
        </w:trPr>
        <w:tc>
          <w:tcPr>
            <w:tcW w:w="5400" w:type="dxa"/>
            <w:vAlign w:val="bottom"/>
          </w:tcPr>
          <w:p>
            <w:pPr>
              <w:ind w:left="220"/>
              <w:spacing w:after="0"/>
              <w:rPr>
                <w:sz w:val="20"/>
                <w:szCs w:val="20"/>
                <w:color w:val="auto"/>
              </w:rPr>
            </w:pPr>
            <w:r>
              <w:rPr>
                <w:rFonts w:ascii="Arial" w:cs="Arial" w:eastAsia="Arial" w:hAnsi="Arial"/>
                <w:sz w:val="18"/>
                <w:szCs w:val="18"/>
                <w:b w:val="1"/>
                <w:bCs w:val="1"/>
                <w:color w:val="auto"/>
              </w:rPr>
              <w:t>Landfill Modification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1,977</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220"/>
              <w:spacing w:after="0"/>
              <w:rPr>
                <w:sz w:val="20"/>
                <w:szCs w:val="20"/>
                <w:color w:val="auto"/>
              </w:rPr>
            </w:pPr>
            <w:r>
              <w:rPr>
                <w:rFonts w:ascii="Arial" w:cs="Arial" w:eastAsia="Arial" w:hAnsi="Arial"/>
                <w:sz w:val="18"/>
                <w:szCs w:val="18"/>
                <w:b w:val="1"/>
                <w:bCs w:val="1"/>
                <w:color w:val="auto"/>
              </w:rPr>
              <w:t>Pension Termination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4,784</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4,784</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Total Nonrecurring Events, Net of Tax</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169"/>
        </w:trPr>
        <w:tc>
          <w:tcPr>
            <w:tcW w:w="5400" w:type="dxa"/>
            <w:vAlign w:val="bottom"/>
          </w:tcPr>
          <w:p>
            <w:pPr>
              <w:spacing w:after="0" w:line="169" w:lineRule="exact"/>
              <w:rPr>
                <w:sz w:val="20"/>
                <w:szCs w:val="20"/>
                <w:color w:val="auto"/>
              </w:rPr>
            </w:pPr>
            <w:r>
              <w:rPr>
                <w:rFonts w:ascii="Arial" w:cs="Arial" w:eastAsia="Arial" w:hAnsi="Arial"/>
                <w:sz w:val="18"/>
                <w:szCs w:val="18"/>
                <w:b w:val="1"/>
                <w:bCs w:val="1"/>
                <w:color w:val="auto"/>
              </w:rPr>
              <w:t>Non-GAAP: Net Income Attributable to Oil-Dri excluding</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13,319</w:t>
            </w:r>
          </w:p>
        </w:tc>
        <w:tc>
          <w:tcPr>
            <w:tcW w:w="160" w:type="dxa"/>
            <w:vAlign w:val="bottom"/>
            <w:vMerge w:val="restart"/>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2,353</w:t>
            </w:r>
          </w:p>
        </w:tc>
        <w:tc>
          <w:tcPr>
            <w:tcW w:w="260" w:type="dxa"/>
            <w:vAlign w:val="bottom"/>
            <w:vMerge w:val="restart"/>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24,393</w:t>
            </w:r>
          </w:p>
        </w:tc>
        <w:tc>
          <w:tcPr>
            <w:tcW w:w="160" w:type="dxa"/>
            <w:vAlign w:val="bottom"/>
            <w:vMerge w:val="restart"/>
          </w:tcPr>
          <w:p>
            <w:pPr>
              <w:spacing w:after="0"/>
              <w:rPr>
                <w:sz w:val="14"/>
                <w:szCs w:val="14"/>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08"/>
        </w:trPr>
        <w:tc>
          <w:tcPr>
            <w:tcW w:w="5400" w:type="dxa"/>
            <w:vAlign w:val="bottom"/>
          </w:tcPr>
          <w:p>
            <w:pPr>
              <w:spacing w:after="0" w:line="202" w:lineRule="exact"/>
              <w:rPr>
                <w:sz w:val="20"/>
                <w:szCs w:val="20"/>
                <w:color w:val="auto"/>
              </w:rPr>
            </w:pPr>
            <w:r>
              <w:rPr>
                <w:rFonts w:ascii="Arial" w:cs="Arial" w:eastAsia="Arial" w:hAnsi="Arial"/>
                <w:sz w:val="18"/>
                <w:szCs w:val="18"/>
                <w:b w:val="1"/>
                <w:bCs w:val="1"/>
                <w:color w:val="auto"/>
              </w:rPr>
              <w:t>Nonrecurring Events</w:t>
            </w:r>
          </w:p>
        </w:tc>
        <w:tc>
          <w:tcPr>
            <w:tcW w:w="2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GAAP: Earnings per Common Diluted Share</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40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(0.32)</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b w:val="1"/>
                <w:bCs w:val="1"/>
                <w:color w:val="auto"/>
              </w:rPr>
              <w:t>Plus: Nonrecurring Events, Net of Tax</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6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69"/>
        </w:trPr>
        <w:tc>
          <w:tcPr>
            <w:tcW w:w="5400" w:type="dxa"/>
            <w:vAlign w:val="bottom"/>
          </w:tcPr>
          <w:p>
            <w:pPr>
              <w:spacing w:after="0" w:line="169" w:lineRule="exact"/>
              <w:rPr>
                <w:sz w:val="20"/>
                <w:szCs w:val="20"/>
                <w:color w:val="auto"/>
              </w:rPr>
            </w:pPr>
            <w:r>
              <w:rPr>
                <w:rFonts w:ascii="Arial" w:cs="Arial" w:eastAsia="Arial" w:hAnsi="Arial"/>
                <w:sz w:val="18"/>
                <w:szCs w:val="18"/>
                <w:b w:val="1"/>
                <w:bCs w:val="1"/>
                <w:color w:val="auto"/>
              </w:rPr>
              <w:t>Non-GAAP: Earnings per Common Diluted Share excluding</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4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0.35</w:t>
            </w:r>
          </w:p>
        </w:tc>
        <w:tc>
          <w:tcPr>
            <w:tcW w:w="5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52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b w:val="1"/>
                <w:bCs w:val="1"/>
                <w:color w:val="auto"/>
              </w:rPr>
              <w:t>Nonrecurring Events</w:t>
            </w: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20"/>
      </w:cols>
      <w:pgMar w:left="340" w:top="144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2023-06-08T15:51:47Z</dcterms:created>
  <dcterms:modified xsi:type="dcterms:W3CDTF">2023-06-08T15:51:47Z</dcterms:modified>
</cp:coreProperties>
</file>