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ROETH GEORGE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 CHARLES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LAFAYETTE</w:t>
            </w:r>
          </w:p>
        </w:tc>
        <w:tc>
          <w:tcPr>
            <w:tcW w:w="980" w:type="dxa"/>
            <w:vAlign w:val="bottom"/>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94549</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01/07/2019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1,500</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2,000</w:t>
            </w:r>
          </w:p>
        </w:tc>
        <w:tc>
          <w:tcPr>
            <w:tcW w:w="94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Roeth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01/07/2019</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00" w:type="dxa"/>
            <w:vAlign w:val="bottom"/>
            <w:vMerge w:val="restart"/>
          </w:tcPr>
          <w:p>
            <w:pPr>
              <w:ind w:left="260"/>
              <w:spacing w:after="0"/>
              <w:rPr>
                <w:sz w:val="20"/>
                <w:szCs w:val="20"/>
                <w:color w:val="auto"/>
              </w:rPr>
            </w:pPr>
            <w:r>
              <w:rPr>
                <w:rFonts w:ascii="Arial" w:cs="Arial" w:eastAsia="Arial" w:hAnsi="Arial"/>
                <w:sz w:val="18"/>
                <w:szCs w:val="18"/>
                <w:color w:val="0000FF"/>
                <w:w w:val="93"/>
              </w:rPr>
              <w:t>1,500</w:t>
            </w:r>
          </w:p>
        </w:tc>
        <w:tc>
          <w:tcPr>
            <w:tcW w:w="500" w:type="dxa"/>
            <w:vAlign w:val="bottom"/>
            <w:vMerge w:val="restart"/>
          </w:tcPr>
          <w:p>
            <w:pPr>
              <w:ind w:left="38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18"/>
                <w:szCs w:val="18"/>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spacing w:after="0"/>
              <w:rPr>
                <w:sz w:val="20"/>
                <w:szCs w:val="20"/>
                <w:color w:val="auto"/>
              </w:rPr>
            </w:pPr>
            <w:r>
              <w:rPr>
                <w:rFonts w:ascii="Arial" w:cs="Arial" w:eastAsia="Arial" w:hAnsi="Arial"/>
                <w:sz w:val="18"/>
                <w:szCs w:val="18"/>
                <w:color w:val="0000FF"/>
              </w:rPr>
              <w:t>1,500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rPr>
              <w:t>Trust U/A</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DTD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0000FF"/>
                <w:w w:val="94"/>
              </w:rPr>
              <w:t>0/15/2016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contributed, for no consideration, 1,500 directly owned shares to a trust for the benefit of the reporting person and his spouse. The reporting person remains the beneficial owner of the shares, which are now reported as indirectly owned through the trust.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149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2020-02-18T22:14:20Z</dcterms:created>
  <dcterms:modified xsi:type="dcterms:W3CDTF">2020-02-18T22:14:20Z</dcterms:modified>
</cp:coreProperties>
</file>