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odc_17.htm"/>
      <w:bookmarkStart w:id="1" w:name="ksodc_17"/>
      <w:bookmarkStart w:id="2" w:name="odc_17.htm"/>
      <w:bookmarkStart w:id="3" w:name="ksodc_17"/>
      <w:bookmarkEnd w:id="2"/>
      <w:bookmarkEnd w:id="3"/>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SCHEDULE 13D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Under the Securities Exchange Act of 1934 (Amendment No.  17)</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Oil-Dri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(Name of Issuer)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Common Stock Par Value $0.10 Per Share</w:t>
      </w:r>
    </w:p>
    <w:p>
      <w:pPr>
        <w:pStyle w:val="TextBody"/>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bookmarkStart w:id="4" w:name="TAB24"/>
      <w:bookmarkEnd w:id="4"/>
      <w:r>
        <w:rPr>
          <w:spacing w:val="180"/>
        </w:rPr>
        <w:t>   </w:t>
      </w:r>
      <w:r>
        <w:rPr/>
        <w:t> </w:t>
      </w:r>
      <w:bookmarkStart w:id="5" w:name="TAB23"/>
      <w:bookmarkEnd w:id="5"/>
      <w:r>
        <w:rPr>
          <w:spacing w:val="180"/>
        </w:rPr>
        <w:t>   </w:t>
      </w:r>
      <w:r>
        <w:rPr/>
        <w:t> </w:t>
      </w:r>
      <w:bookmarkStart w:id="6" w:name="TAB22"/>
      <w:bookmarkEnd w:id="6"/>
      <w:r>
        <w:rPr>
          <w:spacing w:val="180"/>
        </w:rPr>
        <w:t>   </w:t>
      </w:r>
      <w:r>
        <w:rPr/>
        <w:t> </w:t>
      </w:r>
      <w:bookmarkStart w:id="7" w:name="TAB21"/>
      <w:bookmarkEnd w:id="7"/>
      <w:r>
        <w:rPr>
          <w:spacing w:val="180"/>
        </w:rPr>
        <w:t>   </w:t>
      </w:r>
      <w:r>
        <w:rPr/>
        <w:t> </w:t>
      </w:r>
      <w:bookmarkStart w:id="8" w:name="TAB2"/>
      <w:bookmarkEnd w:id="8"/>
      <w:r>
        <w:rPr>
          <w:spacing w:val="180"/>
        </w:rPr>
        <w:t>   </w:t>
      </w:r>
      <w:r>
        <w:rPr/>
        <w:t>           </w:t>
      </w:r>
      <w:r>
        <w:rPr>
          <w:rFonts w:ascii="Times New Roman" w:hAnsi="Times New Roman"/>
          <w:sz w:val="20"/>
        </w:rPr>
        <w:t>_________</w:t>
      </w:r>
      <w:r>
        <w:rPr>
          <w:rFonts w:ascii="Times New Roman" w:hAnsi="Times New Roman"/>
          <w:sz w:val="20"/>
          <w:u w:val="single"/>
        </w:rPr>
        <w:t>677864100</w:t>
      </w:r>
      <w:r>
        <w:rPr>
          <w:rFonts w:ascii="Times New Roman" w:hAnsi="Times New Roman"/>
          <w:sz w:val="20"/>
        </w:rPr>
        <w:t>_________</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(CUSIP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Peter D. Goldstein</w:t>
      </w:r>
    </w:p>
    <w:p>
      <w:pPr>
        <w:pStyle w:val="TextBody"/>
        <w:spacing w:before="0" w:after="0"/>
        <w:ind w:left="0" w:right="0" w:hanging="0"/>
        <w:jc w:val="center"/>
        <w:rPr>
          <w:rFonts w:ascii="Times New Roman" w:hAnsi="Times New Roman"/>
          <w:sz w:val="20"/>
        </w:rPr>
      </w:pPr>
      <w:r>
        <w:rPr>
          <w:rFonts w:ascii="Times New Roman" w:hAnsi="Times New Roman"/>
          <w:sz w:val="20"/>
        </w:rPr>
        <w:t>GAMCO Investors, Inc.</w:t>
      </w:r>
    </w:p>
    <w:p>
      <w:pPr>
        <w:pStyle w:val="TextBody"/>
        <w:spacing w:before="0" w:after="0"/>
        <w:ind w:left="0" w:right="0" w:hanging="0"/>
        <w:jc w:val="center"/>
        <w:rPr>
          <w:rFonts w:ascii="Times New Roman" w:hAnsi="Times New Roman"/>
          <w:sz w:val="20"/>
        </w:rPr>
      </w:pPr>
      <w:r>
        <w:rPr>
          <w:rFonts w:ascii="Times New Roman" w:hAnsi="Times New Roman"/>
          <w:sz w:val="20"/>
        </w:rPr>
        <w:t>One Corporate Center</w:t>
      </w:r>
    </w:p>
    <w:p>
      <w:pPr>
        <w:pStyle w:val="TextBody"/>
        <w:spacing w:before="0" w:after="0"/>
        <w:ind w:left="0" w:right="0" w:hanging="0"/>
        <w:jc w:val="center"/>
        <w:rPr>
          <w:rFonts w:ascii="Times New Roman" w:hAnsi="Times New Roman"/>
          <w:sz w:val="20"/>
        </w:rPr>
      </w:pPr>
      <w:r>
        <w:rPr>
          <w:rFonts w:ascii="Times New Roman" w:hAnsi="Times New Roman"/>
          <w:sz w:val="20"/>
        </w:rPr>
        <w:t>Rye, New York 10580-1435</w:t>
      </w:r>
    </w:p>
    <w:p>
      <w:pPr>
        <w:pStyle w:val="TextBody"/>
        <w:spacing w:before="0" w:after="0"/>
        <w:ind w:left="0" w:right="0" w:hanging="0"/>
        <w:jc w:val="center"/>
        <w:rPr>
          <w:rFonts w:ascii="Times New Roman" w:hAnsi="Times New Roman"/>
          <w:sz w:val="20"/>
        </w:rPr>
      </w:pPr>
      <w:r>
        <w:rPr>
          <w:rFonts w:ascii="Times New Roman" w:hAnsi="Times New Roman"/>
          <w:sz w:val="20"/>
        </w:rPr>
        <w:t>(914) 921-7732</w:t>
      </w:r>
    </w:p>
    <w:p>
      <w:pPr>
        <w:pStyle w:val="TextBody"/>
        <w:spacing w:before="0" w:after="0"/>
        <w:ind w:left="0" w:right="0" w:hanging="0"/>
        <w:jc w:val="center"/>
        <w:rPr/>
      </w:pPr>
      <w:r>
        <w:rPr/>
        <w:t> </w:t>
      </w:r>
      <w:r>
        <w:rPr>
          <w:rFonts w:ascii="Times New Roman" w:hAnsi="Times New Roman"/>
          <w:sz w:val="20"/>
        </w:rPr>
        <w:t>(Name, Address and Telephone Number of Person Authorized to Receive Notices and Communications)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____________________</w:t>
      </w:r>
      <w:r>
        <w:rPr>
          <w:rFonts w:ascii="Times New Roman" w:hAnsi="Times New Roman"/>
          <w:sz w:val="20"/>
          <w:u w:val="single"/>
        </w:rPr>
        <w:t>November 13, 2008</w:t>
      </w:r>
      <w:r>
        <w:rPr>
          <w:rFonts w:ascii="Times New Roman" w:hAnsi="Times New Roman"/>
          <w:sz w:val="20"/>
        </w:rPr>
        <w:t>_____________________</w:t>
      </w:r>
    </w:p>
    <w:p>
      <w:pPr>
        <w:pStyle w:val="TextBody"/>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 w:name="PGBRK"/>
      <w:bookmarkStart w:id="10" w:name="PGBRK"/>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FTR"/>
      <w:bookmarkStart w:id="12" w:name="FT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3" w:name="GLFTR"/>
      <w:bookmarkEnd w:id="1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 w:name="PN"/>
      <w:bookmarkEnd w:id="14"/>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HDR"/>
      <w:bookmarkStart w:id="16" w:name="HDR"/>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7" w:name="GLHDR"/>
      <w:bookmarkEnd w:id="1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904"/>
        <w:gridCol w:w="904"/>
        <w:gridCol w:w="1470"/>
        <w:gridCol w:w="6927"/>
      </w:tblGrid>
      <w:tr>
        <w:trPr/>
        <w:tc>
          <w:tcPr>
            <w:tcW w:w="904"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301"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Gabelli Funds, LLC                           </w:t>
            </w:r>
            <w:bookmarkStart w:id="18" w:name="TAB221"/>
            <w:bookmarkEnd w:id="18"/>
            <w:r>
              <w:rPr>
                <w:rFonts w:ascii="Times New Roman" w:hAnsi="Times New Roman"/>
                <w:b/>
                <w:spacing w:val="180"/>
                <w:sz w:val="20"/>
              </w:rPr>
              <w:t>   </w:t>
            </w:r>
            <w:r>
              <w:rPr>
                <w:rFonts w:ascii="Times New Roman" w:hAnsi="Times New Roman"/>
                <w:b/>
                <w:sz w:val="20"/>
              </w:rPr>
              <w:t> </w:t>
            </w:r>
            <w:bookmarkStart w:id="19" w:name="TAB220"/>
            <w:bookmarkEnd w:id="19"/>
            <w:r>
              <w:rPr>
                <w:rFonts w:ascii="Times New Roman" w:hAnsi="Times New Roman"/>
                <w:b/>
                <w:spacing w:val="180"/>
                <w:sz w:val="20"/>
              </w:rPr>
              <w:t>   </w:t>
            </w:r>
            <w:r>
              <w:rPr>
                <w:rFonts w:ascii="Times New Roman" w:hAnsi="Times New Roman"/>
                <w:b/>
                <w:sz w:val="20"/>
              </w:rPr>
              <w:t> </w:t>
            </w:r>
            <w:bookmarkStart w:id="20" w:name="TAB219"/>
            <w:bookmarkEnd w:id="20"/>
            <w:r>
              <w:rPr>
                <w:rFonts w:ascii="Times New Roman" w:hAnsi="Times New Roman"/>
                <w:b/>
                <w:spacing w:val="180"/>
                <w:sz w:val="20"/>
              </w:rPr>
              <w:t>   </w:t>
            </w:r>
            <w:r>
              <w:rPr>
                <w:rFonts w:ascii="Times New Roman" w:hAnsi="Times New Roman"/>
                <w:b/>
                <w:sz w:val="20"/>
              </w:rPr>
              <w:t> </w:t>
            </w:r>
            <w:bookmarkStart w:id="21" w:name="TAB218"/>
            <w:bookmarkEnd w:id="21"/>
            <w:r>
              <w:rPr>
                <w:rFonts w:ascii="Times New Roman" w:hAnsi="Times New Roman"/>
                <w:b/>
                <w:spacing w:val="180"/>
                <w:sz w:val="20"/>
              </w:rPr>
              <w:t>   </w:t>
            </w:r>
            <w:r>
              <w:rPr>
                <w:rFonts w:ascii="Times New Roman" w:hAnsi="Times New Roman"/>
                <w:b/>
                <w:sz w:val="20"/>
              </w:rPr>
              <w:t> </w:t>
            </w:r>
            <w:bookmarkStart w:id="22" w:name="TAB217"/>
            <w:bookmarkEnd w:id="22"/>
            <w:r>
              <w:rPr>
                <w:rFonts w:ascii="Times New Roman" w:hAnsi="Times New Roman"/>
                <w:b/>
                <w:spacing w:val="180"/>
                <w:sz w:val="20"/>
              </w:rPr>
              <w:t>   </w:t>
            </w:r>
            <w:r>
              <w:rPr>
                <w:rFonts w:ascii="Times New Roman" w:hAnsi="Times New Roman"/>
                <w:b/>
                <w:sz w:val="20"/>
              </w:rPr>
              <w:t> </w:t>
            </w:r>
            <w:bookmarkStart w:id="23" w:name="TAB216"/>
            <w:bookmarkEnd w:id="23"/>
            <w:r>
              <w:rPr>
                <w:rFonts w:ascii="Times New Roman" w:hAnsi="Times New Roman"/>
                <w:b/>
                <w:spacing w:val="180"/>
                <w:sz w:val="20"/>
              </w:rPr>
              <w:t>   </w:t>
            </w:r>
            <w:r>
              <w:rPr>
                <w:rFonts w:ascii="Times New Roman" w:hAnsi="Times New Roman"/>
                <w:b/>
                <w:sz w:val="20"/>
              </w:rPr>
              <w:t> </w:t>
            </w:r>
            <w:bookmarkStart w:id="24" w:name="TAB215"/>
            <w:bookmarkEnd w:id="24"/>
            <w:r>
              <w:rPr>
                <w:rFonts w:ascii="Times New Roman" w:hAnsi="Times New Roman"/>
                <w:b/>
                <w:spacing w:val="180"/>
                <w:sz w:val="20"/>
              </w:rPr>
              <w:t>   </w:t>
            </w:r>
            <w:r>
              <w:rPr>
                <w:rFonts w:ascii="Times New Roman" w:hAnsi="Times New Roman"/>
                <w:b/>
                <w:sz w:val="20"/>
              </w:rPr>
              <w:t> </w:t>
            </w:r>
            <w:bookmarkStart w:id="25" w:name="TAB214"/>
            <w:bookmarkEnd w:id="25"/>
            <w:r>
              <w:rPr>
                <w:rFonts w:ascii="Times New Roman" w:hAnsi="Times New Roman"/>
                <w:b/>
                <w:spacing w:val="180"/>
                <w:sz w:val="20"/>
              </w:rPr>
              <w:t>   </w:t>
            </w:r>
            <w:r>
              <w:rPr>
                <w:rFonts w:ascii="Times New Roman" w:hAnsi="Times New Roman"/>
                <w:b/>
                <w:sz w:val="20"/>
              </w:rPr>
              <w:t> </w:t>
            </w:r>
            <w:bookmarkStart w:id="26" w:name="TAB213"/>
            <w:bookmarkEnd w:id="26"/>
            <w:r>
              <w:rPr>
                <w:rFonts w:ascii="Times New Roman" w:hAnsi="Times New Roman"/>
                <w:b/>
                <w:spacing w:val="180"/>
                <w:sz w:val="20"/>
              </w:rPr>
              <w:t>   </w:t>
            </w:r>
            <w:r>
              <w:rPr>
                <w:rFonts w:ascii="Times New Roman" w:hAnsi="Times New Roman"/>
                <w:b/>
                <w:sz w:val="20"/>
              </w:rPr>
              <w:t> </w:t>
            </w:r>
            <w:bookmarkStart w:id="27" w:name="TAB212"/>
            <w:bookmarkEnd w:id="27"/>
            <w:r>
              <w:rPr>
                <w:rFonts w:ascii="Times New Roman" w:hAnsi="Times New Roman"/>
                <w:b/>
                <w:spacing w:val="180"/>
                <w:sz w:val="20"/>
              </w:rPr>
              <w:t>   </w:t>
            </w:r>
            <w:r>
              <w:rPr>
                <w:rFonts w:ascii="Times New Roman" w:hAnsi="Times New Roman"/>
                <w:b/>
                <w:sz w:val="20"/>
              </w:rPr>
              <w:t> </w:t>
            </w:r>
            <w:bookmarkStart w:id="28" w:name="TAB211"/>
            <w:bookmarkEnd w:id="28"/>
            <w:r>
              <w:rPr>
                <w:rFonts w:ascii="Times New Roman" w:hAnsi="Times New Roman"/>
                <w:b/>
                <w:spacing w:val="180"/>
                <w:sz w:val="20"/>
              </w:rPr>
              <w:t>   </w:t>
            </w:r>
            <w:r>
              <w:rPr>
                <w:rFonts w:ascii="Times New Roman" w:hAnsi="Times New Roman"/>
                <w:b/>
                <w:sz w:val="20"/>
              </w:rPr>
              <w:t> </w:t>
            </w:r>
            <w:bookmarkStart w:id="29" w:name="TAB210"/>
            <w:bookmarkEnd w:id="29"/>
            <w:r>
              <w:rPr>
                <w:rFonts w:ascii="Times New Roman" w:hAnsi="Times New Roman"/>
                <w:b/>
                <w:spacing w:val="180"/>
                <w:sz w:val="20"/>
              </w:rPr>
              <w:t>   </w:t>
            </w:r>
            <w:r>
              <w:rPr>
                <w:rFonts w:ascii="Times New Roman" w:hAnsi="Times New Roman"/>
                <w:b/>
                <w:sz w:val="20"/>
              </w:rPr>
              <w:t> </w:t>
            </w:r>
            <w:bookmarkStart w:id="30" w:name="TAB29"/>
            <w:bookmarkEnd w:id="30"/>
            <w:r>
              <w:rPr>
                <w:rFonts w:ascii="Times New Roman" w:hAnsi="Times New Roman"/>
                <w:b/>
                <w:spacing w:val="180"/>
                <w:sz w:val="20"/>
              </w:rPr>
              <w:t>   </w:t>
            </w:r>
            <w:r>
              <w:rPr>
                <w:rFonts w:ascii="Times New Roman" w:hAnsi="Times New Roman"/>
                <w:b/>
                <w:sz w:val="20"/>
              </w:rPr>
              <w:t> </w:t>
            </w:r>
            <w:bookmarkStart w:id="31" w:name="TAB28"/>
            <w:bookmarkEnd w:id="31"/>
            <w:r>
              <w:rPr>
                <w:rFonts w:ascii="Times New Roman" w:hAnsi="Times New Roman"/>
                <w:b/>
                <w:spacing w:val="180"/>
                <w:sz w:val="20"/>
              </w:rPr>
              <w:t>   </w:t>
            </w:r>
            <w:r>
              <w:rPr>
                <w:rFonts w:ascii="Times New Roman" w:hAnsi="Times New Roman"/>
                <w:b/>
                <w:sz w:val="20"/>
              </w:rPr>
              <w:t> </w:t>
            </w:r>
            <w:bookmarkStart w:id="32" w:name="TAB27"/>
            <w:bookmarkEnd w:id="32"/>
            <w:r>
              <w:rPr>
                <w:rFonts w:ascii="Times New Roman" w:hAnsi="Times New Roman"/>
                <w:b/>
                <w:spacing w:val="180"/>
                <w:sz w:val="20"/>
              </w:rPr>
              <w:t>   </w:t>
            </w:r>
            <w:r>
              <w:rPr>
                <w:rFonts w:ascii="Times New Roman" w:hAnsi="Times New Roman"/>
                <w:b/>
                <w:sz w:val="20"/>
              </w:rPr>
              <w:t> </w:t>
            </w:r>
            <w:bookmarkStart w:id="33" w:name="TAB26"/>
            <w:bookmarkEnd w:id="33"/>
            <w:r>
              <w:rPr>
                <w:rFonts w:ascii="Times New Roman" w:hAnsi="Times New Roman"/>
                <w:b/>
                <w:spacing w:val="180"/>
                <w:sz w:val="20"/>
              </w:rPr>
              <w:t>   </w:t>
            </w:r>
            <w:r>
              <w:rPr>
                <w:rFonts w:ascii="Times New Roman" w:hAnsi="Times New Roman"/>
                <w:b/>
                <w:sz w:val="20"/>
              </w:rPr>
              <w:t> </w:t>
            </w:r>
            <w:bookmarkStart w:id="34" w:name="TAB25"/>
            <w:bookmarkEnd w:id="34"/>
            <w:r>
              <w:rPr>
                <w:rFonts w:ascii="Times New Roman" w:hAnsi="Times New Roman"/>
                <w:b/>
                <w:spacing w:val="180"/>
                <w:sz w:val="20"/>
              </w:rPr>
              <w:t>   </w:t>
            </w:r>
            <w:r>
              <w:rPr>
                <w:rFonts w:ascii="Times New Roman" w:hAnsi="Times New Roman"/>
                <w:b/>
                <w:sz w:val="20"/>
              </w:rPr>
              <w:t>  I.D. No.  13-4044523</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35" w:name="TAB1"/>
            <w:bookmarkEnd w:id="35"/>
            <w:r>
              <w:rPr>
                <w:rFonts w:ascii="Times New Roman" w:hAnsi="Times New Roman"/>
                <w:b/>
                <w:sz w:val="20"/>
              </w:rPr>
              <w:t>(b)</w:t>
            </w:r>
          </w:p>
          <w:p>
            <w:pPr>
              <w:pStyle w:val="TableContents"/>
              <w:spacing w:before="0" w:after="0"/>
              <w:ind w:left="0" w:right="0" w:hanging="0"/>
              <w:jc w:val="left"/>
              <w:rPr/>
            </w:pPr>
            <w:r>
              <w:rPr/>
              <w:t> </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00-Funds of investment advisory clients</w:t>
            </w:r>
          </w:p>
          <w:p>
            <w:pPr>
              <w:pStyle w:val="TableContents"/>
              <w:spacing w:before="0" w:after="0"/>
              <w:ind w:left="0" w:right="0" w:hanging="0"/>
              <w:jc w:val="left"/>
              <w:rPr/>
            </w:pPr>
            <w:r>
              <w:rPr/>
              <w:t> </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1808"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47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27"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117,000 (Item 5)</w:t>
            </w:r>
          </w:p>
        </w:tc>
      </w:tr>
      <w:tr>
        <w:trPr/>
        <w:tc>
          <w:tcPr>
            <w:tcW w:w="1808" w:type="dxa"/>
            <w:gridSpan w:val="2"/>
            <w:vMerge w:val="continue"/>
            <w:tcBorders>
              <w:bottom w:val="double" w:sz="8" w:space="0" w:color="000000"/>
            </w:tcBorders>
            <w:shd w:fill="auto" w:val="clear"/>
            <w:tcMar>
              <w:top w:w="0" w:type="dxa"/>
            </w:tcMar>
          </w:tcPr>
          <w:p>
            <w:pPr>
              <w:pStyle w:val="Normal"/>
              <w:rPr/>
            </w:pPr>
            <w:r>
              <w:rPr/>
            </w:r>
          </w:p>
        </w:tc>
        <w:tc>
          <w:tcPr>
            <w:tcW w:w="147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27"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8" w:type="dxa"/>
            <w:gridSpan w:val="2"/>
            <w:vMerge w:val="continue"/>
            <w:tcBorders>
              <w:bottom w:val="double" w:sz="8" w:space="0" w:color="000000"/>
            </w:tcBorders>
            <w:shd w:fill="auto" w:val="clear"/>
            <w:tcMar>
              <w:top w:w="0" w:type="dxa"/>
            </w:tcMar>
          </w:tcPr>
          <w:p>
            <w:pPr>
              <w:pStyle w:val="Normal"/>
              <w:rPr/>
            </w:pPr>
            <w:r>
              <w:rPr/>
            </w:r>
          </w:p>
        </w:tc>
        <w:tc>
          <w:tcPr>
            <w:tcW w:w="147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27"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117,000  (Item 5)</w:t>
            </w:r>
          </w:p>
        </w:tc>
      </w:tr>
      <w:tr>
        <w:trPr/>
        <w:tc>
          <w:tcPr>
            <w:tcW w:w="1808" w:type="dxa"/>
            <w:gridSpan w:val="2"/>
            <w:vMerge w:val="continue"/>
            <w:tcBorders>
              <w:bottom w:val="double" w:sz="8" w:space="0" w:color="000000"/>
            </w:tcBorders>
            <w:shd w:fill="auto" w:val="clear"/>
            <w:tcMar>
              <w:top w:w="0" w:type="dxa"/>
            </w:tcMar>
          </w:tcPr>
          <w:p>
            <w:pPr>
              <w:pStyle w:val="Normal"/>
              <w:rPr/>
            </w:pPr>
            <w:r>
              <w:rPr/>
            </w:r>
          </w:p>
        </w:tc>
        <w:tc>
          <w:tcPr>
            <w:tcW w:w="1470"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27"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117,000 (Item 5)</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2.28%</w:t>
            </w:r>
          </w:p>
        </w:tc>
      </w:tr>
      <w:tr>
        <w:trPr/>
        <w:tc>
          <w:tcPr>
            <w:tcW w:w="90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0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IA</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 w:name="PGBRK1"/>
      <w:bookmarkStart w:id="37" w:name="PGBRK1"/>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FTR1"/>
      <w:bookmarkStart w:id="39" w:name="FTR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 w:name="GLFTR1"/>
      <w:bookmarkEnd w:id="4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 w:name="PN1"/>
      <w:bookmarkEnd w:id="41"/>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 w:name="HDR1"/>
      <w:bookmarkStart w:id="43" w:name="HDR1"/>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 w:name="GLHDR1"/>
      <w:bookmarkEnd w:id="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909"/>
        <w:gridCol w:w="902"/>
        <w:gridCol w:w="1429"/>
        <w:gridCol w:w="6965"/>
      </w:tblGrid>
      <w:tr>
        <w:trPr/>
        <w:tc>
          <w:tcPr>
            <w:tcW w:w="909"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296"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GAMCO Asset Management, Inc.</w:t>
            </w:r>
            <w:bookmarkStart w:id="45" w:name="TAB238"/>
            <w:bookmarkEnd w:id="45"/>
            <w:r>
              <w:rPr>
                <w:rFonts w:ascii="Times New Roman" w:hAnsi="Times New Roman"/>
                <w:b/>
                <w:spacing w:val="180"/>
                <w:sz w:val="20"/>
              </w:rPr>
              <w:t>   </w:t>
            </w:r>
            <w:r>
              <w:rPr>
                <w:rFonts w:ascii="Times New Roman" w:hAnsi="Times New Roman"/>
                <w:b/>
                <w:sz w:val="20"/>
              </w:rPr>
              <w:t> </w:t>
            </w:r>
            <w:bookmarkStart w:id="46" w:name="TAB237"/>
            <w:bookmarkEnd w:id="46"/>
            <w:r>
              <w:rPr>
                <w:rFonts w:ascii="Times New Roman" w:hAnsi="Times New Roman"/>
                <w:b/>
                <w:spacing w:val="180"/>
                <w:sz w:val="20"/>
              </w:rPr>
              <w:t>   </w:t>
            </w:r>
            <w:r>
              <w:rPr>
                <w:rFonts w:ascii="Times New Roman" w:hAnsi="Times New Roman"/>
                <w:b/>
                <w:sz w:val="20"/>
              </w:rPr>
              <w:t> </w:t>
            </w:r>
            <w:bookmarkStart w:id="47" w:name="TAB236"/>
            <w:bookmarkEnd w:id="47"/>
            <w:r>
              <w:rPr>
                <w:rFonts w:ascii="Times New Roman" w:hAnsi="Times New Roman"/>
                <w:b/>
                <w:spacing w:val="180"/>
                <w:sz w:val="20"/>
              </w:rPr>
              <w:t>   </w:t>
            </w:r>
            <w:r>
              <w:rPr>
                <w:rFonts w:ascii="Times New Roman" w:hAnsi="Times New Roman"/>
                <w:b/>
                <w:sz w:val="20"/>
              </w:rPr>
              <w:t> </w:t>
            </w:r>
            <w:bookmarkStart w:id="48" w:name="TAB235"/>
            <w:bookmarkEnd w:id="48"/>
            <w:r>
              <w:rPr>
                <w:rFonts w:ascii="Times New Roman" w:hAnsi="Times New Roman"/>
                <w:b/>
                <w:spacing w:val="180"/>
                <w:sz w:val="20"/>
              </w:rPr>
              <w:t>   </w:t>
            </w:r>
            <w:r>
              <w:rPr>
                <w:rFonts w:ascii="Times New Roman" w:hAnsi="Times New Roman"/>
                <w:b/>
                <w:sz w:val="20"/>
              </w:rPr>
              <w:t> </w:t>
            </w:r>
            <w:bookmarkStart w:id="49" w:name="TAB234"/>
            <w:bookmarkEnd w:id="49"/>
            <w:r>
              <w:rPr>
                <w:rFonts w:ascii="Times New Roman" w:hAnsi="Times New Roman"/>
                <w:b/>
                <w:spacing w:val="180"/>
                <w:sz w:val="20"/>
              </w:rPr>
              <w:t>   </w:t>
            </w:r>
            <w:r>
              <w:rPr>
                <w:rFonts w:ascii="Times New Roman" w:hAnsi="Times New Roman"/>
                <w:b/>
                <w:sz w:val="20"/>
              </w:rPr>
              <w:t> </w:t>
            </w:r>
            <w:bookmarkStart w:id="50" w:name="TAB233"/>
            <w:bookmarkEnd w:id="50"/>
            <w:r>
              <w:rPr>
                <w:rFonts w:ascii="Times New Roman" w:hAnsi="Times New Roman"/>
                <w:b/>
                <w:spacing w:val="180"/>
                <w:sz w:val="20"/>
              </w:rPr>
              <w:t>   </w:t>
            </w:r>
            <w:r>
              <w:rPr>
                <w:rFonts w:ascii="Times New Roman" w:hAnsi="Times New Roman"/>
                <w:b/>
                <w:sz w:val="20"/>
              </w:rPr>
              <w:t> </w:t>
            </w:r>
            <w:bookmarkStart w:id="51" w:name="TAB232"/>
            <w:bookmarkEnd w:id="51"/>
            <w:r>
              <w:rPr>
                <w:rFonts w:ascii="Times New Roman" w:hAnsi="Times New Roman"/>
                <w:b/>
                <w:spacing w:val="180"/>
                <w:sz w:val="20"/>
              </w:rPr>
              <w:t>   </w:t>
            </w:r>
            <w:r>
              <w:rPr>
                <w:rFonts w:ascii="Times New Roman" w:hAnsi="Times New Roman"/>
                <w:b/>
                <w:sz w:val="20"/>
              </w:rPr>
              <w:t> </w:t>
            </w:r>
            <w:bookmarkStart w:id="52" w:name="TAB231"/>
            <w:bookmarkEnd w:id="52"/>
            <w:r>
              <w:rPr>
                <w:rFonts w:ascii="Times New Roman" w:hAnsi="Times New Roman"/>
                <w:b/>
                <w:spacing w:val="180"/>
                <w:sz w:val="20"/>
              </w:rPr>
              <w:t>   </w:t>
            </w:r>
            <w:r>
              <w:rPr>
                <w:rFonts w:ascii="Times New Roman" w:hAnsi="Times New Roman"/>
                <w:b/>
                <w:sz w:val="20"/>
              </w:rPr>
              <w:t> </w:t>
            </w:r>
            <w:bookmarkStart w:id="53" w:name="TAB230"/>
            <w:bookmarkEnd w:id="53"/>
            <w:r>
              <w:rPr>
                <w:rFonts w:ascii="Times New Roman" w:hAnsi="Times New Roman"/>
                <w:b/>
                <w:spacing w:val="180"/>
                <w:sz w:val="20"/>
              </w:rPr>
              <w:t>   </w:t>
            </w:r>
            <w:r>
              <w:rPr>
                <w:rFonts w:ascii="Times New Roman" w:hAnsi="Times New Roman"/>
                <w:b/>
                <w:sz w:val="20"/>
              </w:rPr>
              <w:t> </w:t>
            </w:r>
            <w:bookmarkStart w:id="54" w:name="TAB229"/>
            <w:bookmarkEnd w:id="54"/>
            <w:r>
              <w:rPr>
                <w:rFonts w:ascii="Times New Roman" w:hAnsi="Times New Roman"/>
                <w:b/>
                <w:spacing w:val="180"/>
                <w:sz w:val="20"/>
              </w:rPr>
              <w:t>   </w:t>
            </w:r>
            <w:r>
              <w:rPr>
                <w:rFonts w:ascii="Times New Roman" w:hAnsi="Times New Roman"/>
                <w:b/>
                <w:sz w:val="20"/>
              </w:rPr>
              <w:t> </w:t>
            </w:r>
            <w:bookmarkStart w:id="55" w:name="TAB228"/>
            <w:bookmarkEnd w:id="55"/>
            <w:r>
              <w:rPr>
                <w:rFonts w:ascii="Times New Roman" w:hAnsi="Times New Roman"/>
                <w:b/>
                <w:spacing w:val="180"/>
                <w:sz w:val="20"/>
              </w:rPr>
              <w:t>   </w:t>
            </w:r>
            <w:r>
              <w:rPr>
                <w:rFonts w:ascii="Times New Roman" w:hAnsi="Times New Roman"/>
                <w:b/>
                <w:sz w:val="20"/>
              </w:rPr>
              <w:t> </w:t>
            </w:r>
            <w:bookmarkStart w:id="56" w:name="TAB227"/>
            <w:bookmarkEnd w:id="56"/>
            <w:r>
              <w:rPr>
                <w:rFonts w:ascii="Times New Roman" w:hAnsi="Times New Roman"/>
                <w:b/>
                <w:spacing w:val="180"/>
                <w:sz w:val="20"/>
              </w:rPr>
              <w:t>   </w:t>
            </w:r>
            <w:r>
              <w:rPr>
                <w:rFonts w:ascii="Times New Roman" w:hAnsi="Times New Roman"/>
                <w:b/>
                <w:sz w:val="20"/>
              </w:rPr>
              <w:t> </w:t>
            </w:r>
            <w:bookmarkStart w:id="57" w:name="TAB226"/>
            <w:bookmarkEnd w:id="57"/>
            <w:r>
              <w:rPr>
                <w:rFonts w:ascii="Times New Roman" w:hAnsi="Times New Roman"/>
                <w:b/>
                <w:spacing w:val="180"/>
                <w:sz w:val="20"/>
              </w:rPr>
              <w:t>   </w:t>
            </w:r>
            <w:r>
              <w:rPr>
                <w:rFonts w:ascii="Times New Roman" w:hAnsi="Times New Roman"/>
                <w:b/>
                <w:sz w:val="20"/>
              </w:rPr>
              <w:t> </w:t>
            </w:r>
            <w:bookmarkStart w:id="58" w:name="TAB225"/>
            <w:bookmarkEnd w:id="58"/>
            <w:r>
              <w:rPr>
                <w:rFonts w:ascii="Times New Roman" w:hAnsi="Times New Roman"/>
                <w:b/>
                <w:sz w:val="20"/>
              </w:rPr>
              <w:t>    </w:t>
            </w:r>
            <w:bookmarkStart w:id="59" w:name="TAB224"/>
            <w:bookmarkEnd w:id="59"/>
            <w:r>
              <w:rPr>
                <w:rFonts w:ascii="Times New Roman" w:hAnsi="Times New Roman"/>
                <w:b/>
                <w:spacing w:val="180"/>
                <w:sz w:val="20"/>
              </w:rPr>
              <w:t>   </w:t>
            </w:r>
            <w:r>
              <w:rPr>
                <w:rFonts w:ascii="Times New Roman" w:hAnsi="Times New Roman"/>
                <w:b/>
                <w:sz w:val="20"/>
              </w:rPr>
              <w:t> </w:t>
            </w:r>
            <w:bookmarkStart w:id="60" w:name="TAB223"/>
            <w:bookmarkEnd w:id="60"/>
            <w:r>
              <w:rPr>
                <w:rFonts w:ascii="Times New Roman" w:hAnsi="Times New Roman"/>
                <w:b/>
                <w:spacing w:val="180"/>
                <w:sz w:val="20"/>
              </w:rPr>
              <w:t>   </w:t>
            </w:r>
            <w:r>
              <w:rPr>
                <w:rFonts w:ascii="Times New Roman" w:hAnsi="Times New Roman"/>
                <w:b/>
                <w:sz w:val="20"/>
              </w:rPr>
              <w:t> </w:t>
            </w:r>
            <w:bookmarkStart w:id="61" w:name="TAB222"/>
            <w:bookmarkEnd w:id="61"/>
            <w:r>
              <w:rPr>
                <w:rFonts w:ascii="Times New Roman" w:hAnsi="Times New Roman"/>
                <w:b/>
                <w:spacing w:val="180"/>
                <w:sz w:val="20"/>
              </w:rPr>
              <w:t>   </w:t>
            </w:r>
            <w:r>
              <w:rPr>
                <w:rFonts w:ascii="Times New Roman" w:hAnsi="Times New Roman"/>
                <w:b/>
                <w:sz w:val="20"/>
              </w:rPr>
              <w:t> I.D. No.  13-4044521</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62" w:name="TAB11"/>
            <w:bookmarkEnd w:id="62"/>
            <w:r>
              <w:rPr>
                <w:rFonts w:ascii="Times New Roman" w:hAnsi="Times New Roman"/>
                <w:b/>
                <w:sz w:val="20"/>
              </w:rPr>
              <w:t>(b)</w:t>
            </w:r>
          </w:p>
          <w:p>
            <w:pPr>
              <w:pStyle w:val="TableContents"/>
              <w:spacing w:before="0" w:after="0"/>
              <w:ind w:left="0" w:right="0" w:hanging="0"/>
              <w:jc w:val="left"/>
              <w:rPr/>
            </w:pPr>
            <w:r>
              <w:rPr/>
              <w:t> </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00-Funds of investment advisory clients</w:t>
            </w:r>
          </w:p>
          <w:p>
            <w:pPr>
              <w:pStyle w:val="TableContents"/>
              <w:spacing w:before="0" w:after="0"/>
              <w:ind w:left="0" w:right="0" w:hanging="0"/>
              <w:jc w:val="left"/>
              <w:rPr/>
            </w:pPr>
            <w:r>
              <w:rPr/>
              <w:t> </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1811"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4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6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514,625  (Item 5)</w:t>
            </w:r>
          </w:p>
        </w:tc>
      </w:tr>
      <w:tr>
        <w:trPr/>
        <w:tc>
          <w:tcPr>
            <w:tcW w:w="1811" w:type="dxa"/>
            <w:gridSpan w:val="2"/>
            <w:vMerge w:val="continue"/>
            <w:tcBorders>
              <w:bottom w:val="double" w:sz="8" w:space="0" w:color="000000"/>
            </w:tcBorders>
            <w:shd w:fill="auto" w:val="clear"/>
            <w:tcMar>
              <w:top w:w="0" w:type="dxa"/>
            </w:tcMar>
          </w:tcPr>
          <w:p>
            <w:pPr>
              <w:pStyle w:val="Normal"/>
              <w:rPr/>
            </w:pPr>
            <w:r>
              <w:rPr/>
            </w:r>
          </w:p>
        </w:tc>
        <w:tc>
          <w:tcPr>
            <w:tcW w:w="14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6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11" w:type="dxa"/>
            <w:gridSpan w:val="2"/>
            <w:vMerge w:val="continue"/>
            <w:tcBorders>
              <w:bottom w:val="double" w:sz="8" w:space="0" w:color="000000"/>
            </w:tcBorders>
            <w:shd w:fill="auto" w:val="clear"/>
            <w:tcMar>
              <w:top w:w="0" w:type="dxa"/>
            </w:tcMar>
          </w:tcPr>
          <w:p>
            <w:pPr>
              <w:pStyle w:val="Normal"/>
              <w:rPr/>
            </w:pPr>
            <w:r>
              <w:rPr/>
            </w:r>
          </w:p>
        </w:tc>
        <w:tc>
          <w:tcPr>
            <w:tcW w:w="14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6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559,925   (Item 5)</w:t>
            </w:r>
          </w:p>
        </w:tc>
      </w:tr>
      <w:tr>
        <w:trPr/>
        <w:tc>
          <w:tcPr>
            <w:tcW w:w="1811" w:type="dxa"/>
            <w:gridSpan w:val="2"/>
            <w:vMerge w:val="continue"/>
            <w:tcBorders>
              <w:bottom w:val="double" w:sz="8" w:space="0" w:color="000000"/>
            </w:tcBorders>
            <w:shd w:fill="auto" w:val="clear"/>
            <w:tcMar>
              <w:top w:w="0" w:type="dxa"/>
            </w:tcMar>
          </w:tcPr>
          <w:p>
            <w:pPr>
              <w:pStyle w:val="Normal"/>
              <w:rPr/>
            </w:pPr>
            <w:r>
              <w:rPr/>
            </w:r>
          </w:p>
        </w:tc>
        <w:tc>
          <w:tcPr>
            <w:tcW w:w="142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965"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559,925   (Item 5)</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10.90%</w:t>
            </w:r>
          </w:p>
        </w:tc>
      </w:tr>
      <w:tr>
        <w:trPr/>
        <w:tc>
          <w:tcPr>
            <w:tcW w:w="909"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296"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IA, CO</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 w:name="PGBRK2"/>
      <w:bookmarkStart w:id="64" w:name="PGBRK2"/>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 w:name="FTR2"/>
      <w:bookmarkStart w:id="66" w:name="FTR2"/>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 w:name="GLFTR2"/>
      <w:bookmarkEnd w:id="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 w:name="PN2"/>
      <w:bookmarkEnd w:id="6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HDR2"/>
      <w:bookmarkStart w:id="70" w:name="HDR2"/>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 w:name="GLHDR2"/>
      <w:bookmarkEnd w:id="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872"/>
        <w:gridCol w:w="933"/>
        <w:gridCol w:w="1642"/>
        <w:gridCol w:w="6758"/>
      </w:tblGrid>
      <w:tr>
        <w:trPr/>
        <w:tc>
          <w:tcPr>
            <w:tcW w:w="872"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333"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GGCP, Inc.                                      </w:t>
            </w:r>
            <w:bookmarkStart w:id="72" w:name="TAB256"/>
            <w:bookmarkEnd w:id="72"/>
            <w:r>
              <w:rPr>
                <w:rFonts w:ascii="Times New Roman" w:hAnsi="Times New Roman"/>
                <w:b/>
                <w:spacing w:val="180"/>
                <w:sz w:val="20"/>
              </w:rPr>
              <w:t>   </w:t>
            </w:r>
            <w:r>
              <w:rPr>
                <w:rFonts w:ascii="Times New Roman" w:hAnsi="Times New Roman"/>
                <w:b/>
                <w:sz w:val="20"/>
              </w:rPr>
              <w:t> </w:t>
            </w:r>
            <w:bookmarkStart w:id="73" w:name="TAB255"/>
            <w:bookmarkEnd w:id="73"/>
            <w:r>
              <w:rPr>
                <w:rFonts w:ascii="Times New Roman" w:hAnsi="Times New Roman"/>
                <w:b/>
                <w:spacing w:val="180"/>
                <w:sz w:val="20"/>
              </w:rPr>
              <w:t>   </w:t>
            </w:r>
            <w:r>
              <w:rPr>
                <w:rFonts w:ascii="Times New Roman" w:hAnsi="Times New Roman"/>
                <w:b/>
                <w:sz w:val="20"/>
              </w:rPr>
              <w:t> </w:t>
            </w:r>
            <w:bookmarkStart w:id="74" w:name="TAB254"/>
            <w:bookmarkEnd w:id="74"/>
            <w:r>
              <w:rPr>
                <w:rFonts w:ascii="Times New Roman" w:hAnsi="Times New Roman"/>
                <w:b/>
                <w:spacing w:val="180"/>
                <w:sz w:val="20"/>
              </w:rPr>
              <w:t>   </w:t>
            </w:r>
            <w:r>
              <w:rPr>
                <w:rFonts w:ascii="Times New Roman" w:hAnsi="Times New Roman"/>
                <w:b/>
                <w:sz w:val="20"/>
              </w:rPr>
              <w:t> </w:t>
            </w:r>
            <w:bookmarkStart w:id="75" w:name="TAB253"/>
            <w:bookmarkEnd w:id="75"/>
            <w:r>
              <w:rPr>
                <w:rFonts w:ascii="Times New Roman" w:hAnsi="Times New Roman"/>
                <w:b/>
                <w:spacing w:val="180"/>
                <w:sz w:val="20"/>
              </w:rPr>
              <w:t>   </w:t>
            </w:r>
            <w:r>
              <w:rPr>
                <w:rFonts w:ascii="Times New Roman" w:hAnsi="Times New Roman"/>
                <w:b/>
                <w:sz w:val="20"/>
              </w:rPr>
              <w:t> </w:t>
            </w:r>
            <w:bookmarkStart w:id="76" w:name="TAB252"/>
            <w:bookmarkEnd w:id="76"/>
            <w:r>
              <w:rPr>
                <w:rFonts w:ascii="Times New Roman" w:hAnsi="Times New Roman"/>
                <w:b/>
                <w:spacing w:val="180"/>
                <w:sz w:val="20"/>
              </w:rPr>
              <w:t>   </w:t>
            </w:r>
            <w:r>
              <w:rPr>
                <w:rFonts w:ascii="Times New Roman" w:hAnsi="Times New Roman"/>
                <w:b/>
                <w:sz w:val="20"/>
              </w:rPr>
              <w:t> </w:t>
            </w:r>
            <w:bookmarkStart w:id="77" w:name="TAB251"/>
            <w:bookmarkEnd w:id="77"/>
            <w:r>
              <w:rPr>
                <w:rFonts w:ascii="Times New Roman" w:hAnsi="Times New Roman"/>
                <w:b/>
                <w:spacing w:val="180"/>
                <w:sz w:val="20"/>
              </w:rPr>
              <w:t>   </w:t>
            </w:r>
            <w:r>
              <w:rPr>
                <w:rFonts w:ascii="Times New Roman" w:hAnsi="Times New Roman"/>
                <w:b/>
                <w:sz w:val="20"/>
              </w:rPr>
              <w:t> </w:t>
            </w:r>
            <w:bookmarkStart w:id="78" w:name="TAB250"/>
            <w:bookmarkEnd w:id="78"/>
            <w:r>
              <w:rPr>
                <w:rFonts w:ascii="Times New Roman" w:hAnsi="Times New Roman"/>
                <w:b/>
                <w:spacing w:val="180"/>
                <w:sz w:val="20"/>
              </w:rPr>
              <w:t>   </w:t>
            </w:r>
            <w:r>
              <w:rPr>
                <w:rFonts w:ascii="Times New Roman" w:hAnsi="Times New Roman"/>
                <w:b/>
                <w:sz w:val="20"/>
              </w:rPr>
              <w:t> </w:t>
            </w:r>
            <w:bookmarkStart w:id="79" w:name="TAB249"/>
            <w:bookmarkEnd w:id="79"/>
            <w:r>
              <w:rPr>
                <w:rFonts w:ascii="Times New Roman" w:hAnsi="Times New Roman"/>
                <w:b/>
                <w:spacing w:val="180"/>
                <w:sz w:val="20"/>
              </w:rPr>
              <w:t>   </w:t>
            </w:r>
            <w:r>
              <w:rPr>
                <w:rFonts w:ascii="Times New Roman" w:hAnsi="Times New Roman"/>
                <w:b/>
                <w:sz w:val="20"/>
              </w:rPr>
              <w:t> </w:t>
            </w:r>
            <w:bookmarkStart w:id="80" w:name="TAB248"/>
            <w:bookmarkEnd w:id="80"/>
            <w:r>
              <w:rPr>
                <w:rFonts w:ascii="Times New Roman" w:hAnsi="Times New Roman"/>
                <w:b/>
                <w:spacing w:val="180"/>
                <w:sz w:val="20"/>
              </w:rPr>
              <w:t>   </w:t>
            </w:r>
            <w:r>
              <w:rPr>
                <w:rFonts w:ascii="Times New Roman" w:hAnsi="Times New Roman"/>
                <w:b/>
                <w:sz w:val="20"/>
              </w:rPr>
              <w:t> </w:t>
            </w:r>
            <w:bookmarkStart w:id="81" w:name="TAB247"/>
            <w:bookmarkEnd w:id="81"/>
            <w:r>
              <w:rPr>
                <w:rFonts w:ascii="Times New Roman" w:hAnsi="Times New Roman"/>
                <w:b/>
                <w:spacing w:val="180"/>
                <w:sz w:val="20"/>
              </w:rPr>
              <w:t>   </w:t>
            </w:r>
            <w:r>
              <w:rPr>
                <w:rFonts w:ascii="Times New Roman" w:hAnsi="Times New Roman"/>
                <w:b/>
                <w:sz w:val="20"/>
              </w:rPr>
              <w:t> </w:t>
            </w:r>
            <w:bookmarkStart w:id="82" w:name="TAB246"/>
            <w:bookmarkEnd w:id="82"/>
            <w:r>
              <w:rPr>
                <w:rFonts w:ascii="Times New Roman" w:hAnsi="Times New Roman"/>
                <w:b/>
                <w:spacing w:val="180"/>
                <w:sz w:val="20"/>
              </w:rPr>
              <w:t>   </w:t>
            </w:r>
            <w:r>
              <w:rPr>
                <w:rFonts w:ascii="Times New Roman" w:hAnsi="Times New Roman"/>
                <w:b/>
                <w:sz w:val="20"/>
              </w:rPr>
              <w:t> </w:t>
            </w:r>
            <w:bookmarkStart w:id="83" w:name="TAB245"/>
            <w:bookmarkEnd w:id="83"/>
            <w:r>
              <w:rPr>
                <w:rFonts w:ascii="Times New Roman" w:hAnsi="Times New Roman"/>
                <w:b/>
                <w:spacing w:val="180"/>
                <w:sz w:val="20"/>
              </w:rPr>
              <w:t>   </w:t>
            </w:r>
            <w:r>
              <w:rPr>
                <w:rFonts w:ascii="Times New Roman" w:hAnsi="Times New Roman"/>
                <w:b/>
                <w:sz w:val="20"/>
              </w:rPr>
              <w:t> </w:t>
            </w:r>
            <w:bookmarkStart w:id="84" w:name="TAB244"/>
            <w:bookmarkEnd w:id="84"/>
            <w:r>
              <w:rPr>
                <w:rFonts w:ascii="Times New Roman" w:hAnsi="Times New Roman"/>
                <w:b/>
                <w:spacing w:val="180"/>
                <w:sz w:val="20"/>
              </w:rPr>
              <w:t>   </w:t>
            </w:r>
            <w:r>
              <w:rPr>
                <w:rFonts w:ascii="Times New Roman" w:hAnsi="Times New Roman"/>
                <w:b/>
                <w:sz w:val="20"/>
              </w:rPr>
              <w:t> </w:t>
            </w:r>
            <w:bookmarkStart w:id="85" w:name="TAB243"/>
            <w:bookmarkEnd w:id="85"/>
            <w:r>
              <w:rPr>
                <w:rFonts w:ascii="Times New Roman" w:hAnsi="Times New Roman"/>
                <w:b/>
                <w:spacing w:val="180"/>
                <w:sz w:val="20"/>
              </w:rPr>
              <w:t>   </w:t>
            </w:r>
            <w:r>
              <w:rPr>
                <w:rFonts w:ascii="Times New Roman" w:hAnsi="Times New Roman"/>
                <w:b/>
                <w:sz w:val="20"/>
              </w:rPr>
              <w:t> </w:t>
            </w:r>
            <w:bookmarkStart w:id="86" w:name="TAB242"/>
            <w:bookmarkEnd w:id="86"/>
            <w:r>
              <w:rPr>
                <w:rFonts w:ascii="Times New Roman" w:hAnsi="Times New Roman"/>
                <w:b/>
                <w:spacing w:val="180"/>
                <w:sz w:val="20"/>
              </w:rPr>
              <w:t>   </w:t>
            </w:r>
            <w:r>
              <w:rPr>
                <w:rFonts w:ascii="Times New Roman" w:hAnsi="Times New Roman"/>
                <w:b/>
                <w:sz w:val="20"/>
              </w:rPr>
              <w:t> </w:t>
            </w:r>
            <w:bookmarkStart w:id="87" w:name="TAB241"/>
            <w:bookmarkEnd w:id="87"/>
            <w:r>
              <w:rPr>
                <w:rFonts w:ascii="Times New Roman" w:hAnsi="Times New Roman"/>
                <w:b/>
                <w:spacing w:val="180"/>
                <w:sz w:val="20"/>
              </w:rPr>
              <w:t>   </w:t>
            </w:r>
            <w:r>
              <w:rPr>
                <w:rFonts w:ascii="Times New Roman" w:hAnsi="Times New Roman"/>
                <w:b/>
                <w:sz w:val="20"/>
              </w:rPr>
              <w:t> </w:t>
            </w:r>
            <w:bookmarkStart w:id="88" w:name="TAB240"/>
            <w:bookmarkEnd w:id="88"/>
            <w:r>
              <w:rPr>
                <w:rFonts w:ascii="Times New Roman" w:hAnsi="Times New Roman"/>
                <w:b/>
                <w:spacing w:val="180"/>
                <w:sz w:val="20"/>
              </w:rPr>
              <w:t>   </w:t>
            </w:r>
            <w:r>
              <w:rPr>
                <w:rFonts w:ascii="Times New Roman" w:hAnsi="Times New Roman"/>
                <w:b/>
                <w:sz w:val="20"/>
              </w:rPr>
              <w:t> </w:t>
            </w:r>
            <w:bookmarkStart w:id="89" w:name="TAB239"/>
            <w:bookmarkEnd w:id="89"/>
            <w:r>
              <w:rPr>
                <w:rFonts w:ascii="Times New Roman" w:hAnsi="Times New Roman"/>
                <w:b/>
                <w:spacing w:val="180"/>
                <w:sz w:val="20"/>
              </w:rPr>
              <w:t>  </w:t>
            </w:r>
            <w:r>
              <w:rPr>
                <w:rFonts w:ascii="Times New Roman" w:hAnsi="Times New Roman"/>
                <w:b/>
                <w:sz w:val="20"/>
              </w:rPr>
              <w:t> I.D. No.  13-3056041</w:t>
            </w:r>
          </w:p>
        </w:tc>
      </w:tr>
      <w:tr>
        <w:trPr/>
        <w:tc>
          <w:tcPr>
            <w:tcW w:w="87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33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90" w:name="TAB12"/>
            <w:bookmarkEnd w:id="90"/>
            <w:r>
              <w:rPr>
                <w:rFonts w:ascii="Times New Roman" w:hAnsi="Times New Roman"/>
                <w:b/>
                <w:sz w:val="20"/>
              </w:rPr>
              <w:t>(b)</w:t>
            </w:r>
          </w:p>
        </w:tc>
      </w:tr>
      <w:tr>
        <w:trPr/>
        <w:tc>
          <w:tcPr>
            <w:tcW w:w="87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33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87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33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None</w:t>
            </w:r>
          </w:p>
          <w:p>
            <w:pPr>
              <w:pStyle w:val="TableContents"/>
              <w:spacing w:before="0" w:after="0"/>
              <w:ind w:left="0" w:right="0" w:hanging="0"/>
              <w:jc w:val="left"/>
              <w:rPr/>
            </w:pPr>
            <w:r>
              <w:rPr/>
              <w:t> </w:t>
            </w:r>
          </w:p>
        </w:tc>
      </w:tr>
      <w:tr>
        <w:trPr/>
        <w:tc>
          <w:tcPr>
            <w:tcW w:w="87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33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872"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33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1805"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64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5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tc>
      </w:tr>
      <w:tr>
        <w:trPr/>
        <w:tc>
          <w:tcPr>
            <w:tcW w:w="1805" w:type="dxa"/>
            <w:gridSpan w:val="2"/>
            <w:vMerge w:val="continue"/>
            <w:tcBorders>
              <w:bottom w:val="double" w:sz="8" w:space="0" w:color="000000"/>
            </w:tcBorders>
            <w:shd w:fill="auto" w:val="clear"/>
            <w:tcMar>
              <w:top w:w="0" w:type="dxa"/>
            </w:tcMar>
          </w:tcPr>
          <w:p>
            <w:pPr>
              <w:pStyle w:val="Normal"/>
              <w:rPr/>
            </w:pPr>
            <w:r>
              <w:rPr/>
            </w:r>
          </w:p>
        </w:tc>
        <w:tc>
          <w:tcPr>
            <w:tcW w:w="164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5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5" w:type="dxa"/>
            <w:gridSpan w:val="2"/>
            <w:vMerge w:val="continue"/>
            <w:tcBorders>
              <w:bottom w:val="double" w:sz="8" w:space="0" w:color="000000"/>
            </w:tcBorders>
            <w:shd w:fill="auto" w:val="clear"/>
            <w:tcMar>
              <w:top w:w="0" w:type="dxa"/>
            </w:tcMar>
          </w:tcPr>
          <w:p>
            <w:pPr>
              <w:pStyle w:val="Normal"/>
              <w:rPr/>
            </w:pPr>
            <w:r>
              <w:rPr/>
            </w:r>
          </w:p>
        </w:tc>
        <w:tc>
          <w:tcPr>
            <w:tcW w:w="164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5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5" w:type="dxa"/>
            <w:gridSpan w:val="2"/>
            <w:vMerge w:val="continue"/>
            <w:tcBorders>
              <w:bottom w:val="double" w:sz="8" w:space="0" w:color="000000"/>
            </w:tcBorders>
            <w:shd w:fill="auto" w:val="clear"/>
            <w:tcMar>
              <w:top w:w="0" w:type="dxa"/>
            </w:tcMar>
          </w:tcPr>
          <w:p>
            <w:pPr>
              <w:pStyle w:val="Normal"/>
              <w:rPr/>
            </w:pPr>
            <w:r>
              <w:rPr/>
            </w:r>
          </w:p>
        </w:tc>
        <w:tc>
          <w:tcPr>
            <w:tcW w:w="164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5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7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3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7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3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  X</w:t>
            </w:r>
          </w:p>
        </w:tc>
      </w:tr>
      <w:tr>
        <w:trPr/>
        <w:tc>
          <w:tcPr>
            <w:tcW w:w="87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3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0.00%</w:t>
            </w:r>
          </w:p>
        </w:tc>
      </w:tr>
      <w:tr>
        <w:trPr/>
        <w:tc>
          <w:tcPr>
            <w:tcW w:w="87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33"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HC, CO</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 w:name="PGBRK3"/>
      <w:bookmarkStart w:id="92" w:name="PGBRK3"/>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FTR3"/>
      <w:bookmarkStart w:id="94" w:name="FTR3"/>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 w:name="GLFTR3"/>
      <w:bookmarkEnd w:id="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 w:name="PN3"/>
      <w:bookmarkEnd w:id="96"/>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HDR3"/>
      <w:bookmarkStart w:id="98" w:name="HDR3"/>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 w:name="GLHDR3"/>
      <w:bookmarkEnd w:id="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794"/>
        <w:gridCol w:w="1005"/>
        <w:gridCol w:w="2184"/>
        <w:gridCol w:w="6222"/>
      </w:tblGrid>
      <w:tr>
        <w:trPr/>
        <w:tc>
          <w:tcPr>
            <w:tcW w:w="794"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411"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GAMCO Investors, Inc.                                                                                      </w:t>
            </w:r>
            <w:bookmarkStart w:id="100" w:name="TAB268"/>
            <w:bookmarkEnd w:id="100"/>
            <w:r>
              <w:rPr>
                <w:rFonts w:ascii="Times New Roman" w:hAnsi="Times New Roman"/>
                <w:b/>
                <w:spacing w:val="180"/>
                <w:sz w:val="20"/>
              </w:rPr>
              <w:t>   </w:t>
            </w:r>
            <w:r>
              <w:rPr>
                <w:rFonts w:ascii="Times New Roman" w:hAnsi="Times New Roman"/>
                <w:b/>
                <w:sz w:val="20"/>
              </w:rPr>
              <w:t> </w:t>
            </w:r>
            <w:bookmarkStart w:id="101" w:name="TAB267"/>
            <w:bookmarkEnd w:id="101"/>
            <w:r>
              <w:rPr>
                <w:rFonts w:ascii="Times New Roman" w:hAnsi="Times New Roman"/>
                <w:b/>
                <w:spacing w:val="180"/>
                <w:sz w:val="20"/>
              </w:rPr>
              <w:t>   </w:t>
            </w:r>
            <w:r>
              <w:rPr>
                <w:rFonts w:ascii="Times New Roman" w:hAnsi="Times New Roman"/>
                <w:b/>
                <w:sz w:val="20"/>
              </w:rPr>
              <w:t> </w:t>
            </w:r>
            <w:bookmarkStart w:id="102" w:name="TAB266"/>
            <w:bookmarkEnd w:id="102"/>
            <w:r>
              <w:rPr>
                <w:rFonts w:ascii="Times New Roman" w:hAnsi="Times New Roman"/>
                <w:b/>
                <w:spacing w:val="180"/>
                <w:sz w:val="20"/>
              </w:rPr>
              <w:t>   </w:t>
            </w:r>
            <w:r>
              <w:rPr>
                <w:rFonts w:ascii="Times New Roman" w:hAnsi="Times New Roman"/>
                <w:b/>
                <w:sz w:val="20"/>
              </w:rPr>
              <w:t> </w:t>
            </w:r>
            <w:bookmarkStart w:id="103" w:name="TAB265"/>
            <w:bookmarkEnd w:id="103"/>
            <w:r>
              <w:rPr>
                <w:rFonts w:ascii="Times New Roman" w:hAnsi="Times New Roman"/>
                <w:b/>
                <w:spacing w:val="180"/>
                <w:sz w:val="20"/>
              </w:rPr>
              <w:t>   </w:t>
            </w:r>
            <w:r>
              <w:rPr>
                <w:rFonts w:ascii="Times New Roman" w:hAnsi="Times New Roman"/>
                <w:b/>
                <w:sz w:val="20"/>
              </w:rPr>
              <w:t> </w:t>
            </w:r>
            <w:bookmarkStart w:id="104" w:name="TAB264"/>
            <w:bookmarkEnd w:id="104"/>
            <w:r>
              <w:rPr>
                <w:rFonts w:ascii="Times New Roman" w:hAnsi="Times New Roman"/>
                <w:b/>
                <w:spacing w:val="180"/>
                <w:sz w:val="20"/>
              </w:rPr>
              <w:t>   </w:t>
            </w:r>
            <w:r>
              <w:rPr>
                <w:rFonts w:ascii="Times New Roman" w:hAnsi="Times New Roman"/>
                <w:b/>
                <w:sz w:val="20"/>
              </w:rPr>
              <w:t> </w:t>
            </w:r>
            <w:bookmarkStart w:id="105" w:name="TAB263"/>
            <w:bookmarkEnd w:id="105"/>
            <w:r>
              <w:rPr>
                <w:rFonts w:ascii="Times New Roman" w:hAnsi="Times New Roman"/>
                <w:b/>
                <w:spacing w:val="180"/>
                <w:sz w:val="20"/>
              </w:rPr>
              <w:t>   </w:t>
            </w:r>
            <w:r>
              <w:rPr>
                <w:rFonts w:ascii="Times New Roman" w:hAnsi="Times New Roman"/>
                <w:b/>
                <w:sz w:val="20"/>
              </w:rPr>
              <w:t> </w:t>
            </w:r>
            <w:bookmarkStart w:id="106" w:name="TAB262"/>
            <w:bookmarkEnd w:id="106"/>
            <w:r>
              <w:rPr>
                <w:rFonts w:ascii="Times New Roman" w:hAnsi="Times New Roman"/>
                <w:b/>
                <w:spacing w:val="180"/>
                <w:sz w:val="20"/>
              </w:rPr>
              <w:t xml:space="preserve"> 60;  </w:t>
            </w:r>
            <w:r>
              <w:rPr>
                <w:rFonts w:ascii="Times New Roman" w:hAnsi="Times New Roman"/>
                <w:b/>
                <w:sz w:val="20"/>
              </w:rPr>
              <w:t> </w:t>
            </w:r>
            <w:bookmarkStart w:id="107" w:name="TAB261"/>
            <w:bookmarkEnd w:id="107"/>
            <w:r>
              <w:rPr>
                <w:rFonts w:ascii="Times New Roman" w:hAnsi="Times New Roman"/>
                <w:b/>
                <w:spacing w:val="180"/>
                <w:sz w:val="20"/>
              </w:rPr>
              <w:t>   </w:t>
            </w:r>
            <w:r>
              <w:rPr>
                <w:rFonts w:ascii="Times New Roman" w:hAnsi="Times New Roman"/>
                <w:b/>
                <w:sz w:val="20"/>
              </w:rPr>
              <w:t> </w:t>
            </w:r>
            <w:bookmarkStart w:id="108" w:name="TAB260"/>
            <w:bookmarkEnd w:id="108"/>
            <w:r>
              <w:rPr>
                <w:rFonts w:ascii="Times New Roman" w:hAnsi="Times New Roman"/>
                <w:b/>
                <w:spacing w:val="180"/>
                <w:sz w:val="20"/>
              </w:rPr>
              <w:t>   </w:t>
            </w:r>
            <w:r>
              <w:rPr>
                <w:rFonts w:ascii="Times New Roman" w:hAnsi="Times New Roman"/>
                <w:b/>
                <w:sz w:val="20"/>
              </w:rPr>
              <w:t> </w:t>
            </w:r>
            <w:bookmarkStart w:id="109" w:name="TAB259"/>
            <w:bookmarkEnd w:id="109"/>
            <w:r>
              <w:rPr>
                <w:rFonts w:ascii="Times New Roman" w:hAnsi="Times New Roman"/>
                <w:b/>
                <w:spacing w:val="180"/>
                <w:sz w:val="20"/>
              </w:rPr>
              <w:t>   </w:t>
            </w:r>
            <w:r>
              <w:rPr>
                <w:rFonts w:ascii="Times New Roman" w:hAnsi="Times New Roman"/>
                <w:b/>
                <w:sz w:val="20"/>
              </w:rPr>
              <w:t> </w:t>
            </w:r>
            <w:bookmarkStart w:id="110" w:name="TAB258"/>
            <w:bookmarkEnd w:id="110"/>
            <w:r>
              <w:rPr>
                <w:rFonts w:ascii="Times New Roman" w:hAnsi="Times New Roman"/>
                <w:b/>
                <w:spacing w:val="180"/>
                <w:sz w:val="20"/>
              </w:rPr>
              <w:t>   </w:t>
            </w:r>
            <w:r>
              <w:rPr>
                <w:rFonts w:ascii="Times New Roman" w:hAnsi="Times New Roman"/>
                <w:b/>
                <w:sz w:val="20"/>
              </w:rPr>
              <w:t> </w:t>
            </w:r>
            <w:bookmarkStart w:id="111" w:name="TAB257"/>
            <w:bookmarkEnd w:id="111"/>
            <w:r>
              <w:rPr>
                <w:rFonts w:ascii="Times New Roman" w:hAnsi="Times New Roman"/>
                <w:b/>
                <w:spacing w:val="180"/>
                <w:sz w:val="20"/>
              </w:rPr>
              <w:t>   </w:t>
            </w:r>
            <w:r>
              <w:rPr>
                <w:rFonts w:ascii="Times New Roman" w:hAnsi="Times New Roman"/>
                <w:b/>
                <w:sz w:val="20"/>
              </w:rPr>
              <w:t> I.D. No.  13-4007862</w:t>
            </w:r>
          </w:p>
        </w:tc>
      </w:tr>
      <w:tr>
        <w:trPr/>
        <w:tc>
          <w:tcPr>
            <w:tcW w:w="79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41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112" w:name="TAB13"/>
            <w:bookmarkEnd w:id="112"/>
            <w:r>
              <w:rPr>
                <w:rFonts w:ascii="Times New Roman" w:hAnsi="Times New Roman"/>
                <w:b/>
                <w:sz w:val="20"/>
              </w:rPr>
              <w:t>(b)</w:t>
            </w:r>
          </w:p>
          <w:p>
            <w:pPr>
              <w:pStyle w:val="TableContents"/>
              <w:spacing w:before="0" w:after="0"/>
              <w:ind w:left="0" w:right="0" w:hanging="0"/>
              <w:jc w:val="left"/>
              <w:rPr/>
            </w:pPr>
            <w:r>
              <w:rPr/>
              <w:t> </w:t>
            </w:r>
          </w:p>
        </w:tc>
      </w:tr>
      <w:tr>
        <w:trPr/>
        <w:tc>
          <w:tcPr>
            <w:tcW w:w="79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41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79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41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p>
            <w:pPr>
              <w:pStyle w:val="TableContents"/>
              <w:spacing w:before="0" w:after="0"/>
              <w:ind w:left="0" w:right="0" w:hanging="0"/>
              <w:jc w:val="left"/>
              <w:rPr/>
            </w:pPr>
            <w:r>
              <w:rPr/>
              <w:t> </w:t>
            </w:r>
          </w:p>
        </w:tc>
      </w:tr>
      <w:tr>
        <w:trPr/>
        <w:tc>
          <w:tcPr>
            <w:tcW w:w="79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41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79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41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New York</w:t>
            </w:r>
          </w:p>
          <w:p>
            <w:pPr>
              <w:pStyle w:val="TableContents"/>
              <w:spacing w:before="0" w:after="0"/>
              <w:ind w:left="0" w:right="0" w:hanging="0"/>
              <w:jc w:val="left"/>
              <w:rPr/>
            </w:pPr>
            <w:r>
              <w:rPr/>
              <w:t> </w:t>
            </w:r>
          </w:p>
        </w:tc>
      </w:tr>
      <w:tr>
        <w:trPr/>
        <w:tc>
          <w:tcPr>
            <w:tcW w:w="1799"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218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22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tc>
      </w:tr>
      <w:tr>
        <w:trPr/>
        <w:tc>
          <w:tcPr>
            <w:tcW w:w="1799" w:type="dxa"/>
            <w:gridSpan w:val="2"/>
            <w:vMerge w:val="continue"/>
            <w:tcBorders>
              <w:bottom w:val="double" w:sz="8" w:space="0" w:color="000000"/>
            </w:tcBorders>
            <w:shd w:fill="auto" w:val="clear"/>
            <w:tcMar>
              <w:top w:w="0" w:type="dxa"/>
            </w:tcMar>
          </w:tcPr>
          <w:p>
            <w:pPr>
              <w:pStyle w:val="Normal"/>
              <w:rPr/>
            </w:pPr>
            <w:r>
              <w:rPr/>
            </w:r>
          </w:p>
        </w:tc>
        <w:tc>
          <w:tcPr>
            <w:tcW w:w="218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22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799" w:type="dxa"/>
            <w:gridSpan w:val="2"/>
            <w:vMerge w:val="continue"/>
            <w:tcBorders>
              <w:bottom w:val="double" w:sz="8" w:space="0" w:color="000000"/>
            </w:tcBorders>
            <w:shd w:fill="auto" w:val="clear"/>
            <w:tcMar>
              <w:top w:w="0" w:type="dxa"/>
            </w:tcMar>
          </w:tcPr>
          <w:p>
            <w:pPr>
              <w:pStyle w:val="Normal"/>
              <w:rPr/>
            </w:pPr>
            <w:r>
              <w:rPr/>
            </w:r>
          </w:p>
        </w:tc>
        <w:tc>
          <w:tcPr>
            <w:tcW w:w="218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22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799" w:type="dxa"/>
            <w:gridSpan w:val="2"/>
            <w:vMerge w:val="continue"/>
            <w:tcBorders>
              <w:bottom w:val="double" w:sz="8" w:space="0" w:color="000000"/>
            </w:tcBorders>
            <w:shd w:fill="auto" w:val="clear"/>
            <w:tcMar>
              <w:top w:w="0" w:type="dxa"/>
            </w:tcMar>
          </w:tcPr>
          <w:p>
            <w:pPr>
              <w:pStyle w:val="Normal"/>
              <w:rPr/>
            </w:pPr>
            <w:r>
              <w:rPr/>
            </w:r>
          </w:p>
        </w:tc>
        <w:tc>
          <w:tcPr>
            <w:tcW w:w="218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22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79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41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79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41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  X</w:t>
            </w:r>
          </w:p>
        </w:tc>
      </w:tr>
      <w:tr>
        <w:trPr/>
        <w:tc>
          <w:tcPr>
            <w:tcW w:w="79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41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0.00%</w:t>
            </w:r>
          </w:p>
          <w:p>
            <w:pPr>
              <w:pStyle w:val="TableContents"/>
              <w:spacing w:before="0" w:after="0"/>
              <w:ind w:left="0" w:right="0" w:hanging="0"/>
              <w:jc w:val="left"/>
              <w:rPr/>
            </w:pPr>
            <w:r>
              <w:rPr/>
              <w:t> </w:t>
            </w:r>
          </w:p>
        </w:tc>
      </w:tr>
      <w:tr>
        <w:trPr/>
        <w:tc>
          <w:tcPr>
            <w:tcW w:w="794"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411"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HC, CO</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 w:name="PGBRK4"/>
      <w:bookmarkStart w:id="114" w:name="PGBRK4"/>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FTR4"/>
      <w:bookmarkStart w:id="116" w:name="FTR4"/>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7" w:name="GLFTR4"/>
      <w:bookmarkEnd w:id="1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8" w:name="PN4"/>
      <w:bookmarkEnd w:id="11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HDR4"/>
      <w:bookmarkStart w:id="120" w:name="HDR4"/>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1" w:name="GLHDR4"/>
      <w:bookmarkEnd w:id="1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CUSIP No. 677864100</w:t>
      </w:r>
    </w:p>
    <w:tbl>
      <w:tblPr>
        <w:tblW w:w="5000" w:type="pct"/>
        <w:jc w:val="left"/>
        <w:tblInd w:w="0" w:type="dxa"/>
        <w:tblCellMar>
          <w:top w:w="28" w:type="dxa"/>
          <w:left w:w="0" w:type="dxa"/>
          <w:bottom w:w="28" w:type="dxa"/>
          <w:right w:w="0" w:type="dxa"/>
        </w:tblCellMar>
      </w:tblPr>
      <w:tblGrid>
        <w:gridCol w:w="878"/>
        <w:gridCol w:w="926"/>
        <w:gridCol w:w="1608"/>
        <w:gridCol w:w="6793"/>
      </w:tblGrid>
      <w:tr>
        <w:trPr/>
        <w:tc>
          <w:tcPr>
            <w:tcW w:w="878" w:type="dxa"/>
            <w:tcBorders>
              <w:top w:val="single" w:sz="12" w:space="0" w:color="000000"/>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w:t>
            </w:r>
          </w:p>
        </w:tc>
        <w:tc>
          <w:tcPr>
            <w:tcW w:w="9327" w:type="dxa"/>
            <w:gridSpan w:val="3"/>
            <w:tcBorders>
              <w:top w:val="single" w:sz="12" w:space="0" w:color="000000"/>
              <w:bottom w:val="double" w:sz="8" w:space="0" w:color="000000"/>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Names of reporting persons</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I.R.S. identification nos. of above persons (entities only)</w:t>
            </w:r>
          </w:p>
          <w:p>
            <w:pPr>
              <w:pStyle w:val="TableContents"/>
              <w:spacing w:before="0" w:after="0"/>
              <w:ind w:left="0" w:right="0" w:hanging="0"/>
              <w:jc w:val="left"/>
              <w:rPr>
                <w:rFonts w:ascii="Times New Roman" w:hAnsi="Times New Roman"/>
                <w:b/>
                <w:sz w:val="20"/>
              </w:rPr>
            </w:pPr>
            <w:r>
              <w:rPr>
                <w:rFonts w:ascii="Times New Roman" w:hAnsi="Times New Roman"/>
                <w:b/>
                <w:sz w:val="20"/>
              </w:rPr>
              <w:t>Mario J. Gabelli</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the appropriate box if a member of a group (SEE INSTRUCTIONS)                                                                                                                                          (a)</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7200" w:right="0" w:hanging="0"/>
              <w:jc w:val="left"/>
              <w:rPr>
                <w:rFonts w:ascii="Times New Roman" w:hAnsi="Times New Roman"/>
                <w:b/>
                <w:sz w:val="20"/>
              </w:rPr>
            </w:pPr>
            <w:bookmarkStart w:id="122" w:name="TAB14"/>
            <w:bookmarkEnd w:id="122"/>
            <w:r>
              <w:rPr>
                <w:rFonts w:ascii="Times New Roman" w:hAnsi="Times New Roman"/>
                <w:b/>
                <w:sz w:val="20"/>
              </w:rPr>
              <w:t>(b)</w:t>
            </w:r>
          </w:p>
          <w:p>
            <w:pPr>
              <w:pStyle w:val="TableContents"/>
              <w:spacing w:before="0" w:after="0"/>
              <w:ind w:left="0" w:right="0" w:hanging="0"/>
              <w:jc w:val="left"/>
              <w:rPr/>
            </w:pPr>
            <w:r>
              <w:rPr/>
              <w:t> </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3</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Sec use only</w:t>
            </w:r>
          </w:p>
          <w:p>
            <w:pPr>
              <w:pStyle w:val="TableContents"/>
              <w:spacing w:before="0" w:after="0"/>
              <w:ind w:left="0" w:right="0" w:hanging="0"/>
              <w:jc w:val="left"/>
              <w:rPr/>
            </w:pPr>
            <w:r>
              <w:rPr/>
              <w:t> </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Source of funds (SEE INSTRUCTIONS)</w:t>
            </w:r>
          </w:p>
          <w:p>
            <w:pPr>
              <w:pStyle w:val="TableContents"/>
              <w:spacing w:before="0" w:after="0"/>
              <w:ind w:left="0" w:right="0" w:hanging="0"/>
              <w:jc w:val="left"/>
              <w:rPr/>
            </w:pPr>
            <w:r>
              <w:rPr/>
              <w:t> </w:t>
            </w:r>
            <w:r>
              <w:rPr>
                <w:rFonts w:ascii="Times New Roman" w:hAnsi="Times New Roman"/>
                <w:b/>
                <w:sz w:val="20"/>
              </w:rPr>
              <w:t>None</w:t>
            </w:r>
          </w:p>
          <w:p>
            <w:pPr>
              <w:pStyle w:val="TableContents"/>
              <w:spacing w:before="0" w:after="0"/>
              <w:ind w:left="0" w:right="0" w:hanging="0"/>
              <w:jc w:val="left"/>
              <w:rPr/>
            </w:pPr>
            <w:r>
              <w:rPr/>
              <w:t> </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5</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Check box if disclosure of legal proceedings is required pursuant to items 2 (d) or 2 (e)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6</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Citizenship or place of organization</w:t>
            </w:r>
          </w:p>
          <w:p>
            <w:pPr>
              <w:pStyle w:val="TableContents"/>
              <w:spacing w:before="0" w:after="0"/>
              <w:ind w:left="0" w:right="0" w:hanging="0"/>
              <w:jc w:val="left"/>
              <w:rPr/>
            </w:pPr>
            <w:r>
              <w:rPr/>
              <w:t>   </w:t>
            </w:r>
            <w:r>
              <w:rPr>
                <w:rFonts w:ascii="Times New Roman" w:hAnsi="Times New Roman"/>
                <w:b/>
                <w:sz w:val="20"/>
              </w:rPr>
              <w:t>USA</w:t>
            </w:r>
          </w:p>
          <w:p>
            <w:pPr>
              <w:pStyle w:val="TableContents"/>
              <w:spacing w:before="0" w:after="0"/>
              <w:ind w:left="0" w:right="0" w:hanging="0"/>
              <w:jc w:val="left"/>
              <w:rPr/>
            </w:pPr>
            <w:r>
              <w:rPr/>
              <w:t> </w:t>
            </w:r>
          </w:p>
        </w:tc>
      </w:tr>
      <w:tr>
        <w:trPr/>
        <w:tc>
          <w:tcPr>
            <w:tcW w:w="1804" w:type="dxa"/>
            <w:gridSpan w:val="2"/>
            <w:vMerge w:val="restart"/>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Number Of</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Shares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Beneficially</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Owned</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By Each</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Reporting</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Person</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mallCaps/>
                <w:sz w:val="20"/>
              </w:rPr>
            </w:pPr>
            <w:r>
              <w:rPr>
                <w:rFonts w:ascii="Times New Roman" w:hAnsi="Times New Roman"/>
                <w:b/>
                <w:smallCaps/>
                <w:sz w:val="20"/>
              </w:rPr>
              <w:t>With</w:t>
            </w:r>
          </w:p>
        </w:tc>
        <w:tc>
          <w:tcPr>
            <w:tcW w:w="160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7</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None</w:t>
            </w:r>
          </w:p>
        </w:tc>
      </w:tr>
      <w:tr>
        <w:trPr/>
        <w:tc>
          <w:tcPr>
            <w:tcW w:w="1804" w:type="dxa"/>
            <w:gridSpan w:val="2"/>
            <w:vMerge w:val="continue"/>
            <w:tcBorders>
              <w:bottom w:val="double" w:sz="8" w:space="0" w:color="000000"/>
            </w:tcBorders>
            <w:shd w:fill="auto" w:val="clear"/>
            <w:tcMar>
              <w:top w:w="0" w:type="dxa"/>
            </w:tcMar>
          </w:tcPr>
          <w:p>
            <w:pPr>
              <w:pStyle w:val="Normal"/>
              <w:rPr/>
            </w:pPr>
            <w:r>
              <w:rPr/>
            </w:r>
          </w:p>
        </w:tc>
        <w:tc>
          <w:tcPr>
            <w:tcW w:w="160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8</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4" w:type="dxa"/>
            <w:gridSpan w:val="2"/>
            <w:vMerge w:val="continue"/>
            <w:tcBorders>
              <w:bottom w:val="double" w:sz="8" w:space="0" w:color="000000"/>
            </w:tcBorders>
            <w:shd w:fill="auto" w:val="clear"/>
            <w:tcMar>
              <w:top w:w="0" w:type="dxa"/>
            </w:tcMar>
          </w:tcPr>
          <w:p>
            <w:pPr>
              <w:pStyle w:val="Normal"/>
              <w:rPr/>
            </w:pPr>
            <w:r>
              <w:rPr/>
            </w:r>
          </w:p>
        </w:tc>
        <w:tc>
          <w:tcPr>
            <w:tcW w:w="160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 9</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1804" w:type="dxa"/>
            <w:gridSpan w:val="2"/>
            <w:vMerge w:val="continue"/>
            <w:tcBorders>
              <w:bottom w:val="double" w:sz="8" w:space="0" w:color="000000"/>
            </w:tcBorders>
            <w:shd w:fill="auto" w:val="clear"/>
            <w:tcMar>
              <w:top w:w="0" w:type="dxa"/>
            </w:tcMar>
          </w:tcPr>
          <w:p>
            <w:pPr>
              <w:pStyle w:val="Normal"/>
              <w:rPr/>
            </w:pPr>
            <w:r>
              <w:rPr/>
            </w:r>
          </w:p>
        </w:tc>
        <w:tc>
          <w:tcPr>
            <w:tcW w:w="160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:10</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679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None</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12</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Check box if the aggregate amount in row (11) excludes certain shares</w:t>
            </w:r>
          </w:p>
          <w:p>
            <w:pPr>
              <w:pStyle w:val="TableContents"/>
              <w:spacing w:before="0" w:after="0"/>
              <w:ind w:left="0" w:right="0" w:hanging="0"/>
              <w:jc w:val="left"/>
              <w:rPr>
                <w:rFonts w:ascii="Times New Roman" w:hAnsi="Times New Roman"/>
                <w:b/>
                <w:sz w:val="20"/>
              </w:rPr>
            </w:pPr>
            <w:r>
              <w:rPr>
                <w:rFonts w:ascii="Times New Roman" w:hAnsi="Times New Roman"/>
                <w:b/>
                <w:sz w:val="20"/>
              </w:rPr>
              <w:t>(SEE INSTRUCTIONS)  X</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13</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Percent of class represented by amount in row (11)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0.00%</w:t>
            </w:r>
          </w:p>
        </w:tc>
      </w:tr>
      <w:tr>
        <w:trPr/>
        <w:tc>
          <w:tcPr>
            <w:tcW w:w="878"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14</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9327" w:type="dxa"/>
            <w:gridSpan w:val="3"/>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Type of reporting person (SEE INSTRUCTIONS)</w:t>
            </w:r>
          </w:p>
          <w:p>
            <w:pPr>
              <w:pStyle w:val="TableContents"/>
              <w:spacing w:before="0" w:after="0"/>
              <w:ind w:left="0" w:right="0" w:hanging="0"/>
              <w:jc w:val="left"/>
              <w:rPr>
                <w:smallCaps/>
              </w:rPr>
            </w:pPr>
            <w:r>
              <w:rPr>
                <w:smallCaps/>
              </w:rPr>
              <w:t>    </w:t>
            </w:r>
            <w:r>
              <w:rPr>
                <w:rFonts w:ascii="Times New Roman" w:hAnsi="Times New Roman"/>
                <w:b/>
                <w:smallCaps/>
                <w:sz w:val="20"/>
              </w:rPr>
              <w:t>IN</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 w:name="PGBRK5"/>
      <w:bookmarkStart w:id="124" w:name="PGBRK5"/>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FTR5"/>
      <w:bookmarkStart w:id="126" w:name="FTR5"/>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 w:name="GLFTR5"/>
      <w:bookmarkEnd w:id="1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8" w:name="PN5"/>
      <w:bookmarkEnd w:id="12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HDR5"/>
      <w:bookmarkStart w:id="130" w:name="HDR5"/>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 w:name="GLHDR5"/>
      <w:bookmarkEnd w:id="1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Item 1.                                </w:t>
      </w:r>
      <w:r>
        <w:rPr>
          <w:rFonts w:ascii="Times New Roman" w:hAnsi="Times New Roman"/>
          <w:sz w:val="20"/>
          <w:u w:val="single"/>
        </w:rPr>
        <w:t>Security and Issuer</w:t>
      </w:r>
    </w:p>
    <w:p>
      <w:pPr>
        <w:pStyle w:val="TextBody"/>
        <w:spacing w:before="0" w:after="0"/>
        <w:ind w:left="1440" w:right="0" w:hanging="0"/>
        <w:jc w:val="left"/>
        <w:rPr>
          <w:rFonts w:ascii="Times New Roman" w:hAnsi="Times New Roman"/>
          <w:sz w:val="20"/>
        </w:rPr>
      </w:pPr>
      <w:bookmarkStart w:id="132" w:name="TAB15"/>
      <w:bookmarkEnd w:id="132"/>
      <w:r>
        <w:rPr>
          <w:rFonts w:ascii="Times New Roman" w:hAnsi="Times New Roman"/>
          <w:sz w:val="20"/>
        </w:rPr>
        <w:t>This Amendment No. 17 to Schedule 13D on the Common Stock of  Oil-Dri Corporation of America  (the “Issuer”) is being filed on behalf 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2.                                </w:t>
      </w:r>
      <w:r>
        <w:rPr>
          <w:rFonts w:ascii="Times New Roman" w:hAnsi="Times New Roman"/>
          <w:sz w:val="20"/>
          <w:u w:val="single"/>
        </w:rPr>
        <w:t>Identity and Background</w:t>
      </w:r>
    </w:p>
    <w:p>
      <w:pPr>
        <w:pStyle w:val="TextBody"/>
        <w:spacing w:before="0" w:after="0"/>
        <w:ind w:left="720" w:right="0" w:firstLine="720"/>
        <w:jc w:val="left"/>
        <w:rPr>
          <w:rFonts w:ascii="Times New Roman" w:hAnsi="Times New Roman"/>
          <w:sz w:val="20"/>
        </w:rPr>
      </w:pPr>
      <w:r>
        <w:rPr>
          <w:rFonts w:ascii="Times New Roman" w:hAnsi="Times New Roman"/>
          <w:sz w:val="20"/>
        </w:rPr>
        <w:t>This statement is being filed by Mario J. Gabelli (“Mario Gabelli”) and various entities which he</w:t>
      </w:r>
    </w:p>
    <w:p>
      <w:pPr>
        <w:pStyle w:val="TextBody"/>
        <w:spacing w:before="0" w:after="0"/>
        <w:ind w:left="0" w:right="0" w:hanging="0"/>
        <w:jc w:val="left"/>
        <w:rPr>
          <w:rFonts w:ascii="Times New Roman" w:hAnsi="Times New Roman"/>
          <w:sz w:val="20"/>
        </w:rPr>
      </w:pPr>
      <w:r>
        <w:rPr>
          <w:rFonts w:ascii="Times New Roman" w:hAnsi="Times New Roman"/>
          <w:sz w:val="20"/>
        </w:rPr>
        <w:t>directly or indirectly controls or for which he acts as chief investment officer.  These entities, except for LICT Corporation (“LICT”), engage in various aspects of the securities business, primarily as investment adviser to various institutional and individual clients, including registered investment companies and pension plans, and as general partner of various private investment partnerships.  Certain of these entities may also make investments for their own accounts.</w:t>
      </w:r>
    </w:p>
    <w:p>
      <w:pPr>
        <w:pStyle w:val="TextBody"/>
        <w:spacing w:before="0" w:after="0"/>
        <w:ind w:left="1440" w:right="0" w:hanging="0"/>
        <w:jc w:val="left"/>
        <w:rPr>
          <w:rFonts w:ascii="Times New Roman" w:hAnsi="Times New Roman"/>
          <w:sz w:val="20"/>
        </w:rPr>
      </w:pPr>
      <w:bookmarkStart w:id="133" w:name="TAB16"/>
      <w:bookmarkEnd w:id="133"/>
      <w:r>
        <w:rPr>
          <w:rFonts w:ascii="Times New Roman" w:hAnsi="Times New Roman"/>
          <w:sz w:val="20"/>
        </w:rPr>
        <w:t>The foregoing persons in the aggregate often own beneficially more than 5% of a class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pStyle w:val="TextBody"/>
        <w:spacing w:before="0" w:after="0"/>
        <w:ind w:left="1440" w:right="0" w:hanging="0"/>
        <w:jc w:val="left"/>
        <w:rPr>
          <w:rFonts w:ascii="Times New Roman" w:hAnsi="Times New Roman"/>
          <w:sz w:val="20"/>
        </w:rPr>
      </w:pPr>
      <w:bookmarkStart w:id="134" w:name="TAB17"/>
      <w:bookmarkEnd w:id="134"/>
      <w:r>
        <w:rPr>
          <w:rFonts w:ascii="Times New Roman" w:hAnsi="Times New Roman"/>
          <w:sz w:val="20"/>
        </w:rPr>
        <w:t>(a), (b) and (c) - This statement is being filed by one or more of the following persons: GGCP, Inc.  (“GGCP”), GAMCO Investors, Inc. (“GBL”), Gabelli Funds, LLC (“Gabelli Funds”), GAMCO Asset Management Inc. (“GAMCO”), Teton Advisors, Inc. (“Teton Advisors”), Gabelli Securities, Inc. (“GSI”), Gabelli &amp; Company, Inc. (“Gabelli &amp; Company”), MJG Associates, Inc. (“MJG Associates”), Gabelli Foundation, Inc. (“Foundation”), Mario Gabelli, and LICT.  Those of the foregoing persons signing this Schedule 13D are hereafter referred to as the “Reporting Persons”.</w:t>
      </w:r>
    </w:p>
    <w:p>
      <w:pPr>
        <w:pStyle w:val="TextBody"/>
        <w:spacing w:before="0" w:after="0"/>
        <w:ind w:left="1440" w:right="0" w:hanging="0"/>
        <w:jc w:val="left"/>
        <w:rPr>
          <w:rFonts w:ascii="Times New Roman" w:hAnsi="Times New Roman"/>
          <w:sz w:val="20"/>
        </w:rPr>
      </w:pPr>
      <w:bookmarkStart w:id="135" w:name="TAB18"/>
      <w:bookmarkEnd w:id="135"/>
      <w:r>
        <w:rPr>
          <w:rFonts w:ascii="Times New Roman" w:hAnsi="Times New Roman"/>
          <w:sz w:val="20"/>
        </w:rPr>
        <w:t>GGCP makes investments for its own account and is the parent company of GBL.  GBL, a public company listed on the New York Stock Exchange, is the parent company for a variety of companies engaged in the securities business, including those named below.</w:t>
      </w:r>
    </w:p>
    <w:p>
      <w:pPr>
        <w:pStyle w:val="TextBody"/>
        <w:spacing w:before="0" w:after="0"/>
        <w:ind w:left="1440" w:right="0" w:hanging="0"/>
        <w:jc w:val="left"/>
        <w:rPr>
          <w:rFonts w:ascii="Times New Roman" w:hAnsi="Times New Roman"/>
          <w:sz w:val="20"/>
        </w:rPr>
      </w:pPr>
      <w:bookmarkStart w:id="136" w:name="TAB19"/>
      <w:bookmarkEnd w:id="136"/>
      <w:r>
        <w:rPr>
          <w:rFonts w:ascii="Times New Roman" w:hAnsi="Times New Roman"/>
          <w:sz w:val="20"/>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pStyle w:val="TextBody"/>
        <w:spacing w:before="0" w:after="0"/>
        <w:ind w:left="1440" w:right="0" w:hanging="0"/>
        <w:jc w:val="left"/>
        <w:rPr>
          <w:rFonts w:ascii="Times New Roman" w:hAnsi="Times New Roman"/>
          <w:sz w:val="20"/>
        </w:rPr>
      </w:pPr>
      <w:bookmarkStart w:id="137" w:name="TAB110"/>
      <w:bookmarkEnd w:id="137"/>
      <w:r>
        <w:rPr>
          <w:rFonts w:ascii="Times New Roman" w:hAnsi="Times New Roman"/>
          <w:sz w:val="20"/>
        </w:rPr>
        <w:t>GSI, a majority-owned subsidiary of GBL, is an investment adviser registered under the Advisers Act and serves as a general partner or investment manager to limited partnerships and offshore investment companies.  As a part of its business, GSI may purchase or sell securities for its own account.  It is the immediate parent of Gabelli &amp; Company. GSI is the general partner or investment manager of a number of funds or partnerships, including Gabelli Associates Fund, Gabelli Associates Fund II, Gabelli Associates Limited, ALCE Partners, L.P., and Gabelli Multimedia Partners, L.P.  GSI and Marc Gabelli own 45% and 55%, respectively, of Gabelli Securities International Limited (“GSIL”). GSIL provides investment advisory services to offshore funds and accounts.   GSIL is an investment advisor of Gabelli International Gold Fund Limited, Gabelli European Partners, Ltd., and Gabelli Global Partners, Ltd.</w:t>
      </w:r>
    </w:p>
    <w:p>
      <w:pPr>
        <w:pStyle w:val="TextBody"/>
        <w:spacing w:before="0" w:after="0"/>
        <w:ind w:left="1440" w:right="0" w:hanging="0"/>
        <w:jc w:val="left"/>
        <w:rPr>
          <w:rFonts w:ascii="Times New Roman" w:hAnsi="Times New Roman"/>
          <w:sz w:val="20"/>
        </w:rPr>
      </w:pPr>
      <w:bookmarkStart w:id="138" w:name="TAB111"/>
      <w:bookmarkEnd w:id="138"/>
      <w:r>
        <w:rPr>
          <w:rFonts w:ascii="Times New Roman" w:hAnsi="Times New Roman"/>
          <w:sz w:val="20"/>
        </w:rPr>
        <w:t>Gabelli &amp; Company, a wholly-owned subsidiary of GSI, is a broker-dealer registered under the Securities Exchange Act of 1934, as amended (“1934 Act”), which as a part of its business regularly purchases and sells securities for its own account.</w:t>
      </w:r>
    </w:p>
    <w:p>
      <w:pPr>
        <w:pStyle w:val="TextBody"/>
        <w:spacing w:before="0" w:after="0"/>
        <w:ind w:left="1440" w:right="0" w:hanging="0"/>
        <w:jc w:val="left"/>
        <w:rPr>
          <w:rFonts w:ascii="Times New Roman" w:hAnsi="Times New Roman"/>
          <w:sz w:val="20"/>
        </w:rPr>
      </w:pPr>
      <w:bookmarkStart w:id="139" w:name="TAB112"/>
      <w:bookmarkEnd w:id="139"/>
      <w:r>
        <w:rPr>
          <w:rFonts w:ascii="Times New Roman" w:hAnsi="Times New Roman"/>
          <w:sz w:val="20"/>
        </w:rPr>
        <w:t>Gabelli Funds, a wholly owned subsidiary of GBL, is a limited liability company. Gabelli Funds is an investment adviser registered under the Advisers Act which presently provides discretionary managed account services for The Gabelli Equity Trust Inc., The Gabelli Asset Fund, The GAMCO Growth Fund, The Gabelli Convertible and Income Securities Fund Inc., The Gabelli Value Fund Inc., The Gabelli Small Cap Growth Fund, The Gabelli Equity Income Fund, The Gabelli ABC Fund, The GAMCO Global Telecommunications Fund, GAMCO Gold Fund, Inc., The Gabelli Global Multimedia Trust Inc., The GAMCO Global Convertible Securities Fund, Gabelli Capital Asset Fund, GAMCO International Growth Fund, Inc., The GAMCO Global Growth Fund, The Gabelli Utility Trust, The GAMCO Global Opportunity Fund, The Gabelli Utilities Fund, The Gabelli Blue Chip Value Fund, The GAMCO Mathers Fund, The Gabelli Woodland Small Cap Value Fund, The Comstock Capital Value Fund, The Comstock Strategy Fund, The Gabelli Dividend and Income Trust, The Gabelli Global Utility &amp; Income Trust, The Gabelli Global Gold, Natural Resources, &amp; Income Trust, The Gabelli Global Deal Fund, Gabelli Enterprise M&amp;A Fund, The Gabelli SRI Fund, Inc. and The Gabelli Healthcare &amp; Wellness Rx Trust (collectively, the “Funds”), which are registered investment companies.</w:t>
      </w:r>
    </w:p>
    <w:p>
      <w:pPr>
        <w:pStyle w:val="TextBody"/>
        <w:spacing w:before="0" w:after="0"/>
        <w:ind w:left="1440" w:right="0" w:hanging="0"/>
        <w:jc w:val="left"/>
        <w:rPr>
          <w:rFonts w:ascii="Times New Roman" w:hAnsi="Times New Roman"/>
          <w:sz w:val="20"/>
        </w:rPr>
      </w:pPr>
      <w:bookmarkStart w:id="140" w:name="TAB113"/>
      <w:bookmarkEnd w:id="140"/>
      <w:r>
        <w:rPr>
          <w:rFonts w:ascii="Times New Roman" w:hAnsi="Times New Roman"/>
          <w:sz w:val="20"/>
        </w:rPr>
        <w:t>Teton Advisors, a subsidiary of GBL, is an investment adviser which provides discretionary advisory services to The GAMCO Westwood Mighty Mitessm Fund, The GAMCO Westwood Income Fund and The GAMCO Westwood Small Cap Fund.</w:t>
      </w:r>
    </w:p>
    <w:p>
      <w:pPr>
        <w:pStyle w:val="TextBody"/>
        <w:spacing w:before="0" w:after="0"/>
        <w:ind w:left="1440" w:right="0" w:hanging="0"/>
        <w:jc w:val="left"/>
        <w:rPr>
          <w:rFonts w:ascii="Times New Roman" w:hAnsi="Times New Roman"/>
          <w:sz w:val="20"/>
        </w:rPr>
      </w:pPr>
      <w:bookmarkStart w:id="141" w:name="TAB114"/>
      <w:bookmarkEnd w:id="141"/>
      <w:r>
        <w:rPr>
          <w:rFonts w:ascii="Times New Roman" w:hAnsi="Times New Roman"/>
          <w:sz w:val="20"/>
        </w:rPr>
        <w:t>MJG Associates provides advisory services to private investment partnerships and offshore funds.  Mario Gabelli is the sole shareholder, director and employee of MJG Associates.   MJG Associates is the Investment Manager of Gabelli International Limited, Gabelli International II Limited and Gabelli Fund, LDC.  Mario J. Gabelli is the general partner of Gabelli Performance Partnership, LP.</w:t>
      </w:r>
    </w:p>
    <w:p>
      <w:pPr>
        <w:pStyle w:val="TextBody"/>
        <w:spacing w:before="0" w:after="0"/>
        <w:ind w:left="720" w:right="0" w:firstLine="720"/>
        <w:jc w:val="left"/>
        <w:rPr>
          <w:rFonts w:ascii="Times New Roman" w:hAnsi="Times New Roman"/>
          <w:sz w:val="20"/>
        </w:rPr>
      </w:pPr>
      <w:r>
        <w:rPr>
          <w:rFonts w:ascii="Times New Roman" w:hAnsi="Times New Roman"/>
          <w:sz w:val="20"/>
        </w:rPr>
        <w:t>The Foundation is a private foundation.  Mario Gabelli is the Chairman, a Trustee and the</w:t>
      </w:r>
    </w:p>
    <w:p>
      <w:pPr>
        <w:pStyle w:val="TextBody"/>
        <w:spacing w:before="0" w:after="0"/>
        <w:ind w:left="0" w:right="0" w:hanging="0"/>
        <w:jc w:val="left"/>
        <w:rPr>
          <w:rFonts w:ascii="Times New Roman" w:hAnsi="Times New Roman"/>
          <w:sz w:val="20"/>
        </w:rPr>
      </w:pPr>
      <w:r>
        <w:rPr>
          <w:rFonts w:ascii="Times New Roman" w:hAnsi="Times New Roman"/>
          <w:sz w:val="20"/>
        </w:rPr>
        <w:t>Investment Manager of the Foundation. Elisa Gabelli Wilson is the President of the Foundation.</w:t>
      </w:r>
    </w:p>
    <w:p>
      <w:pPr>
        <w:pStyle w:val="TextBody"/>
        <w:spacing w:before="0" w:after="0"/>
        <w:ind w:left="1440" w:right="0" w:hanging="0"/>
        <w:jc w:val="left"/>
        <w:rPr/>
      </w:pPr>
      <w:bookmarkStart w:id="142" w:name="TAB115"/>
      <w:bookmarkEnd w:id="142"/>
      <w:r>
        <w:rPr/>
        <w:t> </w:t>
      </w:r>
      <w:r>
        <w:rPr>
          <w:rFonts w:ascii="Times New Roman" w:hAnsi="Times New Roman"/>
          <w:sz w:val="20"/>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reinvesting, or trading in securities.  Mario J. Gabelli is a director, and substantial shareholder of LICT.</w:t>
      </w:r>
    </w:p>
    <w:p>
      <w:pPr>
        <w:pStyle w:val="TextBody"/>
        <w:spacing w:before="0" w:after="0"/>
        <w:ind w:left="1440" w:right="0" w:hanging="0"/>
        <w:jc w:val="left"/>
        <w:rPr>
          <w:rFonts w:ascii="Times New Roman" w:hAnsi="Times New Roman"/>
          <w:sz w:val="20"/>
        </w:rPr>
      </w:pPr>
      <w:bookmarkStart w:id="143" w:name="TAB116"/>
      <w:bookmarkEnd w:id="143"/>
      <w:r>
        <w:rPr>
          <w:rFonts w:ascii="Times New Roman" w:hAnsi="Times New Roman"/>
          <w:sz w:val="20"/>
        </w:rPr>
        <w:t>Mario Gabelli is the majority stockholder and Chief Executive Officer of GGCP and Chairman and Chief Executive Officer of GBL.  GGCP is the majority shareholder of GBL. GBL, in turn, is the sole stockholder of GAMCO.  GBL is also the majority stockholder of GSI and the largest shareholder of Teton Advisors.  Gabelli &amp; Company is a wholly-owned subsidiary of GSI.</w:t>
      </w:r>
    </w:p>
    <w:p>
      <w:pPr>
        <w:pStyle w:val="TextBody"/>
        <w:spacing w:before="0" w:after="0"/>
        <w:ind w:left="1440" w:right="0" w:hanging="0"/>
        <w:jc w:val="left"/>
        <w:rPr>
          <w:rFonts w:ascii="Times New Roman" w:hAnsi="Times New Roman"/>
          <w:sz w:val="20"/>
        </w:rPr>
      </w:pPr>
      <w:bookmarkStart w:id="144" w:name="TAB117"/>
      <w:bookmarkEnd w:id="144"/>
      <w:r>
        <w:rPr>
          <w:rFonts w:ascii="Times New Roman" w:hAnsi="Times New Roman"/>
          <w:sz w:val="20"/>
        </w:rPr>
        <w:t>The Reporting Persons do not admit that they constitute a group.</w:t>
      </w:r>
    </w:p>
    <w:p>
      <w:pPr>
        <w:pStyle w:val="TextBody"/>
        <w:spacing w:before="0" w:after="0"/>
        <w:ind w:left="1440" w:right="0" w:hanging="0"/>
        <w:jc w:val="left"/>
        <w:rPr>
          <w:rFonts w:ascii="Times New Roman" w:hAnsi="Times New Roman"/>
          <w:sz w:val="20"/>
        </w:rPr>
      </w:pPr>
      <w:bookmarkStart w:id="145" w:name="TAB118"/>
      <w:bookmarkEnd w:id="145"/>
      <w:r>
        <w:rPr>
          <w:rFonts w:ascii="Times New Roman" w:hAnsi="Times New Roman"/>
          <w:sz w:val="20"/>
        </w:rPr>
        <w:t>GBL, GAMCO, and Gabelli &amp; Company are New York corporations and GSI and Teton Advisors are Delaware corporations, each having its principal business office at One Corporate Center, Rye, New York 10580. GGCP is a New York corporation having its principal business office at 140 Greenwich Avenue, Greenwich, CT 06830.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  LICT is a Delaware corporation having its principal place of business at 401 Theodore Fremd Avenue, Rye, New York 10580.</w:t>
      </w:r>
    </w:p>
    <w:p>
      <w:pPr>
        <w:pStyle w:val="TextBody"/>
        <w:spacing w:before="0" w:after="0"/>
        <w:ind w:left="1440" w:right="0" w:hanging="0"/>
        <w:jc w:val="left"/>
        <w:rPr>
          <w:rFonts w:ascii="Times New Roman" w:hAnsi="Times New Roman"/>
          <w:sz w:val="20"/>
        </w:rPr>
      </w:pPr>
      <w:bookmarkStart w:id="146" w:name="TAB119"/>
      <w:bookmarkEnd w:id="146"/>
      <w:r>
        <w:rPr>
          <w:rFonts w:ascii="Times New Roman" w:hAnsi="Times New Roman"/>
          <w:sz w:val="20"/>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pStyle w:val="TextBody"/>
        <w:spacing w:before="0" w:after="0"/>
        <w:ind w:left="720" w:right="0" w:firstLine="720"/>
        <w:jc w:val="left"/>
        <w:rPr>
          <w:rFonts w:ascii="Times New Roman" w:hAnsi="Times New Roman"/>
          <w:sz w:val="20"/>
        </w:rPr>
      </w:pPr>
      <w:r>
        <w:rPr>
          <w:rFonts w:ascii="Times New Roman" w:hAnsi="Times New Roman"/>
          <w:sz w:val="20"/>
        </w:rPr>
        <w:t>(f) - Reference is made to Schedule I hereto.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3.                                </w:t>
      </w:r>
      <w:r>
        <w:rPr>
          <w:rFonts w:ascii="Times New Roman" w:hAnsi="Times New Roman"/>
          <w:sz w:val="20"/>
          <w:u w:val="single"/>
        </w:rPr>
        <w:t>Source and Amount of Funds or Other Consideration</w:t>
      </w:r>
    </w:p>
    <w:p>
      <w:pPr>
        <w:pStyle w:val="TextBody"/>
        <w:spacing w:before="0" w:after="0"/>
        <w:ind w:left="720" w:right="0" w:firstLine="720"/>
        <w:jc w:val="left"/>
        <w:rPr>
          <w:rFonts w:ascii="Times New Roman" w:hAnsi="Times New Roman"/>
          <w:sz w:val="20"/>
        </w:rPr>
      </w:pPr>
      <w:r>
        <w:rPr>
          <w:rFonts w:ascii="Times New Roman" w:hAnsi="Times New Roman"/>
          <w:sz w:val="20"/>
        </w:rPr>
        <w:t>Item 3 to Schedule 13D is amended, in pertinent part, as follows:</w:t>
      </w:r>
    </w:p>
    <w:p>
      <w:pPr>
        <w:pStyle w:val="TextBody"/>
        <w:spacing w:before="0" w:after="0"/>
        <w:ind w:left="1440" w:right="0" w:hanging="0"/>
        <w:jc w:val="left"/>
        <w:rPr>
          <w:rFonts w:ascii="Times New Roman" w:hAnsi="Times New Roman"/>
          <w:sz w:val="20"/>
        </w:rPr>
      </w:pPr>
      <w:bookmarkStart w:id="147" w:name="TAB120"/>
      <w:bookmarkEnd w:id="147"/>
      <w:r>
        <w:rPr>
          <w:rFonts w:ascii="Times New Roman" w:hAnsi="Times New Roman"/>
          <w:sz w:val="20"/>
        </w:rPr>
        <w:t>The Reporting Persons used an aggregate of approximately $1,232,213 to purchase the additional Securities reported as beneficially owned in Item 5 since the most recent filing on Schedule 13D. GAMCO and Gabelli Funds used approximately $1,134,377 and $97,836 respectively, of funds that were provided through the accounts of certain of their investment advisory clients (and, in the case of some of such accounts at GAMCO, may be through borrowings from client margin accounts) in order to purchase the additional Securities for such clients.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5.                                </w:t>
      </w:r>
      <w:r>
        <w:rPr>
          <w:rFonts w:ascii="Times New Roman" w:hAnsi="Times New Roman"/>
          <w:sz w:val="20"/>
          <w:u w:val="single"/>
        </w:rPr>
        <w:t>Interest In Securities Of The Issuer</w:t>
      </w:r>
    </w:p>
    <w:p>
      <w:pPr>
        <w:pStyle w:val="TextBody"/>
        <w:spacing w:before="0" w:after="0"/>
        <w:ind w:left="1440" w:right="0" w:hanging="0"/>
        <w:jc w:val="left"/>
        <w:rPr>
          <w:rFonts w:ascii="Times New Roman" w:hAnsi="Times New Roman"/>
          <w:sz w:val="20"/>
        </w:rPr>
      </w:pPr>
      <w:bookmarkStart w:id="148" w:name="TAB121"/>
      <w:bookmarkEnd w:id="148"/>
      <w:r>
        <w:rPr>
          <w:rFonts w:ascii="Times New Roman" w:hAnsi="Times New Roman"/>
          <w:sz w:val="20"/>
        </w:rPr>
        <w:t>Item 5 to Schedule 13D is amended, in pertinent part, as follows:</w:t>
      </w:r>
    </w:p>
    <w:p>
      <w:pPr>
        <w:pStyle w:val="TextBody"/>
        <w:spacing w:before="0" w:after="0"/>
        <w:ind w:left="0" w:right="0" w:firstLine="1440"/>
        <w:jc w:val="left"/>
        <w:rPr>
          <w:rFonts w:ascii="Times New Roman" w:hAnsi="Times New Roman"/>
          <w:sz w:val="20"/>
        </w:rPr>
      </w:pPr>
      <w:r>
        <w:rPr>
          <w:rFonts w:ascii="Times New Roman" w:hAnsi="Times New Roman"/>
          <w:sz w:val="20"/>
        </w:rPr>
        <w:t>(a) The aggregate number of Securities to which this Schedule 13D relates is 676,925 shares, representing 13.18% of the 5,136,158 shares outstanding as reported in the Issuer’s most recent Form 10-Q for the quarter ended July 31, 2008.  The Reporting Persons beneficially own those Securities as follows:</w:t>
      </w:r>
    </w:p>
    <w:tbl>
      <w:tblPr>
        <w:tblW w:w="5000" w:type="pct"/>
        <w:jc w:val="left"/>
        <w:tblInd w:w="0" w:type="dxa"/>
        <w:tblCellMar>
          <w:top w:w="0" w:type="dxa"/>
          <w:left w:w="0" w:type="dxa"/>
          <w:bottom w:w="28" w:type="dxa"/>
          <w:right w:w="0" w:type="dxa"/>
        </w:tblCellMar>
      </w:tblPr>
      <w:tblGrid>
        <w:gridCol w:w="3992"/>
        <w:gridCol w:w="2811"/>
        <w:gridCol w:w="3402"/>
      </w:tblGrid>
      <w:tr>
        <w:trPr/>
        <w:tc>
          <w:tcPr>
            <w:tcW w:w="3992" w:type="dxa"/>
            <w:tcBorders>
              <w:bottom w:val="single" w:sz="12"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Name</w:t>
            </w:r>
          </w:p>
          <w:p>
            <w:pPr>
              <w:pStyle w:val="TableContents"/>
              <w:spacing w:before="0" w:after="0"/>
              <w:ind w:left="0" w:right="0" w:hanging="0"/>
              <w:rPr/>
            </w:pPr>
            <w:r>
              <w:rPr/>
              <w:t> </w:t>
            </w:r>
          </w:p>
        </w:tc>
        <w:tc>
          <w:tcPr>
            <w:tcW w:w="2811"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Shares of</w:t>
            </w:r>
          </w:p>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3402"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 of Class of</w:t>
            </w:r>
          </w:p>
          <w:p>
            <w:pPr>
              <w:pStyle w:val="TableContents"/>
              <w:spacing w:before="0" w:after="0"/>
              <w:ind w:left="0" w:right="0" w:hanging="0"/>
              <w:jc w:val="center"/>
              <w:rPr>
                <w:rFonts w:ascii="Times New Roman" w:hAnsi="Times New Roman"/>
                <w:sz w:val="20"/>
              </w:rPr>
            </w:pPr>
            <w:r>
              <w:rPr>
                <w:rFonts w:ascii="Times New Roman" w:hAnsi="Times New Roman"/>
                <w:sz w:val="20"/>
              </w:rPr>
              <w:t>Common</w:t>
            </w:r>
          </w:p>
        </w:tc>
      </w:tr>
      <w:tr>
        <w:trPr/>
        <w:tc>
          <w:tcPr>
            <w:tcW w:w="3992"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Gabelli Funds</w:t>
            </w:r>
          </w:p>
          <w:p>
            <w:pPr>
              <w:pStyle w:val="TableContents"/>
              <w:spacing w:before="0" w:after="0"/>
              <w:ind w:left="0" w:right="0" w:hanging="0"/>
              <w:rPr/>
            </w:pPr>
            <w:r>
              <w:rPr/>
              <w:t> </w:t>
            </w:r>
          </w:p>
        </w:tc>
        <w:tc>
          <w:tcPr>
            <w:tcW w:w="281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117,000</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2.28%</w:t>
            </w:r>
          </w:p>
        </w:tc>
      </w:tr>
      <w:tr>
        <w:trPr/>
        <w:tc>
          <w:tcPr>
            <w:tcW w:w="3992"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GAMCO</w:t>
            </w:r>
          </w:p>
        </w:tc>
        <w:tc>
          <w:tcPr>
            <w:tcW w:w="281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559,925</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10.90%</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49" w:name="TAB122"/>
      <w:bookmarkEnd w:id="149"/>
      <w:r>
        <w:rPr>
          <w:rFonts w:ascii="Times New Roman" w:hAnsi="Times New Roman"/>
          <w:sz w:val="20"/>
        </w:rPr>
        <w:t>Mario Gabelli is deemed to have beneficial ownership of the Securities owned beneficially by each of the foregoing persons.  GSI is deemed to have beneficial ownership of the Securities beneficially owned by Gabelli &amp; Company.   GBL and GGCP are deemed to have beneficial ownership of the Securities owned beneficially by each of the foregoing persons other than Mario Gabelli and the Foundation.</w:t>
      </w:r>
    </w:p>
    <w:p>
      <w:pPr>
        <w:pStyle w:val="TextBody"/>
        <w:spacing w:before="0" w:after="0"/>
        <w:ind w:left="0" w:right="0" w:firstLine="1440"/>
        <w:jc w:val="left"/>
        <w:rPr>
          <w:rFonts w:ascii="Times New Roman" w:hAnsi="Times New Roman"/>
          <w:sz w:val="20"/>
        </w:rPr>
      </w:pPr>
      <w:r>
        <w:rPr>
          <w:rFonts w:ascii="Times New Roman" w:hAnsi="Times New Roman"/>
          <w:sz w:val="20"/>
        </w:rPr>
        <w:t>(b) 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45,300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GBL, and GGCP is indirect with respect to Securities beneficially owned directly by other Reporting Persons.</w:t>
      </w:r>
    </w:p>
    <w:p>
      <w:pPr>
        <w:pStyle w:val="TextBody"/>
        <w:spacing w:before="0" w:after="0"/>
        <w:ind w:left="1440" w:right="0" w:hanging="0"/>
        <w:jc w:val="left"/>
        <w:rPr>
          <w:rFonts w:ascii="Times New Roman" w:hAnsi="Times New Roman"/>
          <w:sz w:val="20"/>
        </w:rPr>
      </w:pPr>
      <w:bookmarkStart w:id="150" w:name="TAB123"/>
      <w:bookmarkEnd w:id="150"/>
      <w:r>
        <w:rPr>
          <w:rFonts w:ascii="Times New Roman" w:hAnsi="Times New Roman"/>
          <w:sz w:val="20"/>
        </w:rPr>
        <w:t>(c) 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pStyle w:val="TextBody"/>
        <w:spacing w:before="0" w:after="0"/>
        <w:ind w:left="1440" w:right="0" w:hanging="0"/>
        <w:jc w:val="left"/>
        <w:rPr>
          <w:rFonts w:ascii="Times New Roman" w:hAnsi="Times New Roman"/>
          <w:sz w:val="20"/>
        </w:rPr>
      </w:pPr>
      <w:bookmarkStart w:id="151" w:name="TAB124"/>
      <w:bookmarkEnd w:id="151"/>
      <w:r>
        <w:rPr>
          <w:rFonts w:ascii="Times New Roman" w:hAnsi="Times New Roman"/>
          <w:sz w:val="20"/>
        </w:rPr>
        <w:t>(e) Not applicable.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2" w:name="PGBRK6"/>
      <w:bookmarkStart w:id="153" w:name="PGBRK6"/>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FTR6"/>
      <w:bookmarkStart w:id="155" w:name="FTR6"/>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56" w:name="GLFTR6"/>
      <w:bookmarkEnd w:id="15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7" w:name="PN6"/>
      <w:bookmarkEnd w:id="157"/>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 w:name="HDR6"/>
      <w:bookmarkStart w:id="159" w:name="HDR6"/>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60" w:name="GLHDR6"/>
      <w:bookmarkEnd w:id="16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Signature</w:t>
      </w:r>
    </w:p>
    <w:p>
      <w:pPr>
        <w:pStyle w:val="TextBody"/>
        <w:spacing w:before="0" w:after="0"/>
        <w:ind w:left="720" w:right="0" w:hanging="0"/>
        <w:jc w:val="both"/>
        <w:rPr>
          <w:rFonts w:ascii="Times New Roman" w:hAnsi="Times New Roman"/>
          <w:sz w:val="20"/>
        </w:rPr>
      </w:pPr>
      <w:bookmarkStart w:id="161" w:name="TAB125"/>
      <w:bookmarkEnd w:id="161"/>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hanging="0"/>
        <w:jc w:val="both"/>
        <w:rPr>
          <w:rFonts w:ascii="Times New Roman" w:hAnsi="Times New Roman"/>
          <w:sz w:val="20"/>
        </w:rPr>
      </w:pPr>
      <w:r>
        <w:rPr>
          <w:rFonts w:ascii="Times New Roman" w:hAnsi="Times New Roman"/>
          <w:sz w:val="20"/>
        </w:rPr>
        <w:t>Dated:                      November 14, 2008</w:t>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bookmarkStart w:id="162" w:name="TAB126"/>
      <w:bookmarkEnd w:id="162"/>
      <w:r>
        <w:rPr>
          <w:rFonts w:ascii="Times New Roman" w:hAnsi="Times New Roman"/>
          <w:sz w:val="20"/>
        </w:rPr>
        <w:t>MARIO J. GABELLI</w:t>
      </w:r>
    </w:p>
    <w:p>
      <w:pPr>
        <w:pStyle w:val="TextBody"/>
        <w:spacing w:before="0" w:after="0"/>
        <w:ind w:left="4320" w:right="0" w:hanging="0"/>
        <w:jc w:val="left"/>
        <w:rPr>
          <w:rFonts w:ascii="Times New Roman" w:hAnsi="Times New Roman"/>
          <w:sz w:val="20"/>
        </w:rPr>
      </w:pPr>
      <w:bookmarkStart w:id="163" w:name="TAB127"/>
      <w:bookmarkEnd w:id="163"/>
      <w:r>
        <w:rPr>
          <w:rFonts w:ascii="Times New Roman" w:hAnsi="Times New Roman"/>
          <w:sz w:val="20"/>
        </w:rPr>
        <w:t>GGCP, INC.</w:t>
      </w:r>
    </w:p>
    <w:p>
      <w:pPr>
        <w:pStyle w:val="TextBody"/>
        <w:spacing w:before="0" w:after="0"/>
        <w:ind w:left="3600" w:right="0" w:hanging="0"/>
        <w:jc w:val="both"/>
        <w:rPr/>
      </w:pPr>
      <w:bookmarkStart w:id="164" w:name="TAB128"/>
      <w:bookmarkEnd w:id="164"/>
      <w:r>
        <w:rPr/>
        <w:t>                </w:t>
      </w:r>
      <w:r>
        <w:rPr>
          <w:rFonts w:ascii="Times New Roman" w:hAnsi="Times New Roman"/>
          <w:sz w:val="20"/>
        </w:rPr>
        <w:t>GABELLI FUNDS, LLC</w:t>
      </w:r>
    </w:p>
    <w:p>
      <w:pPr>
        <w:pStyle w:val="TextBody"/>
        <w:spacing w:before="0" w:after="0"/>
        <w:ind w:left="3600" w:right="0" w:firstLine="720"/>
        <w:jc w:val="both"/>
        <w:rPr>
          <w:rFonts w:ascii="Times New Roman" w:hAnsi="Times New Roman"/>
          <w:sz w:val="20"/>
        </w:rPr>
      </w:pPr>
      <w:r>
        <w:rPr>
          <w:rFonts w:ascii="Times New Roman" w:hAnsi="Times New Roman"/>
          <w:sz w:val="20"/>
        </w:rPr>
        <w:t>GAMCO ASSET MANAGEMENT INC</w:t>
      </w:r>
    </w:p>
    <w:p>
      <w:pPr>
        <w:pStyle w:val="TextBody"/>
        <w:spacing w:before="0" w:after="0"/>
        <w:ind w:left="4320" w:right="0" w:hanging="0"/>
        <w:jc w:val="both"/>
        <w:rPr>
          <w:rFonts w:ascii="Times New Roman" w:hAnsi="Times New Roman"/>
          <w:sz w:val="20"/>
        </w:rPr>
      </w:pPr>
      <w:bookmarkStart w:id="165" w:name="TAB129"/>
      <w:bookmarkEnd w:id="165"/>
      <w:r>
        <w:rPr>
          <w:rFonts w:ascii="Times New Roman" w:hAnsi="Times New Roman"/>
          <w:sz w:val="20"/>
        </w:rPr>
        <w:t>GAMCO INVESTORS,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hanging="0"/>
        <w:jc w:val="both"/>
        <w:rPr>
          <w:rFonts w:ascii="Times New Roman" w:hAnsi="Times New Roman"/>
          <w:sz w:val="20"/>
        </w:rPr>
      </w:pPr>
      <w:bookmarkStart w:id="166" w:name="TAB130"/>
      <w:bookmarkEnd w:id="166"/>
      <w:r>
        <w:rPr>
          <w:rFonts w:ascii="Times New Roman" w:hAnsi="Times New Roman"/>
          <w:sz w:val="20"/>
        </w:rPr>
        <w:t>By:</w:t>
      </w:r>
      <w:r>
        <w:rPr>
          <w:rFonts w:ascii="Times New Roman" w:hAnsi="Times New Roman"/>
          <w:sz w:val="20"/>
          <w:u w:val="single"/>
        </w:rPr>
        <w:t>/s/ Douglas R. Jamieson</w:t>
      </w:r>
      <w:r>
        <w:rPr>
          <w:rFonts w:ascii="Times New Roman" w:hAnsi="Times New Roman"/>
          <w:sz w:val="20"/>
        </w:rPr>
        <w:t>                                                                           </w:t>
      </w:r>
    </w:p>
    <w:p>
      <w:pPr>
        <w:pStyle w:val="TextBody"/>
        <w:spacing w:before="0" w:after="0"/>
        <w:ind w:left="3600" w:right="0" w:hanging="0"/>
        <w:jc w:val="both"/>
        <w:rPr>
          <w:rFonts w:ascii="Times New Roman" w:hAnsi="Times New Roman"/>
          <w:sz w:val="20"/>
        </w:rPr>
      </w:pPr>
      <w:bookmarkStart w:id="167" w:name="TAB131"/>
      <w:bookmarkEnd w:id="167"/>
      <w:r>
        <w:rPr>
          <w:rFonts w:ascii="Times New Roman" w:hAnsi="Times New Roman"/>
          <w:sz w:val="20"/>
        </w:rPr>
        <w:t>Douglas R. Jamieson</w:t>
      </w:r>
    </w:p>
    <w:p>
      <w:pPr>
        <w:pStyle w:val="TextBody"/>
        <w:spacing w:before="0" w:after="0"/>
        <w:ind w:left="3600" w:right="0" w:hanging="0"/>
        <w:jc w:val="both"/>
        <w:rPr>
          <w:rFonts w:ascii="Times New Roman" w:hAnsi="Times New Roman"/>
          <w:sz w:val="20"/>
        </w:rPr>
      </w:pPr>
      <w:bookmarkStart w:id="168" w:name="TAB132"/>
      <w:bookmarkEnd w:id="168"/>
      <w:r>
        <w:rPr>
          <w:rFonts w:ascii="Times New Roman" w:hAnsi="Times New Roman"/>
          <w:sz w:val="20"/>
        </w:rPr>
        <w:t>Attorney-in-Fact for Mario J. Gabelli</w:t>
      </w:r>
    </w:p>
    <w:p>
      <w:pPr>
        <w:pStyle w:val="TextBody"/>
        <w:spacing w:before="0" w:after="0"/>
        <w:ind w:left="3600" w:right="0" w:hanging="0"/>
        <w:jc w:val="both"/>
        <w:rPr>
          <w:rFonts w:ascii="Times New Roman" w:hAnsi="Times New Roman"/>
          <w:sz w:val="20"/>
        </w:rPr>
      </w:pPr>
      <w:bookmarkStart w:id="169" w:name="TAB133"/>
      <w:bookmarkEnd w:id="169"/>
      <w:r>
        <w:rPr>
          <w:rFonts w:ascii="Times New Roman" w:hAnsi="Times New Roman"/>
          <w:sz w:val="20"/>
        </w:rPr>
        <w:t>Director – GGCP, Inc.</w:t>
      </w:r>
    </w:p>
    <w:p>
      <w:pPr>
        <w:pStyle w:val="TextBody"/>
        <w:spacing w:before="0" w:after="0"/>
        <w:ind w:left="0" w:right="0" w:hanging="0"/>
        <w:jc w:val="both"/>
        <w:rPr/>
      </w:pPr>
      <w:r>
        <w:rPr/>
        <w:t>                                                                                </w:t>
      </w:r>
      <w:r>
        <w:rPr>
          <w:rFonts w:ascii="Times New Roman" w:hAnsi="Times New Roman"/>
          <w:sz w:val="20"/>
        </w:rPr>
        <w:t>President &amp; Chief Operating Officer of the sole member of</w:t>
      </w:r>
    </w:p>
    <w:p>
      <w:pPr>
        <w:pStyle w:val="TextBody"/>
        <w:spacing w:before="0" w:after="0"/>
        <w:ind w:left="3600" w:right="0" w:hanging="0"/>
        <w:jc w:val="both"/>
        <w:rPr/>
      </w:pPr>
      <w:bookmarkStart w:id="170" w:name="TAB134"/>
      <w:bookmarkEnd w:id="170"/>
      <w:r>
        <w:rPr/>
        <w:t>         </w:t>
      </w:r>
      <w:r>
        <w:rPr>
          <w:rFonts w:ascii="Times New Roman" w:hAnsi="Times New Roman"/>
          <w:sz w:val="20"/>
        </w:rPr>
        <w:t>Gabelli Funds, LLC.</w:t>
      </w:r>
    </w:p>
    <w:p>
      <w:pPr>
        <w:pStyle w:val="TextBody"/>
        <w:spacing w:before="0" w:after="0"/>
        <w:ind w:left="0" w:right="0" w:hanging="0"/>
        <w:jc w:val="both"/>
        <w:rPr/>
      </w:pPr>
      <w:r>
        <w:rPr/>
        <w:t>                                                                                </w:t>
      </w:r>
      <w:r>
        <w:rPr>
          <w:rFonts w:ascii="Times New Roman" w:hAnsi="Times New Roman"/>
          <w:sz w:val="20"/>
        </w:rPr>
        <w:t>President – GAMCO Asset Management Inc.</w:t>
      </w:r>
    </w:p>
    <w:p>
      <w:pPr>
        <w:pStyle w:val="TextBody"/>
        <w:spacing w:before="0" w:after="0"/>
        <w:ind w:left="3600" w:right="0" w:hanging="0"/>
        <w:jc w:val="both"/>
        <w:rPr>
          <w:rFonts w:ascii="Times New Roman" w:hAnsi="Times New Roman"/>
          <w:sz w:val="20"/>
        </w:rPr>
      </w:pPr>
      <w:bookmarkStart w:id="171" w:name="TAB135"/>
      <w:bookmarkEnd w:id="171"/>
      <w:r>
        <w:rPr>
          <w:rFonts w:ascii="Times New Roman" w:hAnsi="Times New Roman"/>
          <w:sz w:val="20"/>
        </w:rPr>
        <w:t>President &amp; Chief Operating Officer – GAMCO Investors,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 w:name="PGBRK7"/>
      <w:bookmarkStart w:id="173" w:name="PGBRK7"/>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FTR7"/>
      <w:bookmarkStart w:id="175" w:name="FTR7"/>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76" w:name="GLFTR7"/>
      <w:bookmarkEnd w:id="17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7" w:name="PN7"/>
      <w:bookmarkEnd w:id="177"/>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HDR7"/>
      <w:bookmarkStart w:id="179" w:name="HDR7"/>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80" w:name="GLHDR7"/>
      <w:bookmarkEnd w:id="18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smallCaps/>
        </w:rPr>
      </w:pPr>
      <w:r>
        <w:rPr>
          <w:smallCaps/>
        </w:rPr>
        <w:t>      </w:t>
      </w:r>
      <w:r>
        <w:rPr>
          <w:rFonts w:ascii="Times New Roman" w:hAnsi="Times New Roman"/>
          <w:smallCaps/>
          <w:sz w:val="20"/>
        </w:rPr>
        <w:t>Schedule I</w:t>
      </w:r>
    </w:p>
    <w:p>
      <w:pPr>
        <w:pStyle w:val="TextBody"/>
        <w:spacing w:before="0" w:after="0"/>
        <w:ind w:left="2880" w:right="0" w:hanging="0"/>
        <w:jc w:val="left"/>
        <w:rPr/>
      </w:pPr>
      <w:r>
        <w:rPr/>
        <w:t>                                                                   </w:t>
      </w:r>
      <w:r>
        <w:rPr>
          <w:rFonts w:ascii="Times New Roman" w:hAnsi="Times New Roman"/>
          <w:sz w:val="20"/>
        </w:rPr>
        <w:t>Information with Respect to Executive</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Officers and Directors of the Undersigned</w:t>
      </w:r>
    </w:p>
    <w:p>
      <w:pPr>
        <w:pStyle w:val="TextBody"/>
        <w:spacing w:before="0" w:after="0"/>
        <w:ind w:left="0" w:right="0" w:hanging="0"/>
        <w:jc w:val="center"/>
        <w:rPr>
          <w:rFonts w:ascii="Times New Roman" w:hAnsi="Times New Roman"/>
          <w:sz w:val="20"/>
        </w:rPr>
      </w:pPr>
      <w:r>
        <w:rPr>
          <w:rFonts w:ascii="Times New Roman" w:hAnsi="Times New Roman"/>
          <w:sz w:val="20"/>
        </w:rPr>
        <w:t>Schedule I to Schedule 13D is amended, in pertinent part,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Securities, Inc., Gabelli &amp; Company, Inc., Teton Advisors,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1" w:name="PGBRK8"/>
      <w:bookmarkStart w:id="182" w:name="PGBRK8"/>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FTR8"/>
      <w:bookmarkStart w:id="184" w:name="FTR8"/>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5" w:name="GLFTR8"/>
      <w:bookmarkEnd w:id="18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6" w:name="PN8"/>
      <w:bookmarkEnd w:id="186"/>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HDR8"/>
      <w:bookmarkStart w:id="188" w:name="HDR8"/>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9" w:name="GLHDR8"/>
      <w:bookmarkEnd w:id="18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959"/>
        <w:gridCol w:w="2755"/>
        <w:gridCol w:w="4491"/>
      </w:tblGrid>
      <w:tr>
        <w:trPr/>
        <w:tc>
          <w:tcPr>
            <w:tcW w:w="5714" w:type="dxa"/>
            <w:gridSpan w:val="2"/>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GGCP,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tc>
        <w:tc>
          <w:tcPr>
            <w:tcW w:w="4491" w:type="dxa"/>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0" w:name="TAB136"/>
            <w:bookmarkEnd w:id="190"/>
            <w:r>
              <w:rPr>
                <w:rFonts w:ascii="Times New Roman" w:hAnsi="Times New Roman"/>
                <w:sz w:val="20"/>
              </w:rPr>
              <w:t>Vincent J. Amabile</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Mario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Business Consultant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of GGCP, Inc., and Chairman &amp; Chief Executive Officer of GAMCO Investors, Inc.; Director/Trustee of all registered investment companies advised by Gabelli Funds, LLC; Chairman of LICT Corporation.</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1" w:name="TAB137"/>
            <w:bookmarkEnd w:id="191"/>
            <w:r>
              <w:rPr>
                <w:rFonts w:ascii="Times New Roman" w:hAnsi="Times New Roman"/>
                <w:sz w:val="20"/>
              </w:rPr>
              <w:t>Marc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LGL Group, Inc.</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2" w:name="TAB138"/>
            <w:bookmarkEnd w:id="192"/>
            <w:r>
              <w:rPr>
                <w:rFonts w:ascii="Times New Roman" w:hAnsi="Times New Roman"/>
                <w:sz w:val="20"/>
              </w:rPr>
              <w:t>Matthew R.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 Trading</w:t>
            </w:r>
          </w:p>
          <w:p>
            <w:pPr>
              <w:pStyle w:val="TableContents"/>
              <w:spacing w:before="0" w:after="0"/>
              <w:ind w:left="0" w:right="0" w:hanging="0"/>
              <w:jc w:val="left"/>
              <w:rPr>
                <w:rFonts w:ascii="Times New Roman" w:hAnsi="Times New Roman"/>
                <w:sz w:val="20"/>
              </w:rPr>
            </w:pPr>
            <w:r>
              <w:rPr>
                <w:rFonts w:ascii="Times New Roman" w:hAnsi="Times New Roman"/>
                <w:sz w:val="20"/>
              </w:rPr>
              <w:t>Gabelli &amp; Company, Inc.</w:t>
            </w:r>
          </w:p>
          <w:p>
            <w:pPr>
              <w:pStyle w:val="TableContents"/>
              <w:spacing w:before="0" w:after="0"/>
              <w:ind w:left="0" w:right="0" w:hanging="0"/>
              <w:jc w:val="left"/>
              <w:rPr>
                <w:rFonts w:ascii="Times New Roman" w:hAnsi="Times New Roman"/>
                <w:sz w:val="20"/>
              </w:rPr>
            </w:pPr>
            <w:r>
              <w:rPr>
                <w:rFonts w:ascii="Times New Roman" w:hAnsi="Times New Roman"/>
                <w:sz w:val="20"/>
              </w:rPr>
              <w:t>One Corporate Center</w:t>
            </w:r>
          </w:p>
          <w:p>
            <w:pPr>
              <w:pStyle w:val="TableContents"/>
              <w:spacing w:before="0" w:after="0"/>
              <w:ind w:left="0" w:right="0" w:hanging="0"/>
              <w:jc w:val="left"/>
              <w:rPr>
                <w:rFonts w:ascii="Times New Roman" w:hAnsi="Times New Roman"/>
                <w:sz w:val="20"/>
              </w:rPr>
            </w:pPr>
            <w:r>
              <w:rPr>
                <w:rFonts w:ascii="Times New Roman" w:hAnsi="Times New Roman"/>
                <w:sz w:val="20"/>
              </w:rPr>
              <w:t>Rye, New York 10580</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3" w:name="TAB139"/>
            <w:bookmarkEnd w:id="193"/>
            <w:r>
              <w:rPr>
                <w:rFonts w:ascii="Times New Roman" w:hAnsi="Times New Roman"/>
                <w:sz w:val="20"/>
              </w:rPr>
              <w:t>Charles C. Baum</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Douglas R. Jamieson</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Secretary &amp; Treasurer</w:t>
            </w:r>
          </w:p>
          <w:p>
            <w:pPr>
              <w:pStyle w:val="TableContents"/>
              <w:spacing w:before="0" w:after="0"/>
              <w:ind w:left="0" w:right="0" w:hanging="0"/>
              <w:jc w:val="left"/>
              <w:rPr>
                <w:rFonts w:ascii="Times New Roman" w:hAnsi="Times New Roman"/>
                <w:sz w:val="20"/>
              </w:rPr>
            </w:pPr>
            <w:r>
              <w:rPr>
                <w:rFonts w:ascii="Times New Roman" w:hAnsi="Times New Roman"/>
                <w:sz w:val="20"/>
              </w:rPr>
              <w:t>United Holdings Co., Inc.</w:t>
            </w:r>
          </w:p>
          <w:p>
            <w:pPr>
              <w:pStyle w:val="TableContents"/>
              <w:spacing w:before="0" w:after="0"/>
              <w:ind w:left="0" w:right="0" w:hanging="0"/>
              <w:jc w:val="left"/>
              <w:rPr>
                <w:rFonts w:ascii="Times New Roman" w:hAnsi="Times New Roman"/>
                <w:sz w:val="20"/>
              </w:rPr>
            </w:pPr>
            <w:r>
              <w:rPr>
                <w:rFonts w:ascii="Times New Roman" w:hAnsi="Times New Roman"/>
                <w:sz w:val="20"/>
              </w:rPr>
              <w:t>2545 Wilkens Avenue</w:t>
            </w:r>
          </w:p>
          <w:p>
            <w:pPr>
              <w:pStyle w:val="TableContents"/>
              <w:spacing w:before="0" w:after="0"/>
              <w:ind w:left="0" w:right="0" w:hanging="0"/>
              <w:jc w:val="left"/>
              <w:rPr>
                <w:rFonts w:ascii="Times New Roman" w:hAnsi="Times New Roman"/>
                <w:sz w:val="20"/>
              </w:rPr>
            </w:pPr>
            <w:r>
              <w:rPr>
                <w:rFonts w:ascii="Times New Roman" w:hAnsi="Times New Roman"/>
                <w:sz w:val="20"/>
              </w:rPr>
              <w:t>Baltimore, MD   21223</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See below</w:t>
            </w:r>
          </w:p>
        </w:tc>
      </w:tr>
      <w:tr>
        <w:trPr/>
        <w:tc>
          <w:tcPr>
            <w:tcW w:w="2959" w:type="dxa"/>
            <w:tcBorders/>
            <w:shd w:fill="auto" w:val="clear"/>
            <w:tcMar>
              <w:bottom w:w="0" w:type="dxa"/>
            </w:tcMar>
          </w:tcPr>
          <w:p>
            <w:pPr>
              <w:pStyle w:val="TableContents"/>
              <w:spacing w:before="0" w:after="0"/>
              <w:ind w:left="0" w:right="0" w:firstLine="720"/>
              <w:jc w:val="left"/>
              <w:rPr>
                <w:rFonts w:ascii="Times New Roman" w:hAnsi="Times New Roman"/>
                <w:sz w:val="20"/>
              </w:rPr>
            </w:pPr>
            <w:r>
              <w:rPr>
                <w:rFonts w:ascii="Times New Roman" w:hAnsi="Times New Roman"/>
                <w:sz w:val="20"/>
              </w:rPr>
              <w:t>Joseph R. Rindler, Jr.</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Account Executive for GAMCO Asset Management Inc.</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Fredric V. Salerno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Former Vice Chairman and Chief Financial Officer</w:t>
            </w:r>
          </w:p>
          <w:p>
            <w:pPr>
              <w:pStyle w:val="TableContents"/>
              <w:spacing w:before="0" w:after="0"/>
              <w:ind w:left="0" w:right="0" w:hanging="0"/>
              <w:jc w:val="left"/>
              <w:rPr>
                <w:rFonts w:ascii="Times New Roman" w:hAnsi="Times New Roman"/>
                <w:sz w:val="20"/>
              </w:rPr>
            </w:pPr>
            <w:r>
              <w:rPr>
                <w:rFonts w:ascii="Times New Roman" w:hAnsi="Times New Roman"/>
                <w:sz w:val="20"/>
              </w:rPr>
              <w:t>Verizon Communications</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firstLine="720"/>
              <w:jc w:val="left"/>
              <w:rPr>
                <w:rFonts w:ascii="Times New Roman" w:hAnsi="Times New Roman"/>
                <w:sz w:val="20"/>
              </w:rPr>
            </w:pPr>
            <w:r>
              <w:rPr>
                <w:rFonts w:ascii="Times New Roman" w:hAnsi="Times New Roman"/>
                <w:sz w:val="20"/>
              </w:rPr>
              <w:t>Vincent Capurso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Taxes, Barnes &amp; Noble, Inc.</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Vincent S. Tese</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Former Director GAMCO Investors, Inc.</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Michael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4" w:name="TAB140"/>
            <w:bookmarkEnd w:id="194"/>
            <w:r>
              <w:rPr>
                <w:rFonts w:ascii="Times New Roman" w:hAnsi="Times New Roman"/>
                <w:sz w:val="20"/>
              </w:rPr>
              <w:t>Mario J. Gabelli</w:t>
            </w:r>
          </w:p>
        </w:tc>
        <w:tc>
          <w:tcPr>
            <w:tcW w:w="7246" w:type="dxa"/>
            <w:gridSpan w:val="2"/>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Chief Executive Officer and Chief Investment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5" w:name="TAB141"/>
            <w:bookmarkEnd w:id="195"/>
            <w:r>
              <w:rPr>
                <w:rFonts w:ascii="Times New Roman" w:hAnsi="Times New Roman"/>
                <w:sz w:val="20"/>
              </w:rPr>
              <w:t>Michael G. Chieco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 Secretary</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GAMCO Investors,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Edwin L. Artzt</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Raymond C. Avansino</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Richard L. Bready</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Former Chairman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Procter &amp; Gamble Company</w:t>
            </w:r>
          </w:p>
          <w:p>
            <w:pPr>
              <w:pStyle w:val="TableContents"/>
              <w:spacing w:before="0" w:after="0"/>
              <w:ind w:left="0" w:right="0" w:hanging="0"/>
              <w:jc w:val="left"/>
              <w:rPr>
                <w:rFonts w:ascii="Times New Roman" w:hAnsi="Times New Roman"/>
                <w:sz w:val="20"/>
              </w:rPr>
            </w:pPr>
            <w:r>
              <w:rPr>
                <w:rFonts w:ascii="Times New Roman" w:hAnsi="Times New Roman"/>
                <w:sz w:val="20"/>
              </w:rPr>
              <w:t>900 Adams Crossing</w:t>
            </w:r>
          </w:p>
          <w:p>
            <w:pPr>
              <w:pStyle w:val="TableContents"/>
              <w:spacing w:before="0" w:after="0"/>
              <w:ind w:left="0" w:right="0" w:hanging="0"/>
              <w:jc w:val="left"/>
              <w:rPr>
                <w:rFonts w:ascii="Times New Roman" w:hAnsi="Times New Roman"/>
                <w:sz w:val="20"/>
              </w:rPr>
            </w:pPr>
            <w:r>
              <w:rPr>
                <w:rFonts w:ascii="Times New Roman" w:hAnsi="Times New Roman"/>
                <w:sz w:val="20"/>
              </w:rPr>
              <w:t>Cincinnati, OH 45202</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Chairman &amp;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E.L. Wiegand Foundation</w:t>
            </w:r>
          </w:p>
          <w:p>
            <w:pPr>
              <w:pStyle w:val="TableContents"/>
              <w:spacing w:before="0" w:after="0"/>
              <w:ind w:left="0" w:right="0" w:hanging="0"/>
              <w:jc w:val="left"/>
              <w:rPr>
                <w:rFonts w:ascii="Times New Roman" w:hAnsi="Times New Roman"/>
                <w:sz w:val="20"/>
              </w:rPr>
            </w:pPr>
            <w:r>
              <w:rPr>
                <w:rFonts w:ascii="Times New Roman" w:hAnsi="Times New Roman"/>
                <w:sz w:val="20"/>
              </w:rPr>
              <w:t>Reno, NV 89501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Chairman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Nortek, Inc.</w:t>
            </w:r>
          </w:p>
          <w:p>
            <w:pPr>
              <w:pStyle w:val="TableContents"/>
              <w:spacing w:before="0" w:after="0"/>
              <w:ind w:left="0" w:right="0" w:hanging="0"/>
              <w:jc w:val="left"/>
              <w:rPr>
                <w:rFonts w:ascii="Times New Roman" w:hAnsi="Times New Roman"/>
                <w:sz w:val="20"/>
              </w:rPr>
            </w:pPr>
            <w:r>
              <w:rPr>
                <w:rFonts w:ascii="Times New Roman" w:hAnsi="Times New Roman"/>
                <w:sz w:val="20"/>
              </w:rPr>
              <w:t>50 Kennedy Plaza</w:t>
            </w:r>
          </w:p>
          <w:p>
            <w:pPr>
              <w:pStyle w:val="TableContents"/>
              <w:spacing w:before="0" w:after="0"/>
              <w:ind w:left="0" w:right="0" w:hanging="0"/>
              <w:jc w:val="left"/>
              <w:rPr>
                <w:rFonts w:ascii="Times New Roman" w:hAnsi="Times New Roman"/>
                <w:sz w:val="20"/>
              </w:rPr>
            </w:pPr>
            <w:r>
              <w:rPr>
                <w:rFonts w:ascii="Times New Roman" w:hAnsi="Times New Roman"/>
                <w:sz w:val="20"/>
              </w:rPr>
              <w:t>Providence, RI 02903</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6" w:name="TAB142"/>
            <w:bookmarkEnd w:id="196"/>
            <w:r>
              <w:rPr>
                <w:rFonts w:ascii="Times New Roman" w:hAnsi="Times New Roman"/>
                <w:sz w:val="20"/>
              </w:rPr>
              <w:t>Mario J. Gabelli</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John D. Gabelli</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Senior Vice President</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Eugene R. McGrath</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Former Chairman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Consolidated Edison, Inc.</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Robert S. Prather</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&amp; Chief Operating Officer</w:t>
            </w:r>
          </w:p>
          <w:p>
            <w:pPr>
              <w:pStyle w:val="TableContents"/>
              <w:spacing w:before="0" w:after="0"/>
              <w:ind w:left="0" w:right="0" w:hanging="0"/>
              <w:jc w:val="left"/>
              <w:rPr>
                <w:rFonts w:ascii="Times New Roman" w:hAnsi="Times New Roman"/>
                <w:sz w:val="20"/>
              </w:rPr>
            </w:pPr>
            <w:r>
              <w:rPr>
                <w:rFonts w:ascii="Times New Roman" w:hAnsi="Times New Roman"/>
                <w:sz w:val="20"/>
              </w:rPr>
              <w:t>Gray Television, Inc.</w:t>
            </w:r>
          </w:p>
          <w:p>
            <w:pPr>
              <w:pStyle w:val="TableContents"/>
              <w:spacing w:before="0" w:after="0"/>
              <w:ind w:left="0" w:right="0" w:hanging="0"/>
              <w:jc w:val="left"/>
              <w:rPr>
                <w:rFonts w:ascii="Times New Roman" w:hAnsi="Times New Roman"/>
                <w:sz w:val="20"/>
              </w:rPr>
            </w:pPr>
            <w:r>
              <w:rPr>
                <w:rFonts w:ascii="Times New Roman" w:hAnsi="Times New Roman"/>
                <w:sz w:val="20"/>
              </w:rPr>
              <w:t>4370 Peachtree Road, NE</w:t>
            </w:r>
          </w:p>
          <w:p>
            <w:pPr>
              <w:pStyle w:val="TableContents"/>
              <w:spacing w:before="0" w:after="0"/>
              <w:ind w:left="0" w:right="0" w:hanging="0"/>
              <w:jc w:val="left"/>
              <w:rPr>
                <w:rFonts w:ascii="Times New Roman" w:hAnsi="Times New Roman"/>
                <w:sz w:val="20"/>
              </w:rPr>
            </w:pPr>
            <w:r>
              <w:rPr>
                <w:rFonts w:ascii="Times New Roman" w:hAnsi="Times New Roman"/>
                <w:sz w:val="20"/>
              </w:rPr>
              <w:t>Atlanta, GA 30319</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7" w:name="TAB143"/>
            <w:bookmarkEnd w:id="197"/>
            <w:r>
              <w:rPr>
                <w:rFonts w:ascii="Times New Roman" w:hAnsi="Times New Roman"/>
                <w:sz w:val="20"/>
              </w:rPr>
              <w:t>Mario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 and Chief Executive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firstLine="720"/>
              <w:jc w:val="left"/>
              <w:rPr>
                <w:rFonts w:ascii="Times New Roman" w:hAnsi="Times New Roman"/>
                <w:sz w:val="20"/>
              </w:rPr>
            </w:pPr>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Henry G. Van der Eb</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Jeffrey M. Farber</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Christopher Michailoff</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and Chief Operating Officer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Senior Vice 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Executive Vice President and Chief Financial Officer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Acting Secretary</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GAMCO Asset Management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198" w:name="TAB144"/>
            <w:bookmarkEnd w:id="198"/>
            <w:r>
              <w:rPr>
                <w:rFonts w:ascii="Times New Roman" w:hAnsi="Times New Roman"/>
                <w:sz w:val="20"/>
              </w:rPr>
              <w:t>Douglas R. Jamieson</w:t>
            </w:r>
          </w:p>
          <w:p>
            <w:pPr>
              <w:pStyle w:val="TableContents"/>
              <w:spacing w:before="0" w:after="0"/>
              <w:ind w:left="720" w:right="0" w:hanging="0"/>
              <w:jc w:val="left"/>
              <w:rPr>
                <w:rFonts w:ascii="Times New Roman" w:hAnsi="Times New Roman"/>
                <w:sz w:val="20"/>
              </w:rPr>
            </w:pPr>
            <w:bookmarkStart w:id="199" w:name="TAB145"/>
            <w:bookmarkEnd w:id="199"/>
            <w:r>
              <w:rPr>
                <w:rFonts w:ascii="Times New Roman" w:hAnsi="Times New Roman"/>
                <w:sz w:val="20"/>
              </w:rPr>
              <w:t>Regina M. Pitaro</w:t>
            </w:r>
          </w:p>
          <w:p>
            <w:pPr>
              <w:pStyle w:val="TableContents"/>
              <w:spacing w:before="0" w:after="0"/>
              <w:ind w:left="720" w:right="0" w:hanging="0"/>
              <w:jc w:val="left"/>
              <w:rPr>
                <w:rFonts w:ascii="Times New Roman" w:hAnsi="Times New Roman"/>
                <w:sz w:val="20"/>
              </w:rPr>
            </w:pPr>
            <w:bookmarkStart w:id="200" w:name="TAB146"/>
            <w:bookmarkEnd w:id="200"/>
            <w:r>
              <w:rPr>
                <w:rFonts w:ascii="Times New Roman" w:hAnsi="Times New Roman"/>
                <w:sz w:val="20"/>
              </w:rPr>
              <w:t>William S. Selby</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1" w:name="TAB147"/>
            <w:bookmarkEnd w:id="201"/>
            <w:r>
              <w:rPr>
                <w:rFonts w:ascii="Times New Roman" w:hAnsi="Times New Roman"/>
                <w:sz w:val="20"/>
              </w:rPr>
              <w:t>Mario J. Gabelli</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Investment Officer – Value Portfolios</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2" w:name="TAB148"/>
            <w:bookmarkEnd w:id="202"/>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John Piontkowski</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Chistopher J. Michailoff</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Operating Officer &amp; Chief Financial Officer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General Counsel and Secretary</w:t>
            </w:r>
          </w:p>
          <w:p>
            <w:pPr>
              <w:pStyle w:val="TableContents"/>
              <w:spacing w:before="0" w:after="0"/>
              <w:ind w:left="0" w:right="0" w:hanging="0"/>
              <w:jc w:val="left"/>
              <w:rPr/>
            </w:pPr>
            <w:r>
              <w:rPr/>
              <w:t>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Gabelli Funds, LLC</w:t>
            </w:r>
          </w:p>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3" w:name="TAB149"/>
            <w:bookmarkEnd w:id="203"/>
            <w:r>
              <w:rPr>
                <w:rFonts w:ascii="Times New Roman" w:hAnsi="Times New Roman"/>
                <w:sz w:val="20"/>
              </w:rPr>
              <w:t>Mario J. Gabelli</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Investment Officer – Value Portfolios</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4" w:name="TAB150"/>
            <w:bookmarkEnd w:id="204"/>
            <w:r>
              <w:rPr>
                <w:rFonts w:ascii="Times New Roman" w:hAnsi="Times New Roman"/>
                <w:sz w:val="20"/>
              </w:rPr>
              <w:t>Bruce N. Alpert</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Executive Vice President and Chief Operating Officer</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r>
              <w:rPr>
                <w:rFonts w:ascii="Times New Roman" w:hAnsi="Times New Roman"/>
                <w:sz w:val="20"/>
              </w:rPr>
              <w:t>Agnes Mullady</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and President Closed-End Fund Division</w:t>
            </w:r>
          </w:p>
        </w:tc>
      </w:tr>
      <w:tr>
        <w:trPr/>
        <w:tc>
          <w:tcPr>
            <w:tcW w:w="2959"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Teton Advisors,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5" w:name="TAB151"/>
            <w:bookmarkEnd w:id="205"/>
            <w:r>
              <w:rPr>
                <w:rFonts w:ascii="Times New Roman" w:hAnsi="Times New Roman"/>
                <w:sz w:val="20"/>
              </w:rPr>
              <w:t>Bruce N. Alpert</w:t>
            </w:r>
          </w:p>
          <w:p>
            <w:pPr>
              <w:pStyle w:val="TableContents"/>
              <w:spacing w:before="0" w:after="0"/>
              <w:ind w:left="0" w:right="0" w:hanging="0"/>
              <w:jc w:val="left"/>
              <w:rPr/>
            </w:pPr>
            <w:r>
              <w:rPr/>
              <w:t>               </w:t>
            </w:r>
            <w:r>
              <w:rPr>
                <w:rFonts w:ascii="Times New Roman" w:hAnsi="Times New Roman"/>
                <w:sz w:val="20"/>
              </w:rPr>
              <w:t>Douglas R. Jamieson</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rFonts w:ascii="Times New Roman" w:hAnsi="Times New Roman"/>
                <w:sz w:val="20"/>
              </w:rPr>
            </w:pPr>
            <w:r>
              <w:rPr>
                <w:rFonts w:ascii="Times New Roman" w:hAnsi="Times New Roman"/>
                <w:sz w:val="20"/>
              </w:rPr>
              <w:t>See above</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6" w:name="TAB152"/>
            <w:bookmarkEnd w:id="206"/>
            <w:r>
              <w:rPr>
                <w:rFonts w:ascii="Times New Roman" w:hAnsi="Times New Roman"/>
                <w:sz w:val="20"/>
              </w:rPr>
              <w:t>Bruce N. Alpert</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Nicholas F. Galluccio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Chairman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President</w:t>
            </w:r>
          </w:p>
        </w:tc>
      </w:tr>
      <w:tr>
        <w:trPr/>
        <w:tc>
          <w:tcPr>
            <w:tcW w:w="2959" w:type="dxa"/>
            <w:tcBorders/>
            <w:shd w:fill="auto" w:val="clear"/>
            <w:tcMar>
              <w:bottom w:w="0" w:type="dxa"/>
            </w:tcMar>
          </w:tcPr>
          <w:p>
            <w:pPr>
              <w:pStyle w:val="TableContents"/>
              <w:spacing w:before="0" w:after="283"/>
              <w:rPr/>
            </w:pPr>
            <w:r>
              <w:rPr/>
              <w:t xml:space="preserve">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Gabelli Securities, Inc.</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283"/>
              <w:rPr/>
            </w:pPr>
            <w:r>
              <w:rPr/>
              <w:t xml:space="preserve">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7" w:name="TAB153"/>
            <w:bookmarkEnd w:id="207"/>
            <w:r>
              <w:rPr>
                <w:rFonts w:ascii="Times New Roman" w:hAnsi="Times New Roman"/>
                <w:sz w:val="20"/>
              </w:rPr>
              <w:t>Robert W. Blake</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of W. R. Blake &amp; Sons, Inc.</w:t>
            </w:r>
          </w:p>
          <w:p>
            <w:pPr>
              <w:pStyle w:val="TableContents"/>
              <w:spacing w:before="0" w:after="0"/>
              <w:ind w:left="0" w:right="0" w:hanging="0"/>
              <w:jc w:val="left"/>
              <w:rPr>
                <w:rFonts w:ascii="Times New Roman" w:hAnsi="Times New Roman"/>
                <w:sz w:val="20"/>
              </w:rPr>
            </w:pPr>
            <w:r>
              <w:rPr>
                <w:rFonts w:ascii="Times New Roman" w:hAnsi="Times New Roman"/>
                <w:sz w:val="20"/>
              </w:rPr>
              <w:t>196-20 Northern Boulevard</w:t>
            </w:r>
          </w:p>
          <w:p>
            <w:pPr>
              <w:pStyle w:val="TableContents"/>
              <w:spacing w:before="0" w:after="0"/>
              <w:ind w:left="0" w:right="0" w:hanging="0"/>
              <w:jc w:val="left"/>
              <w:rPr>
                <w:rFonts w:ascii="Times New Roman" w:hAnsi="Times New Roman"/>
                <w:sz w:val="20"/>
              </w:rPr>
            </w:pPr>
            <w:r>
              <w:rPr>
                <w:rFonts w:ascii="Times New Roman" w:hAnsi="Times New Roman"/>
                <w:sz w:val="20"/>
              </w:rPr>
              <w:t>Flushing, NY   11358</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720" w:right="0" w:hanging="0"/>
              <w:jc w:val="left"/>
              <w:rPr>
                <w:rFonts w:ascii="Times New Roman" w:hAnsi="Times New Roman"/>
                <w:sz w:val="20"/>
              </w:rPr>
            </w:pPr>
            <w:bookmarkStart w:id="208" w:name="TAB154"/>
            <w:bookmarkEnd w:id="208"/>
            <w:r>
              <w:rPr>
                <w:rFonts w:ascii="Times New Roman" w:hAnsi="Times New Roman"/>
                <w:sz w:val="20"/>
              </w:rPr>
              <w:t>Douglas G. DeVivo</w:t>
            </w:r>
          </w:p>
        </w:tc>
        <w:tc>
          <w:tcPr>
            <w:tcW w:w="7246" w:type="dxa"/>
            <w:gridSpan w:val="2"/>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General Partner of ALCE Partners, L.P.</w:t>
            </w:r>
          </w:p>
          <w:p>
            <w:pPr>
              <w:pStyle w:val="TableContents"/>
              <w:spacing w:before="0" w:after="0"/>
              <w:ind w:left="0" w:right="0" w:hanging="0"/>
              <w:jc w:val="left"/>
              <w:rPr>
                <w:rFonts w:ascii="Times New Roman" w:hAnsi="Times New Roman"/>
                <w:sz w:val="20"/>
              </w:rPr>
            </w:pPr>
            <w:r>
              <w:rPr>
                <w:rFonts w:ascii="Times New Roman" w:hAnsi="Times New Roman"/>
                <w:sz w:val="20"/>
              </w:rPr>
              <w:t>One First Street, Suite 16</w:t>
            </w:r>
          </w:p>
          <w:p>
            <w:pPr>
              <w:pStyle w:val="TableContents"/>
              <w:spacing w:before="0" w:after="0"/>
              <w:ind w:left="0" w:right="0" w:hanging="0"/>
              <w:jc w:val="left"/>
              <w:rPr>
                <w:rFonts w:ascii="Times New Roman" w:hAnsi="Times New Roman"/>
                <w:sz w:val="20"/>
              </w:rPr>
            </w:pPr>
            <w:r>
              <w:rPr>
                <w:rFonts w:ascii="Times New Roman" w:hAnsi="Times New Roman"/>
                <w:sz w:val="20"/>
              </w:rPr>
              <w:t>Los Altos, CA   94022</w:t>
            </w:r>
          </w:p>
          <w:p>
            <w:pPr>
              <w:pStyle w:val="TableContents"/>
              <w:spacing w:before="0" w:after="0"/>
              <w:ind w:left="0" w:right="0" w:hanging="0"/>
              <w:jc w:val="left"/>
              <w:rPr/>
            </w:pPr>
            <w:r>
              <w:rPr/>
              <w:t> </w:t>
            </w:r>
          </w:p>
        </w:tc>
      </w:tr>
      <w:tr>
        <w:trPr/>
        <w:tc>
          <w:tcPr>
            <w:tcW w:w="2959" w:type="dxa"/>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Douglas R. Jamieson</w:t>
            </w:r>
          </w:p>
          <w:p>
            <w:pPr>
              <w:pStyle w:val="TableContents"/>
              <w:spacing w:before="0" w:after="0"/>
              <w:ind w:left="0" w:right="0" w:hanging="0"/>
              <w:jc w:val="left"/>
              <w:rPr/>
            </w:pPr>
            <w:r>
              <w:rPr/>
              <w:t> </w:t>
            </w:r>
          </w:p>
        </w:tc>
        <w:tc>
          <w:tcPr>
            <w:tcW w:w="7246" w:type="dxa"/>
            <w:gridSpan w:val="2"/>
            <w:tcBorders/>
            <w:shd w:fill="auto" w:val="clear"/>
            <w:tcMar>
              <w:bottom w:w="0"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President</w:t>
            </w:r>
          </w:p>
          <w:p>
            <w:pPr>
              <w:pStyle w:val="TableContents"/>
              <w:spacing w:before="0" w:after="0"/>
              <w:ind w:left="0" w:right="0" w:hanging="0"/>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67"/>
        <w:gridCol w:w="2857"/>
        <w:gridCol w:w="3981"/>
      </w:tblGrid>
      <w:tr>
        <w:trPr/>
        <w:tc>
          <w:tcPr>
            <w:tcW w:w="33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6838" w:type="dxa"/>
            <w:gridSpan w:val="2"/>
            <w:tcBorders/>
            <w:shd w:fill="auto" w:val="clear"/>
          </w:tcPr>
          <w:p>
            <w:pPr>
              <w:pStyle w:val="TableContents"/>
              <w:spacing w:before="0" w:after="283"/>
              <w:rPr/>
            </w:pPr>
            <w:r>
              <w:rPr/>
              <w:t xml:space="preserve">  </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09" w:name="TAB155"/>
            <w:bookmarkEnd w:id="209"/>
            <w:r>
              <w:rPr>
                <w:rFonts w:ascii="Times New Roman" w:hAnsi="Times New Roman"/>
                <w:sz w:val="20"/>
              </w:rPr>
              <w:t>Douglas R. Jamieson</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Christopher J. Michailoff</w:t>
            </w:r>
          </w:p>
          <w:p>
            <w:pPr>
              <w:pStyle w:val="TableContents"/>
              <w:spacing w:before="0" w:after="0"/>
              <w:ind w:left="0" w:right="0" w:hanging="0"/>
              <w:jc w:val="left"/>
              <w:rPr/>
            </w:pPr>
            <w:r>
              <w:rPr/>
              <w:t> </w:t>
            </w:r>
          </w:p>
          <w:p>
            <w:pPr>
              <w:pStyle w:val="TableContents"/>
              <w:spacing w:before="0" w:after="0"/>
              <w:ind w:left="0" w:right="0" w:hanging="0"/>
              <w:jc w:val="left"/>
              <w:rPr/>
            </w:pPr>
            <w:r>
              <w:rPr/>
              <w:t>               </w:t>
            </w:r>
            <w:r>
              <w:rPr>
                <w:rFonts w:ascii="Times New Roman" w:hAnsi="Times New Roman"/>
                <w:sz w:val="20"/>
              </w:rPr>
              <w:t>Kieran Caterina</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Secretary</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tc>
      </w:tr>
      <w:tr>
        <w:trPr/>
        <w:tc>
          <w:tcPr>
            <w:tcW w:w="3367" w:type="dxa"/>
            <w:tcBorders>
              <w:bottom w:val="single" w:sz="12" w:space="0" w:color="000000"/>
            </w:tcBorders>
            <w:shd w:fill="auto" w:val="clear"/>
            <w:tcMar>
              <w:bottom w:w="28" w:type="dxa"/>
            </w:tcMa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Gabelli &amp; Company, Inc.</w:t>
            </w:r>
          </w:p>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6838" w:type="dxa"/>
            <w:gridSpan w:val="2"/>
            <w:tcBorders/>
            <w:shd w:fill="auto" w:val="clear"/>
          </w:tcPr>
          <w:p>
            <w:pPr>
              <w:pStyle w:val="TableContents"/>
              <w:spacing w:before="0" w:after="283"/>
              <w:rPr/>
            </w:pPr>
            <w:r>
              <w:rPr/>
              <w:t xml:space="preserve">  </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10" w:name="TAB156"/>
            <w:bookmarkEnd w:id="210"/>
            <w:r>
              <w:rPr>
                <w:rFonts w:ascii="Times New Roman" w:hAnsi="Times New Roman"/>
                <w:sz w:val="20"/>
              </w:rPr>
              <w:t>James G. Webster, III</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Chairman &amp; Interim President</w:t>
            </w:r>
          </w:p>
          <w:p>
            <w:pPr>
              <w:pStyle w:val="TableContents"/>
              <w:spacing w:before="0" w:after="0"/>
              <w:ind w:left="0" w:right="0" w:hanging="0"/>
              <w:jc w:val="left"/>
              <w:rPr/>
            </w:pPr>
            <w:r>
              <w:rPr/>
              <w:t> </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11" w:name="TAB157"/>
            <w:bookmarkEnd w:id="211"/>
            <w:r>
              <w:rPr>
                <w:rFonts w:ascii="Times New Roman" w:hAnsi="Times New Roman"/>
                <w:sz w:val="20"/>
              </w:rPr>
              <w:t>Irene Smolicz</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Senior Trader</w:t>
            </w:r>
          </w:p>
          <w:p>
            <w:pPr>
              <w:pStyle w:val="TableContents"/>
              <w:spacing w:before="0" w:after="0"/>
              <w:ind w:left="0" w:right="0" w:hanging="0"/>
              <w:jc w:val="left"/>
              <w:rPr>
                <w:rFonts w:ascii="Times New Roman" w:hAnsi="Times New Roman"/>
                <w:sz w:val="20"/>
              </w:rPr>
            </w:pPr>
            <w:r>
              <w:rPr>
                <w:rFonts w:ascii="Times New Roman" w:hAnsi="Times New Roman"/>
                <w:sz w:val="20"/>
              </w:rPr>
              <w:t>Gabelli &amp; Company, Inc.</w:t>
            </w:r>
          </w:p>
          <w:p>
            <w:pPr>
              <w:pStyle w:val="TableContents"/>
              <w:spacing w:before="0" w:after="0"/>
              <w:ind w:left="0" w:right="0" w:hanging="0"/>
              <w:jc w:val="left"/>
              <w:rPr/>
            </w:pPr>
            <w:r>
              <w:rPr/>
              <w:t> </w:t>
            </w:r>
          </w:p>
        </w:tc>
      </w:tr>
      <w:tr>
        <w:trPr/>
        <w:tc>
          <w:tcPr>
            <w:tcW w:w="3367"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Officers:</w:t>
            </w:r>
          </w:p>
        </w:tc>
        <w:tc>
          <w:tcPr>
            <w:tcW w:w="6838" w:type="dxa"/>
            <w:gridSpan w:val="2"/>
            <w:tcBorders/>
            <w:shd w:fill="auto" w:val="clear"/>
          </w:tcPr>
          <w:p>
            <w:pPr>
              <w:pStyle w:val="TableContents"/>
              <w:spacing w:before="0" w:after="283"/>
              <w:rPr/>
            </w:pPr>
            <w:r>
              <w:rPr/>
              <w:t xml:space="preserve">  </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12" w:name="TAB158"/>
            <w:bookmarkEnd w:id="212"/>
            <w:r>
              <w:rPr>
                <w:rFonts w:ascii="Times New Roman" w:hAnsi="Times New Roman"/>
                <w:sz w:val="20"/>
              </w:rPr>
              <w:t>James G. Webster, III</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Above</w:t>
            </w:r>
          </w:p>
          <w:p>
            <w:pPr>
              <w:pStyle w:val="TableContents"/>
              <w:spacing w:before="0" w:after="0"/>
              <w:ind w:left="0" w:right="0" w:hanging="0"/>
              <w:jc w:val="left"/>
              <w:rPr/>
            </w:pPr>
            <w:r>
              <w:rPr/>
              <w:t> </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13" w:name="TAB159"/>
            <w:bookmarkEnd w:id="213"/>
            <w:r>
              <w:rPr>
                <w:rFonts w:ascii="Times New Roman" w:hAnsi="Times New Roman"/>
                <w:sz w:val="20"/>
              </w:rPr>
              <w:t>Bruce N. Alpert</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 Mutual Funds</w:t>
            </w:r>
          </w:p>
          <w:p>
            <w:pPr>
              <w:pStyle w:val="TableContents"/>
              <w:spacing w:before="0" w:after="0"/>
              <w:ind w:left="0" w:right="0" w:hanging="0"/>
              <w:jc w:val="left"/>
              <w:rPr/>
            </w:pPr>
            <w:r>
              <w:rPr/>
              <w:t> </w:t>
            </w:r>
          </w:p>
        </w:tc>
      </w:tr>
      <w:tr>
        <w:trPr/>
        <w:tc>
          <w:tcPr>
            <w:tcW w:w="3367" w:type="dxa"/>
            <w:tcBorders/>
            <w:shd w:fill="auto" w:val="clear"/>
          </w:tcPr>
          <w:p>
            <w:pPr>
              <w:pStyle w:val="TableContents"/>
              <w:spacing w:before="0" w:after="283"/>
              <w:rPr/>
            </w:pPr>
            <w:r>
              <w:rPr/>
              <w:t xml:space="preserve">  </w:t>
            </w:r>
          </w:p>
        </w:tc>
        <w:tc>
          <w:tcPr>
            <w:tcW w:w="6838" w:type="dxa"/>
            <w:gridSpan w:val="2"/>
            <w:tcBorders/>
            <w:shd w:fill="auto" w:val="clear"/>
          </w:tcPr>
          <w:p>
            <w:pPr>
              <w:pStyle w:val="TableContents"/>
              <w:spacing w:before="0" w:after="283"/>
              <w:rPr/>
            </w:pPr>
            <w:r>
              <w:rPr/>
              <w:t xml:space="preserve">  </w:t>
            </w:r>
          </w:p>
        </w:tc>
      </w:tr>
      <w:tr>
        <w:trPr/>
        <w:tc>
          <w:tcPr>
            <w:tcW w:w="6224" w:type="dxa"/>
            <w:gridSpan w:val="2"/>
            <w:tcBorders>
              <w:bottom w:val="single" w:sz="12" w:space="0" w:color="000000"/>
            </w:tcBorders>
            <w:shd w:fill="auto" w:val="clear"/>
            <w:tcMar>
              <w:bottom w:w="28" w:type="dxa"/>
            </w:tcM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LICT Corporation</w:t>
            </w:r>
          </w:p>
          <w:p>
            <w:pPr>
              <w:pStyle w:val="TableContents"/>
              <w:spacing w:before="0" w:after="0"/>
              <w:ind w:left="0" w:right="0" w:hanging="0"/>
              <w:jc w:val="left"/>
              <w:rPr>
                <w:rFonts w:ascii="Times New Roman" w:hAnsi="Times New Roman"/>
                <w:sz w:val="20"/>
              </w:rPr>
            </w:pPr>
            <w:r>
              <w:rPr>
                <w:rFonts w:ascii="Times New Roman" w:hAnsi="Times New Roman"/>
                <w:sz w:val="20"/>
              </w:rPr>
              <w:t>401 Theodore Fremd Avenue Rye, NY 10580</w:t>
            </w:r>
          </w:p>
          <w:p>
            <w:pPr>
              <w:pStyle w:val="TableContents"/>
              <w:spacing w:before="0" w:after="0"/>
              <w:ind w:left="0" w:right="0" w:hanging="0"/>
              <w:jc w:val="left"/>
              <w:rPr/>
            </w:pPr>
            <w:r>
              <w:rPr/>
              <w:t> </w:t>
            </w:r>
          </w:p>
        </w:tc>
        <w:tc>
          <w:tcPr>
            <w:tcW w:w="3981" w:type="dxa"/>
            <w:tcBorders/>
            <w:shd w:fill="auto" w:val="clear"/>
          </w:tcPr>
          <w:p>
            <w:pPr>
              <w:pStyle w:val="TableContents"/>
              <w:spacing w:before="0" w:after="283"/>
              <w:rPr/>
            </w:pPr>
            <w:r>
              <w:rPr/>
              <w:t xml:space="preserve">  </w:t>
            </w:r>
          </w:p>
        </w:tc>
      </w:tr>
      <w:tr>
        <w:trPr/>
        <w:tc>
          <w:tcPr>
            <w:tcW w:w="33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Directors:</w:t>
            </w:r>
          </w:p>
          <w:p>
            <w:pPr>
              <w:pStyle w:val="TableContents"/>
              <w:spacing w:before="0" w:after="0"/>
              <w:ind w:left="0" w:right="0" w:hanging="0"/>
              <w:jc w:val="left"/>
              <w:rPr/>
            </w:pPr>
            <w:r>
              <w:rPr/>
              <w:t> </w:t>
            </w:r>
          </w:p>
        </w:tc>
        <w:tc>
          <w:tcPr>
            <w:tcW w:w="6838" w:type="dxa"/>
            <w:gridSpan w:val="2"/>
            <w:tcBorders/>
            <w:shd w:fill="auto" w:val="clear"/>
          </w:tcPr>
          <w:p>
            <w:pPr>
              <w:pStyle w:val="TableContents"/>
              <w:spacing w:before="0" w:after="283"/>
              <w:rPr/>
            </w:pPr>
            <w:r>
              <w:rPr/>
              <w:t xml:space="preserve">  </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14" w:name="TAB160"/>
            <w:bookmarkEnd w:id="214"/>
            <w:r>
              <w:rPr>
                <w:rFonts w:ascii="Times New Roman" w:hAnsi="Times New Roman"/>
                <w:sz w:val="20"/>
              </w:rPr>
              <w:t>Mario J. Gabelli</w:t>
            </w:r>
          </w:p>
          <w:p>
            <w:pPr>
              <w:pStyle w:val="TableContents"/>
              <w:spacing w:before="0" w:after="0"/>
              <w:ind w:left="0" w:right="0" w:hanging="0"/>
              <w:jc w:val="left"/>
              <w:rPr/>
            </w:pPr>
            <w:r>
              <w:rPr/>
              <w:t> </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above - GGCP, Inc.</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3367" w:type="dxa"/>
            <w:tcBorders/>
            <w:shd w:fill="auto" w:val="clear"/>
          </w:tcPr>
          <w:p>
            <w:pPr>
              <w:pStyle w:val="TableContents"/>
              <w:spacing w:before="0" w:after="0"/>
              <w:ind w:left="0" w:right="0" w:firstLine="720"/>
              <w:jc w:val="left"/>
              <w:rPr>
                <w:rFonts w:ascii="Times New Roman" w:hAnsi="Times New Roman"/>
                <w:sz w:val="20"/>
              </w:rPr>
            </w:pPr>
            <w:r>
              <w:rPr>
                <w:rFonts w:ascii="Times New Roman" w:hAnsi="Times New Roman"/>
                <w:sz w:val="20"/>
              </w:rPr>
              <w:t>Glenn J. Angiolillo</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P.O. Box 128</w:t>
            </w:r>
          </w:p>
          <w:p>
            <w:pPr>
              <w:pStyle w:val="TableContents"/>
              <w:spacing w:before="0" w:after="0"/>
              <w:ind w:left="0" w:right="0" w:hanging="0"/>
              <w:jc w:val="left"/>
              <w:rPr>
                <w:rFonts w:ascii="Times New Roman" w:hAnsi="Times New Roman"/>
                <w:sz w:val="20"/>
              </w:rPr>
            </w:pPr>
            <w:r>
              <w:rPr>
                <w:rFonts w:ascii="Times New Roman" w:hAnsi="Times New Roman"/>
                <w:sz w:val="20"/>
              </w:rPr>
              <w:t>New Canaan, CT 06840</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3367" w:type="dxa"/>
            <w:tcBorders/>
            <w:shd w:fill="auto" w:val="clear"/>
          </w:tcPr>
          <w:p>
            <w:pPr>
              <w:pStyle w:val="TableContents"/>
              <w:spacing w:before="0" w:after="0"/>
              <w:ind w:left="0" w:right="0" w:hanging="0"/>
              <w:jc w:val="left"/>
              <w:rPr/>
            </w:pPr>
            <w:r>
              <w:rPr/>
              <w:t>              </w:t>
            </w:r>
            <w:r>
              <w:rPr>
                <w:rFonts w:ascii="Times New Roman" w:hAnsi="Times New Roman"/>
                <w:sz w:val="20"/>
              </w:rPr>
              <w:t>Alfred W. Fiore</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Ross Companies</w:t>
            </w:r>
          </w:p>
          <w:p>
            <w:pPr>
              <w:pStyle w:val="TableContents"/>
              <w:spacing w:before="0" w:after="0"/>
              <w:ind w:left="0" w:right="0" w:hanging="0"/>
              <w:jc w:val="left"/>
              <w:rPr>
                <w:rFonts w:ascii="Times New Roman" w:hAnsi="Times New Roman"/>
                <w:sz w:val="20"/>
              </w:rPr>
            </w:pPr>
            <w:r>
              <w:rPr>
                <w:rFonts w:ascii="Times New Roman" w:hAnsi="Times New Roman"/>
                <w:sz w:val="20"/>
              </w:rPr>
              <w:t>1270 Avenue of the Americas</w:t>
            </w:r>
          </w:p>
          <w:p>
            <w:pPr>
              <w:pStyle w:val="TableContents"/>
              <w:spacing w:before="0" w:after="0"/>
              <w:ind w:left="0" w:right="0" w:hanging="0"/>
              <w:jc w:val="left"/>
              <w:rPr>
                <w:rFonts w:ascii="Times New Roman" w:hAnsi="Times New Roman"/>
                <w:sz w:val="20"/>
              </w:rPr>
            </w:pPr>
            <w:r>
              <w:rPr>
                <w:rFonts w:ascii="Times New Roman" w:hAnsi="Times New Roman"/>
                <w:sz w:val="20"/>
              </w:rPr>
              <w:t>New York, NY 10020-1703</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15" w:name="TAB161"/>
            <w:bookmarkEnd w:id="215"/>
            <w:r>
              <w:rPr>
                <w:rFonts w:ascii="Times New Roman" w:hAnsi="Times New Roman"/>
                <w:sz w:val="20"/>
              </w:rPr>
              <w:t>Salvatore Muoio</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Principal</w:t>
            </w:r>
          </w:p>
          <w:p>
            <w:pPr>
              <w:pStyle w:val="TableContents"/>
              <w:spacing w:before="0" w:after="0"/>
              <w:ind w:left="0" w:right="0" w:hanging="0"/>
              <w:jc w:val="left"/>
              <w:rPr>
                <w:rFonts w:ascii="Times New Roman" w:hAnsi="Times New Roman"/>
                <w:sz w:val="20"/>
              </w:rPr>
            </w:pPr>
            <w:r>
              <w:rPr>
                <w:rFonts w:ascii="Times New Roman" w:hAnsi="Times New Roman"/>
                <w:sz w:val="20"/>
              </w:rPr>
              <w:t>S. Muoio &amp; Co., LLC</w:t>
            </w:r>
          </w:p>
          <w:p>
            <w:pPr>
              <w:pStyle w:val="TableContents"/>
              <w:spacing w:before="0" w:after="0"/>
              <w:ind w:left="0" w:right="0" w:hanging="0"/>
              <w:jc w:val="left"/>
              <w:rPr>
                <w:rFonts w:ascii="Times New Roman" w:hAnsi="Times New Roman"/>
                <w:sz w:val="20"/>
              </w:rPr>
            </w:pPr>
            <w:r>
              <w:rPr>
                <w:rFonts w:ascii="Times New Roman" w:hAnsi="Times New Roman"/>
                <w:sz w:val="20"/>
              </w:rPr>
              <w:t>Suite 406</w:t>
            </w:r>
          </w:p>
          <w:p>
            <w:pPr>
              <w:pStyle w:val="TableContents"/>
              <w:spacing w:before="0" w:after="0"/>
              <w:ind w:left="0" w:right="0" w:hanging="0"/>
              <w:jc w:val="left"/>
              <w:rPr>
                <w:rFonts w:ascii="Times New Roman" w:hAnsi="Times New Roman"/>
                <w:sz w:val="20"/>
              </w:rPr>
            </w:pPr>
            <w:r>
              <w:rPr>
                <w:rFonts w:ascii="Times New Roman" w:hAnsi="Times New Roman"/>
                <w:sz w:val="20"/>
              </w:rPr>
              <w:t>509 Madison Ave.</w:t>
            </w:r>
          </w:p>
          <w:p>
            <w:pPr>
              <w:pStyle w:val="TableContents"/>
              <w:spacing w:before="0" w:after="0"/>
              <w:ind w:left="0" w:right="0" w:hanging="0"/>
              <w:jc w:val="left"/>
              <w:rPr>
                <w:rFonts w:ascii="Times New Roman" w:hAnsi="Times New Roman"/>
                <w:sz w:val="20"/>
              </w:rPr>
            </w:pPr>
            <w:r>
              <w:rPr>
                <w:rFonts w:ascii="Times New Roman" w:hAnsi="Times New Roman"/>
                <w:sz w:val="20"/>
              </w:rPr>
              <w:t>New York, NY 10022</w:t>
            </w:r>
          </w:p>
          <w:p>
            <w:pPr>
              <w:pStyle w:val="TableContents"/>
              <w:spacing w:before="0" w:after="0"/>
              <w:ind w:left="0" w:right="0" w:hanging="0"/>
              <w:jc w:val="left"/>
              <w:rPr/>
            </w:pPr>
            <w:r>
              <w:rPr/>
              <w:t> </w:t>
            </w:r>
          </w:p>
        </w:tc>
      </w:tr>
      <w:tr>
        <w:trPr/>
        <w:tc>
          <w:tcPr>
            <w:tcW w:w="3367" w:type="dxa"/>
            <w:tcBorders/>
            <w:shd w:fill="auto" w:val="clear"/>
          </w:tcPr>
          <w:p>
            <w:pPr>
              <w:pStyle w:val="TableContents"/>
              <w:spacing w:before="0" w:after="0"/>
              <w:ind w:left="0" w:right="0" w:hanging="0"/>
              <w:jc w:val="left"/>
              <w:rPr/>
            </w:pPr>
            <w:r>
              <w:rPr/>
              <w:t> </w:t>
            </w:r>
          </w:p>
          <w:p>
            <w:pPr>
              <w:pStyle w:val="TableContents"/>
              <w:spacing w:before="0" w:after="0"/>
              <w:ind w:left="0" w:right="0" w:firstLine="720"/>
              <w:jc w:val="left"/>
              <w:rPr>
                <w:rFonts w:ascii="Times New Roman" w:hAnsi="Times New Roman"/>
                <w:sz w:val="20"/>
              </w:rPr>
            </w:pPr>
            <w:r>
              <w:rPr>
                <w:rFonts w:ascii="Times New Roman" w:hAnsi="Times New Roman"/>
                <w:sz w:val="20"/>
              </w:rPr>
              <w:t>Gary L. Sugarman</w:t>
            </w:r>
          </w:p>
        </w:tc>
        <w:tc>
          <w:tcPr>
            <w:tcW w:w="6838" w:type="dxa"/>
            <w:gridSpan w:val="2"/>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Richfield Associates</w:t>
            </w:r>
          </w:p>
          <w:p>
            <w:pPr>
              <w:pStyle w:val="TableContents"/>
              <w:spacing w:before="0" w:after="0"/>
              <w:ind w:left="0" w:right="0" w:hanging="0"/>
              <w:jc w:val="left"/>
              <w:rPr>
                <w:rFonts w:ascii="Times New Roman" w:hAnsi="Times New Roman"/>
                <w:sz w:val="20"/>
              </w:rPr>
            </w:pPr>
            <w:r>
              <w:rPr>
                <w:rFonts w:ascii="Times New Roman" w:hAnsi="Times New Roman"/>
                <w:sz w:val="20"/>
              </w:rPr>
              <w:t>400 Andrews Street</w:t>
            </w:r>
          </w:p>
          <w:p>
            <w:pPr>
              <w:pStyle w:val="TableContents"/>
              <w:spacing w:before="0" w:after="0"/>
              <w:ind w:left="0" w:right="0" w:hanging="0"/>
              <w:jc w:val="left"/>
              <w:rPr>
                <w:rFonts w:ascii="Times New Roman" w:hAnsi="Times New Roman"/>
                <w:sz w:val="20"/>
              </w:rPr>
            </w:pPr>
            <w:r>
              <w:rPr>
                <w:rFonts w:ascii="Times New Roman" w:hAnsi="Times New Roman"/>
                <w:sz w:val="20"/>
              </w:rPr>
              <w:t>Rochester, NY 14604</w:t>
            </w:r>
          </w:p>
        </w:tc>
      </w:tr>
      <w:tr>
        <w:trPr/>
        <w:tc>
          <w:tcPr>
            <w:tcW w:w="33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Officers:</w:t>
            </w:r>
          </w:p>
          <w:p>
            <w:pPr>
              <w:pStyle w:val="TableContents"/>
              <w:spacing w:before="0" w:after="0"/>
              <w:ind w:left="0" w:right="0" w:hanging="0"/>
              <w:jc w:val="left"/>
              <w:rPr/>
            </w:pPr>
            <w:r>
              <w:rPr/>
              <w:t> </w:t>
            </w:r>
          </w:p>
        </w:tc>
        <w:tc>
          <w:tcPr>
            <w:tcW w:w="6838" w:type="dxa"/>
            <w:gridSpan w:val="2"/>
            <w:tcBorders/>
            <w:shd w:fill="auto" w:val="clear"/>
          </w:tcPr>
          <w:p>
            <w:pPr>
              <w:pStyle w:val="TableContents"/>
              <w:spacing w:before="0" w:after="283"/>
              <w:rPr/>
            </w:pPr>
            <w:r>
              <w:rPr/>
              <w:t xml:space="preserve">  </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16" w:name="TAB162"/>
            <w:bookmarkEnd w:id="216"/>
            <w:r>
              <w:rPr>
                <w:rFonts w:ascii="Times New Roman" w:hAnsi="Times New Roman"/>
                <w:sz w:val="20"/>
              </w:rPr>
              <w:t>Mario J. Gabelli</w:t>
            </w:r>
          </w:p>
          <w:p>
            <w:pPr>
              <w:pStyle w:val="TableContents"/>
              <w:spacing w:before="0" w:after="0"/>
              <w:ind w:left="0" w:right="0" w:hanging="0"/>
              <w:jc w:val="left"/>
              <w:rPr/>
            </w:pPr>
            <w:r>
              <w:rPr/>
              <w:t> </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Chairman</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17" w:name="TAB163"/>
            <w:bookmarkEnd w:id="217"/>
            <w:r>
              <w:rPr>
                <w:rFonts w:ascii="Times New Roman" w:hAnsi="Times New Roman"/>
                <w:sz w:val="20"/>
              </w:rPr>
              <w:t>Robert E. Dolan</w:t>
            </w:r>
          </w:p>
          <w:p>
            <w:pPr>
              <w:pStyle w:val="TableContents"/>
              <w:spacing w:before="0" w:after="0"/>
              <w:ind w:left="0" w:right="0" w:hanging="0"/>
              <w:jc w:val="left"/>
              <w:rPr/>
            </w:pPr>
            <w:r>
              <w:rPr/>
              <w:t> </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Interim President and Chief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spacing w:before="0" w:after="0"/>
              <w:ind w:left="0" w:right="0" w:hanging="0"/>
              <w:jc w:val="left"/>
              <w:rPr/>
            </w:pPr>
            <w:r>
              <w:rPr/>
              <w:t> </w:t>
            </w:r>
          </w:p>
        </w:tc>
      </w:tr>
      <w:tr>
        <w:trPr/>
        <w:tc>
          <w:tcPr>
            <w:tcW w:w="3367" w:type="dxa"/>
            <w:tcBorders/>
            <w:shd w:fill="auto" w:val="clear"/>
          </w:tcPr>
          <w:p>
            <w:pPr>
              <w:pStyle w:val="TableContents"/>
              <w:spacing w:before="0" w:after="0"/>
              <w:ind w:left="720" w:right="0" w:hanging="0"/>
              <w:jc w:val="left"/>
              <w:rPr>
                <w:rFonts w:ascii="Times New Roman" w:hAnsi="Times New Roman"/>
                <w:sz w:val="20"/>
              </w:rPr>
            </w:pPr>
            <w:bookmarkStart w:id="218" w:name="TAB164"/>
            <w:bookmarkEnd w:id="218"/>
            <w:r>
              <w:rPr>
                <w:rFonts w:ascii="Times New Roman" w:hAnsi="Times New Roman"/>
                <w:sz w:val="20"/>
              </w:rPr>
              <w:t>Thomas J. Hearity</w:t>
            </w:r>
          </w:p>
          <w:p>
            <w:pPr>
              <w:pStyle w:val="TableContents"/>
              <w:spacing w:before="0" w:after="0"/>
              <w:ind w:left="0" w:right="0" w:hanging="0"/>
              <w:jc w:val="left"/>
              <w:rPr/>
            </w:pPr>
            <w:r>
              <w:rPr/>
              <w:t> </w:t>
            </w:r>
          </w:p>
        </w:tc>
        <w:tc>
          <w:tcPr>
            <w:tcW w:w="68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General Counsel</w:t>
            </w:r>
          </w:p>
          <w:p>
            <w:pPr>
              <w:pStyle w:val="TableContents"/>
              <w:spacing w:before="0" w:after="0"/>
              <w:ind w:left="0" w:right="0" w:hanging="0"/>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b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 w:name="PGBRK9"/>
      <w:bookmarkStart w:id="220" w:name="PGBRK9"/>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FTR9"/>
      <w:bookmarkStart w:id="222" w:name="FTR9"/>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23" w:name="GLFTR9"/>
      <w:bookmarkEnd w:id="22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4" w:name="PN9"/>
      <w:bookmarkEnd w:id="224"/>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HDR9"/>
      <w:bookmarkStart w:id="226" w:name="HDR9"/>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27" w:name="GLHDR9"/>
      <w:bookmarkEnd w:id="22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133"/>
        <w:gridCol w:w="1134"/>
        <w:gridCol w:w="1134"/>
        <w:gridCol w:w="1134"/>
        <w:gridCol w:w="1134"/>
        <w:gridCol w:w="1134"/>
        <w:gridCol w:w="1134"/>
        <w:gridCol w:w="1134"/>
        <w:gridCol w:w="1134"/>
      </w:tblGrid>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SCHEDULE II</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INFORMATION WITH RESPECT TO</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TRANSACTIONS EFFECTED DURING THE PAST SIXTY DAYS OR</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SINCE THE MOST RECENT FILING ON SCHEDULE 13D (1)</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SHARES PURCHASED        AVERAGE</w:t>
            </w:r>
          </w:p>
        </w:tc>
      </w:tr>
      <w:tr>
        <w:trPr/>
        <w:tc>
          <w:tcPr>
            <w:tcW w:w="5669" w:type="dxa"/>
            <w:gridSpan w:val="5"/>
            <w:tcBorders/>
            <w:shd w:fill="auto" w:val="clear"/>
          </w:tcPr>
          <w:p>
            <w:pPr>
              <w:pStyle w:val="TableContents"/>
              <w:spacing w:before="0" w:after="0"/>
              <w:ind w:left="0" w:right="0" w:hanging="0"/>
              <w:jc w:val="left"/>
              <w:rPr/>
            </w:pPr>
            <w:r>
              <w:rPr/>
              <w:t>                        </w:t>
            </w:r>
            <w:r>
              <w:rPr>
                <w:rFonts w:ascii="Times New Roman" w:hAnsi="Times New Roman"/>
                <w:sz w:val="20"/>
              </w:rPr>
              <w:t>DATE            SOLD(-)             PRICE(2)</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5669" w:type="dxa"/>
            <w:gridSpan w:val="5"/>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6803" w:type="dxa"/>
            <w:gridSpan w:val="6"/>
            <w:tcBorders/>
            <w:shd w:fill="auto" w:val="clear"/>
          </w:tcPr>
          <w:p>
            <w:pPr>
              <w:pStyle w:val="TableContents"/>
              <w:spacing w:before="0" w:after="0"/>
              <w:ind w:left="0" w:right="0" w:hanging="0"/>
              <w:jc w:val="left"/>
              <w:rPr/>
            </w:pPr>
            <w:r>
              <w:rPr/>
              <w:t> </w:t>
            </w:r>
            <w:r>
              <w:rPr>
                <w:rFonts w:ascii="Times New Roman" w:hAnsi="Times New Roman"/>
                <w:sz w:val="20"/>
              </w:rPr>
              <w:t>COMMON STOCK-OIL DRI CORPORATION OF AMERICA</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7937" w:type="dxa"/>
            <w:gridSpan w:val="7"/>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GAMCO ASSET MANAGEMENT INC.</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11/13/08            2,800           16.9898</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11/13/08            2,700           17.0500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11/13/08            1,100           17.0000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11/12/08              500-           16.9980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11/12/08            2,300           17.1100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11/12/08            5,700           17.0131</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240            17.3600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360            17.3406</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300            17.3000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4,200           17.2931</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1,800           17.1956</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900            17.2489</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600            17.2500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500            17.2640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300            17.2700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11/11/08              300            17.2900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11/10/08              900            16.0811</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11/10/08            4,800           16.6692</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11/10/08              700            16.2486</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11/06/08              500-           15.5220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10/14/08            1,200           12.9992</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10/13/08              600            13.0000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10/08/08              625-           14.6672</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10/06/08            1,000-          14.9000</w:t>
            </w:r>
          </w:p>
        </w:tc>
      </w:tr>
      <w:tr>
        <w:trPr/>
        <w:tc>
          <w:tcPr>
            <w:tcW w:w="10205" w:type="dxa"/>
            <w:gridSpan w:val="9"/>
            <w:tcBorders/>
            <w:shd w:fill="auto" w:val="clear"/>
          </w:tcPr>
          <w:p>
            <w:pPr>
              <w:pStyle w:val="TableContents"/>
              <w:spacing w:before="0" w:after="0"/>
              <w:ind w:left="0" w:right="0" w:hanging="0"/>
              <w:jc w:val="left"/>
              <w:rPr/>
            </w:pPr>
            <w:r>
              <w:rPr/>
              <w:t>                       </w:t>
            </w:r>
            <w:r>
              <w:rPr>
                <w:rFonts w:ascii="Times New Roman" w:hAnsi="Times New Roman"/>
                <w:sz w:val="20"/>
              </w:rPr>
              <w:t>9/30/08            1,000            16.1500</w:t>
            </w:r>
          </w:p>
        </w:tc>
      </w:tr>
      <w:tr>
        <w:trPr/>
        <w:tc>
          <w:tcPr>
            <w:tcW w:w="5669" w:type="dxa"/>
            <w:gridSpan w:val="5"/>
            <w:tcBorders/>
            <w:shd w:fill="auto" w:val="clear"/>
          </w:tcPr>
          <w:p>
            <w:pPr>
              <w:pStyle w:val="TableContents"/>
              <w:spacing w:before="0" w:after="0"/>
              <w:ind w:left="0" w:right="0" w:hanging="0"/>
              <w:jc w:val="left"/>
              <w:rPr/>
            </w:pPr>
            <w:r>
              <w:rPr/>
              <w:t>                       </w:t>
            </w:r>
            <w:r>
              <w:rPr>
                <w:rFonts w:ascii="Times New Roman" w:hAnsi="Times New Roman"/>
                <w:sz w:val="20"/>
              </w:rPr>
              <w:t>9/25/08              500-            16.3907</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5669" w:type="dxa"/>
            <w:gridSpan w:val="5"/>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 UNLESS OTHERWISE INDICATED, ALL TRANSACTIONS WERE EFFECTED</w:t>
            </w:r>
          </w:p>
        </w:tc>
      </w:tr>
      <w:tr>
        <w:trPr/>
        <w:tc>
          <w:tcPr>
            <w:tcW w:w="2267" w:type="dxa"/>
            <w:gridSpan w:val="2"/>
            <w:tcBorders/>
            <w:shd w:fill="auto" w:val="clear"/>
          </w:tcPr>
          <w:p>
            <w:pPr>
              <w:pStyle w:val="TableContents"/>
              <w:spacing w:before="0" w:after="0"/>
              <w:ind w:left="0" w:right="0" w:hanging="0"/>
              <w:jc w:val="left"/>
              <w:rPr/>
            </w:pPr>
            <w:r>
              <w:rPr/>
              <w:t>    </w:t>
            </w:r>
            <w:r>
              <w:rPr>
                <w:rFonts w:ascii="Times New Roman" w:hAnsi="Times New Roman"/>
                <w:sz w:val="20"/>
              </w:rPr>
              <w:t>ON THE NYSE.</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7937" w:type="dxa"/>
            <w:gridSpan w:val="7"/>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r>
        <w:trPr/>
        <w:tc>
          <w:tcPr>
            <w:tcW w:w="10205" w:type="dxa"/>
            <w:gridSpan w:val="9"/>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 PRICE EXCLUDES COMMISSION.</w:t>
            </w:r>
          </w:p>
        </w:tc>
      </w:tr>
      <w:tr>
        <w:trPr/>
        <w:tc>
          <w:tcPr>
            <w:tcW w:w="1133"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c>
          <w:tcPr>
            <w:tcW w:w="1134" w:type="dxa"/>
            <w:tcBorders/>
            <w:shd w:fill="auto" w:val="clear"/>
          </w:tcPr>
          <w:p>
            <w:pPr>
              <w:pStyle w:val="TableContents"/>
              <w:spacing w:before="0" w:after="283"/>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28" w:name="PGBRK10"/>
      <w:bookmarkStart w:id="229" w:name="PGBRK10"/>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0" w:name="FTR10"/>
      <w:bookmarkStart w:id="231" w:name="FTR10"/>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232" w:name="GLFTR10"/>
      <w:bookmarkEnd w:id="23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3" w:name="PN10"/>
      <w:bookmarkEnd w:id="233"/>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4" w:name="HDR10"/>
      <w:bookmarkStart w:id="235" w:name="HDR10"/>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236" w:name="GLHDR10"/>
      <w:bookmarkEnd w:id="23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3781</Words>
  <CharactersWithSpaces>27101</CharactersWithSpaces>
  <Paragraphs>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