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Scheland Laura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20" w:lineRule="auto"/>
        <w:rPr>
          <w:sz w:val="20"/>
          <w:szCs w:val="20"/>
          <w:color w:val="auto"/>
        </w:rPr>
      </w:pPr>
      <w:r>
        <w:rPr>
          <w:rFonts w:ascii="Times New Roman" w:cs="Times New Roman" w:eastAsia="Times New Roman" w:hAnsi="Times New Roman"/>
          <w:sz w:val="17"/>
          <w:szCs w:val="17"/>
          <w:color w:val="0000FF"/>
        </w:rPr>
        <w:t>410 NORTH MICHIGAN AVENUE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Oil-Dri Corp of America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ODC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VP and Chief Legal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60611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10/18/2024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69.27</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15,340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10/19/2024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3,500</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68.43</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18,840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resulting in multiple transactions at a range of prices from $69.08 to $69.40.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granted pursuant to the Oil-Dri Corporation of America 2006 Long Term Incentive Plan in a transaction exempt under rule 16b-3.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Restricted Stock are scheduled to "cliff" vest in full on October 19, 2028.</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the closing price of the shares on Monday, October 21, 2024, the first trading day following the grant date of this award, which fell on a weekend.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Laura G. Scheland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10/21/2024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5448"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2024-10-21T16:46:21Z</dcterms:created>
  <dcterms:modified xsi:type="dcterms:W3CDTF">2024-10-21T16:46:21Z</dcterms:modified>
</cp:coreProperties>
</file>