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300" w:before="0" w:after="0"/>
        <w:ind w:left="0" w:right="0" w:hanging="0"/>
        <w:jc w:val="center"/>
        <w:rPr>
          <w:rFonts w:ascii="Times New Roman" w:hAnsi="Times New Roman"/>
          <w:sz w:val="20"/>
        </w:rPr>
      </w:pPr>
      <w:bookmarkStart w:id="0" w:name="v105960_10q.htm"/>
      <w:bookmarkStart w:id="1" w:name="ksv105960_10q"/>
      <w:bookmarkEnd w:id="0"/>
      <w:bookmarkEnd w:id="1"/>
      <w:r>
        <w:rPr>
          <w:rFonts w:ascii="Times New Roman" w:hAnsi="Times New Roman"/>
          <w:sz w:val="20"/>
        </w:rPr>
        <w:t>UNITED STATES</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SECURITIES AND EXCHANGE COMMISSION</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Washington, D. C. 20549</w:t>
      </w:r>
    </w:p>
    <w:p>
      <w:pPr>
        <w:pStyle w:val="TextBody"/>
        <w:spacing w:lineRule="auto" w:line="300" w:before="0" w:after="0"/>
        <w:ind w:left="0" w:right="0" w:hanging="0"/>
        <w:jc w:val="center"/>
        <w:rPr/>
      </w:pPr>
      <w:r>
        <w:rPr/>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FORM 10-Q</w:t>
      </w:r>
    </w:p>
    <w:p>
      <w:pPr>
        <w:pStyle w:val="TextBody"/>
        <w:spacing w:lineRule="auto" w:line="300" w:before="0" w:after="0"/>
        <w:ind w:left="0" w:right="0" w:hanging="0"/>
        <w:jc w:val="center"/>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(Mark One)</w:t>
      </w:r>
    </w:p>
    <w:p>
      <w:pPr>
        <w:pStyle w:val="TextBody"/>
        <w:spacing w:lineRule="auto" w:line="300"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lineRule="auto" w:line="300" w:before="0" w:after="0"/>
              <w:ind w:left="0" w:right="0" w:hanging="0"/>
              <w:jc w:val="left"/>
              <w:rPr>
                <w:rFonts w:ascii="Wingdings" w:hAnsi="Wingdings"/>
                <w:sz w:val="20"/>
              </w:rPr>
            </w:pPr>
            <w:r>
              <w:rPr>
                <w:rFonts w:ascii="Wingdings" w:hAnsi="Wingdings"/>
                <w:sz w:val="20"/>
              </w:rPr>
              <w:t>x</w:t>
            </w:r>
          </w:p>
        </w:tc>
        <w:tc>
          <w:tcPr>
            <w:tcW w:w="9186"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Quarterly Report Pursuant to Section 13 or 15(d) of the</w:t>
            </w:r>
          </w:p>
        </w:tc>
      </w:tr>
      <w:tr>
        <w:trPr/>
        <w:tc>
          <w:tcPr>
            <w:tcW w:w="1019" w:type="dxa"/>
            <w:tcBorders/>
            <w:shd w:fill="auto" w:val="clear"/>
          </w:tcPr>
          <w:p>
            <w:pPr>
              <w:pStyle w:val="TableContents"/>
              <w:spacing w:before="0" w:after="283"/>
              <w:jc w:val="left"/>
              <w:rPr/>
            </w:pPr>
            <w:r>
              <w:rPr/>
              <w:t> </w:t>
            </w:r>
          </w:p>
        </w:tc>
        <w:tc>
          <w:tcPr>
            <w:tcW w:w="9186"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Securities Exchange Act of 1934</w:t>
            </w:r>
          </w:p>
        </w:tc>
      </w:tr>
      <w:tr>
        <w:trPr/>
        <w:tc>
          <w:tcPr>
            <w:tcW w:w="1019" w:type="dxa"/>
            <w:tcBorders/>
            <w:shd w:fill="auto" w:val="clear"/>
          </w:tcPr>
          <w:p>
            <w:pPr>
              <w:pStyle w:val="TableContents"/>
              <w:spacing w:before="0" w:after="283"/>
              <w:jc w:val="left"/>
              <w:rPr/>
            </w:pPr>
            <w:r>
              <w:rPr/>
              <w:t> </w:t>
            </w:r>
          </w:p>
        </w:tc>
        <w:tc>
          <w:tcPr>
            <w:tcW w:w="9186"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For the Quarterly Period Ended January 31, 2008</w:t>
            </w:r>
          </w:p>
        </w:tc>
      </w:tr>
    </w:tbl>
    <w:p>
      <w:pPr>
        <w:pStyle w:val="TextBody"/>
        <w:spacing w:lineRule="auto" w:line="300" w:before="0" w:after="0"/>
        <w:ind w:left="0" w:right="0" w:hanging="0"/>
        <w:jc w:val="left"/>
        <w:rPr/>
      </w:pPr>
      <w:r>
        <w:rPr/>
        <w:t> </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OR</w:t>
      </w:r>
    </w:p>
    <w:p>
      <w:pPr>
        <w:pStyle w:val="TextBody"/>
        <w:spacing w:lineRule="auto" w:line="300"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lineRule="auto" w:line="300" w:before="0" w:after="0"/>
              <w:ind w:left="0" w:right="0" w:hanging="0"/>
              <w:jc w:val="left"/>
              <w:rPr>
                <w:rFonts w:ascii="Wingdings" w:hAnsi="Wingdings"/>
                <w:sz w:val="20"/>
              </w:rPr>
            </w:pPr>
            <w:r>
              <w:rPr>
                <w:rFonts w:ascii="Wingdings" w:hAnsi="Wingdings"/>
                <w:sz w:val="20"/>
              </w:rPr>
              <w:t>o</w:t>
            </w:r>
          </w:p>
        </w:tc>
        <w:tc>
          <w:tcPr>
            <w:tcW w:w="9185"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Transition Report Pursuant to Section 13 or 15(d) of the</w:t>
            </w:r>
          </w:p>
        </w:tc>
      </w:tr>
      <w:tr>
        <w:trPr/>
        <w:tc>
          <w:tcPr>
            <w:tcW w:w="1020" w:type="dxa"/>
            <w:tcBorders/>
            <w:shd w:fill="auto" w:val="clear"/>
          </w:tcPr>
          <w:p>
            <w:pPr>
              <w:pStyle w:val="TableContents"/>
              <w:spacing w:before="0" w:after="283"/>
              <w:jc w:val="left"/>
              <w:rPr/>
            </w:pPr>
            <w:r>
              <w:rPr/>
              <w:t> </w:t>
            </w:r>
          </w:p>
        </w:tc>
        <w:tc>
          <w:tcPr>
            <w:tcW w:w="9185"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Securities Exchange Act of 1934</w:t>
            </w:r>
          </w:p>
        </w:tc>
      </w:tr>
    </w:tbl>
    <w:p>
      <w:pPr>
        <w:pStyle w:val="TextBody"/>
        <w:spacing w:lineRule="auto" w:line="300" w:before="0" w:after="0"/>
        <w:ind w:left="0" w:right="0" w:hanging="0"/>
        <w:jc w:val="center"/>
        <w:rPr/>
      </w:pPr>
      <w:r>
        <w:rPr/>
        <w:br/>
      </w:r>
      <w:r>
        <w:rPr>
          <w:rFonts w:ascii="Times New Roman" w:hAnsi="Times New Roman"/>
          <w:sz w:val="20"/>
        </w:rPr>
        <w:t>For the transition period from _____________ to ______________</w:t>
      </w:r>
    </w:p>
    <w:p>
      <w:pPr>
        <w:pStyle w:val="TextBody"/>
        <w:spacing w:lineRule="auto" w:line="300" w:before="0" w:after="0"/>
        <w:ind w:left="0" w:right="0" w:hanging="0"/>
        <w:jc w:val="center"/>
        <w:rPr/>
      </w:pPr>
      <w:r>
        <w:rPr/>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Commission File Number 0-8675</w:t>
      </w:r>
    </w:p>
    <w:p>
      <w:pPr>
        <w:pStyle w:val="TextBody"/>
        <w:spacing w:lineRule="auto" w:line="300" w:before="0" w:after="0"/>
        <w:ind w:left="0" w:right="0" w:hanging="0"/>
        <w:jc w:val="left"/>
        <w:rPr/>
      </w:pPr>
      <w:r>
        <w:rPr/>
      </w:r>
    </w:p>
    <w:p>
      <w:pPr>
        <w:pStyle w:val="TextBody"/>
        <w:spacing w:lineRule="auto" w:line="300" w:before="0" w:after="0"/>
        <w:ind w:left="0" w:right="0" w:hanging="0"/>
        <w:jc w:val="center"/>
        <w:rPr>
          <w:rFonts w:ascii="Times New Roman" w:hAnsi="Times New Roman"/>
          <w:sz w:val="20"/>
          <w:u w:val="single"/>
        </w:rPr>
      </w:pPr>
      <w:r>
        <w:rPr>
          <w:rFonts w:ascii="Times New Roman" w:hAnsi="Times New Roman"/>
          <w:sz w:val="20"/>
          <w:u w:val="single"/>
        </w:rPr>
        <w:t>OIL-DRI CORPORATION OF AMERICA</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(Exact name of the registrant as specified in its charter)</w:t>
      </w:r>
    </w:p>
    <w:p>
      <w:pPr>
        <w:pStyle w:val="TextBody"/>
        <w:spacing w:lineRule="auto" w:line="300" w:before="0" w:after="0"/>
        <w:ind w:left="0" w:right="0" w:hanging="0"/>
        <w:jc w:val="left"/>
        <w:rPr/>
      </w:pPr>
      <w:r>
        <w:rPr/>
      </w:r>
    </w:p>
    <w:tbl>
      <w:tblPr>
        <w:tblW w:w="5000" w:type="pct"/>
        <w:jc w:val="left"/>
        <w:tblInd w:w="0" w:type="dxa"/>
        <w:tblCellMar>
          <w:top w:w="0" w:type="dxa"/>
          <w:left w:w="0" w:type="dxa"/>
          <w:bottom w:w="28" w:type="dxa"/>
          <w:right w:w="0" w:type="dxa"/>
        </w:tblCellMar>
      </w:tblPr>
      <w:tblGrid>
        <w:gridCol w:w="4592"/>
        <w:gridCol w:w="1020"/>
        <w:gridCol w:w="4593"/>
      </w:tblGrid>
      <w:tr>
        <w:trPr/>
        <w:tc>
          <w:tcPr>
            <w:tcW w:w="4592" w:type="dxa"/>
            <w:tcBorders>
              <w:bottom w:val="single" w:sz="2" w:space="0" w:color="000000"/>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Delaware</w:t>
            </w:r>
          </w:p>
        </w:tc>
        <w:tc>
          <w:tcPr>
            <w:tcW w:w="1020" w:type="dxa"/>
            <w:tcBorders/>
            <w:shd w:fill="auto" w:val="clear"/>
            <w:tcMar>
              <w:bottom w:w="0" w:type="dxa"/>
            </w:tcMar>
          </w:tcPr>
          <w:p>
            <w:pPr>
              <w:pStyle w:val="TableContents"/>
              <w:spacing w:before="0" w:after="283"/>
              <w:jc w:val="left"/>
              <w:rPr/>
            </w:pPr>
            <w:r>
              <w:rPr/>
              <w:t> </w:t>
            </w:r>
          </w:p>
        </w:tc>
        <w:tc>
          <w:tcPr>
            <w:tcW w:w="4593" w:type="dxa"/>
            <w:tcBorders>
              <w:bottom w:val="single" w:sz="2" w:space="0" w:color="000000"/>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36-2048898</w:t>
            </w:r>
          </w:p>
        </w:tc>
      </w:tr>
      <w:tr>
        <w:trPr/>
        <w:tc>
          <w:tcPr>
            <w:tcW w:w="4592" w:type="dxa"/>
            <w:tcBorders/>
            <w:shd w:fill="auto" w:val="clear"/>
            <w:tcMar>
              <w:bottom w:w="0" w:type="dxa"/>
            </w:tcM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(State or other jurisdiction of </w:t>
              <w:br/>
              <w:t>incorporation or organization)</w:t>
            </w:r>
          </w:p>
        </w:tc>
        <w:tc>
          <w:tcPr>
            <w:tcW w:w="1020" w:type="dxa"/>
            <w:tcBorders/>
            <w:shd w:fill="auto" w:val="clear"/>
            <w:tcMar>
              <w:bottom w:w="0" w:type="dxa"/>
            </w:tcMar>
          </w:tcPr>
          <w:p>
            <w:pPr>
              <w:pStyle w:val="TableContents"/>
              <w:spacing w:before="0" w:after="283"/>
              <w:jc w:val="left"/>
              <w:rPr/>
            </w:pPr>
            <w:r>
              <w:rPr/>
              <w:t> </w:t>
            </w:r>
          </w:p>
        </w:tc>
        <w:tc>
          <w:tcPr>
            <w:tcW w:w="4593" w:type="dxa"/>
            <w:tcBorders/>
            <w:shd w:fill="auto" w:val="clear"/>
            <w:tcMar>
              <w:bottom w:w="0" w:type="dxa"/>
            </w:tcM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(I.R.S. Employer</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Identification No.)</w:t>
            </w:r>
          </w:p>
        </w:tc>
      </w:tr>
    </w:tbl>
    <w:p>
      <w:pPr>
        <w:pStyle w:val="TextBody"/>
        <w:spacing w:lineRule="auto" w:line="300" w:before="0" w:after="0"/>
        <w:ind w:left="0" w:right="0" w:hanging="0"/>
        <w:jc w:val="left"/>
        <w:rPr/>
      </w:pPr>
      <w:r>
        <w:rPr/>
      </w:r>
    </w:p>
    <w:tbl>
      <w:tblPr>
        <w:tblW w:w="5000" w:type="pct"/>
        <w:jc w:val="left"/>
        <w:tblInd w:w="0" w:type="dxa"/>
        <w:tblCellMar>
          <w:top w:w="0" w:type="dxa"/>
          <w:left w:w="0" w:type="dxa"/>
          <w:bottom w:w="28" w:type="dxa"/>
          <w:right w:w="0" w:type="dxa"/>
        </w:tblCellMar>
      </w:tblPr>
      <w:tblGrid>
        <w:gridCol w:w="4592"/>
        <w:gridCol w:w="1020"/>
        <w:gridCol w:w="4593"/>
      </w:tblGrid>
      <w:tr>
        <w:trPr/>
        <w:tc>
          <w:tcPr>
            <w:tcW w:w="4592" w:type="dxa"/>
            <w:tcBorders>
              <w:bottom w:val="single" w:sz="2" w:space="0" w:color="000000"/>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410 North Michigan Avenue, Suite 400</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Chicago, Illinois</w:t>
            </w:r>
          </w:p>
        </w:tc>
        <w:tc>
          <w:tcPr>
            <w:tcW w:w="1020" w:type="dxa"/>
            <w:tcBorders/>
            <w:shd w:fill="auto" w:val="clear"/>
            <w:tcMar>
              <w:bottom w:w="0" w:type="dxa"/>
            </w:tcMar>
          </w:tcPr>
          <w:p>
            <w:pPr>
              <w:pStyle w:val="TableContents"/>
              <w:spacing w:before="0" w:after="283"/>
              <w:jc w:val="left"/>
              <w:rPr/>
            </w:pPr>
            <w:r>
              <w:rPr/>
              <w:t> </w:t>
            </w:r>
          </w:p>
        </w:tc>
        <w:tc>
          <w:tcPr>
            <w:tcW w:w="4593" w:type="dxa"/>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60611-4213</w:t>
            </w:r>
          </w:p>
        </w:tc>
      </w:tr>
      <w:tr>
        <w:trPr/>
        <w:tc>
          <w:tcPr>
            <w:tcW w:w="4592" w:type="dxa"/>
            <w:tcBorders/>
            <w:shd w:fill="auto" w:val="clear"/>
            <w:tcMar>
              <w:bottom w:w="0" w:type="dxa"/>
            </w:tcM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1020" w:type="dxa"/>
            <w:tcBorders/>
            <w:shd w:fill="auto" w:val="clear"/>
            <w:tcMar>
              <w:bottom w:w="0" w:type="dxa"/>
            </w:tcMar>
          </w:tcPr>
          <w:p>
            <w:pPr>
              <w:pStyle w:val="TableContents"/>
              <w:spacing w:before="0" w:after="283"/>
              <w:jc w:val="left"/>
              <w:rPr/>
            </w:pPr>
            <w:r>
              <w:rPr/>
              <w:t> </w:t>
            </w:r>
          </w:p>
        </w:tc>
        <w:tc>
          <w:tcPr>
            <w:tcW w:w="4593" w:type="dxa"/>
            <w:tcBorders/>
            <w:shd w:fill="auto" w:val="clear"/>
            <w:tcMar>
              <w:bottom w:w="0" w:type="dxa"/>
            </w:tcM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(Zip Code)</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Registrant's telephone number, including area code: (312) 321-1515</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and (2) has been subject to such filing requirements for at least the past 90 days.</w:t>
      </w:r>
    </w:p>
    <w:p>
      <w:pPr>
        <w:pStyle w:val="TextBody"/>
        <w:spacing w:lineRule="auto" w:line="300" w:before="0" w:after="0"/>
        <w:ind w:left="0" w:right="0" w:hanging="0"/>
        <w:jc w:val="left"/>
        <w:rPr/>
      </w:pPr>
      <w:r>
        <w:rPr/>
      </w:r>
    </w:p>
    <w:p>
      <w:pPr>
        <w:pStyle w:val="TextBody"/>
        <w:spacing w:lineRule="auto" w:line="300" w:before="0" w:after="0"/>
        <w:ind w:left="0" w:right="0" w:hanging="0"/>
        <w:jc w:val="center"/>
        <w:rPr/>
      </w:pPr>
      <w:r>
        <w:rPr>
          <w:rFonts w:ascii="Times New Roman" w:hAnsi="Times New Roman"/>
          <w:sz w:val="20"/>
        </w:rPr>
        <w:t>Yes </w:t>
      </w:r>
      <w:r>
        <w:rPr>
          <w:rFonts w:ascii="Wingdings" w:hAnsi="Wingdings"/>
          <w:sz w:val="20"/>
        </w:rPr>
        <w:t xml:space="preserve">x </w:t>
      </w:r>
      <w:r>
        <w:rPr>
          <w:rFonts w:ascii="Times New Roman" w:hAnsi="Times New Roman"/>
          <w:sz w:val="20"/>
        </w:rPr>
        <w:t xml:space="preserve">No </w:t>
      </w:r>
      <w:r>
        <w:rPr>
          <w:rFonts w:ascii="Wingdings" w:hAnsi="Wingdings"/>
          <w:sz w:val="20"/>
        </w:rPr>
        <w:t>o</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spacing w:lineRule="auto" w:line="300" w:before="0" w:after="0"/>
        <w:ind w:left="0" w:right="0" w:hanging="0"/>
        <w:jc w:val="left"/>
        <w:rPr/>
      </w:pPr>
      <w:r>
        <w:rPr/>
      </w:r>
    </w:p>
    <w:tbl>
      <w:tblPr>
        <w:tblW w:w="4000" w:type="pct"/>
        <w:jc w:val="center"/>
        <w:tblInd w:w="0" w:type="dxa"/>
        <w:tblCellMar>
          <w:top w:w="0" w:type="dxa"/>
          <w:left w:w="0" w:type="dxa"/>
          <w:bottom w:w="0" w:type="dxa"/>
          <w:right w:w="0" w:type="dxa"/>
        </w:tblCellMar>
      </w:tblPr>
      <w:tblGrid>
        <w:gridCol w:w="3572"/>
        <w:gridCol w:w="510"/>
        <w:gridCol w:w="3572"/>
        <w:gridCol w:w="510"/>
      </w:tblGrid>
      <w:tr>
        <w:trPr/>
        <w:tc>
          <w:tcPr>
            <w:tcW w:w="3572"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Large accelerated filer</w:t>
            </w:r>
          </w:p>
        </w:tc>
        <w:tc>
          <w:tcPr>
            <w:tcW w:w="510" w:type="dxa"/>
            <w:tcBorders/>
            <w:shd w:fill="auto" w:val="clear"/>
          </w:tcPr>
          <w:p>
            <w:pPr>
              <w:pStyle w:val="TableContents"/>
              <w:spacing w:before="0" w:after="283"/>
              <w:jc w:val="left"/>
              <w:rPr/>
            </w:pPr>
            <w:r>
              <w:rPr/>
              <w:t> </w:t>
            </w:r>
            <w:r>
              <w:rPr>
                <w:rFonts w:ascii="Wingdings" w:hAnsi="Wingdings"/>
                <w:sz w:val="20"/>
              </w:rPr>
              <w:t>o</w:t>
            </w:r>
          </w:p>
        </w:tc>
        <w:tc>
          <w:tcPr>
            <w:tcW w:w="3572"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Accelerated filer</w:t>
            </w:r>
          </w:p>
        </w:tc>
        <w:tc>
          <w:tcPr>
            <w:tcW w:w="510" w:type="dxa"/>
            <w:tcBorders/>
            <w:shd w:fill="auto" w:val="clear"/>
          </w:tcPr>
          <w:p>
            <w:pPr>
              <w:pStyle w:val="TableContents"/>
              <w:spacing w:before="0" w:after="283"/>
              <w:jc w:val="left"/>
              <w:rPr/>
            </w:pPr>
            <w:r>
              <w:rPr/>
              <w:t> </w:t>
            </w:r>
            <w:r>
              <w:rPr>
                <w:rFonts w:ascii="Wingdings" w:hAnsi="Wingdings"/>
                <w:sz w:val="20"/>
              </w:rPr>
              <w:t>x</w:t>
            </w:r>
          </w:p>
        </w:tc>
      </w:tr>
      <w:tr>
        <w:trPr/>
        <w:tc>
          <w:tcPr>
            <w:tcW w:w="3572" w:type="dxa"/>
            <w:tcBorders/>
            <w:shd w:fill="auto" w:val="clear"/>
          </w:tcPr>
          <w:p>
            <w:pPr>
              <w:pStyle w:val="TableContents"/>
              <w:spacing w:before="0" w:after="283"/>
              <w:jc w:val="left"/>
              <w:rPr/>
            </w:pPr>
            <w:r>
              <w:rPr/>
              <w:t> </w:t>
            </w:r>
          </w:p>
        </w:tc>
        <w:tc>
          <w:tcPr>
            <w:tcW w:w="510" w:type="dxa"/>
            <w:tcBorders/>
            <w:shd w:fill="auto" w:val="clear"/>
          </w:tcPr>
          <w:p>
            <w:pPr>
              <w:pStyle w:val="TableContents"/>
              <w:spacing w:before="0" w:after="283"/>
              <w:jc w:val="left"/>
              <w:rPr/>
            </w:pPr>
            <w:r>
              <w:rPr/>
              <w:t> </w:t>
            </w:r>
          </w:p>
        </w:tc>
        <w:tc>
          <w:tcPr>
            <w:tcW w:w="3572" w:type="dxa"/>
            <w:tcBorders/>
            <w:shd w:fill="auto" w:val="clear"/>
          </w:tcPr>
          <w:p>
            <w:pPr>
              <w:pStyle w:val="TableContents"/>
              <w:spacing w:before="0" w:after="283"/>
              <w:jc w:val="left"/>
              <w:rPr/>
            </w:pPr>
            <w:r>
              <w:rPr/>
              <w:t> </w:t>
            </w:r>
          </w:p>
        </w:tc>
        <w:tc>
          <w:tcPr>
            <w:tcW w:w="510" w:type="dxa"/>
            <w:tcBorders/>
            <w:shd w:fill="auto" w:val="clear"/>
          </w:tcPr>
          <w:p>
            <w:pPr>
              <w:pStyle w:val="TableContents"/>
              <w:spacing w:before="0" w:after="283"/>
              <w:jc w:val="left"/>
              <w:rPr/>
            </w:pPr>
            <w:r>
              <w:rPr/>
              <w:t> </w:t>
            </w:r>
          </w:p>
        </w:tc>
      </w:tr>
      <w:tr>
        <w:trPr/>
        <w:tc>
          <w:tcPr>
            <w:tcW w:w="3572"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Non-accelerated filer</w:t>
            </w:r>
          </w:p>
        </w:tc>
        <w:tc>
          <w:tcPr>
            <w:tcW w:w="510" w:type="dxa"/>
            <w:tcBorders/>
            <w:shd w:fill="auto" w:val="clear"/>
          </w:tcPr>
          <w:p>
            <w:pPr>
              <w:pStyle w:val="TableContents"/>
              <w:spacing w:before="0" w:after="283"/>
              <w:jc w:val="left"/>
              <w:rPr/>
            </w:pPr>
            <w:r>
              <w:rPr/>
              <w:t> </w:t>
            </w:r>
            <w:r>
              <w:rPr>
                <w:rFonts w:ascii="Wingdings" w:hAnsi="Wingdings"/>
                <w:sz w:val="20"/>
              </w:rPr>
              <w:t>o</w:t>
            </w:r>
          </w:p>
        </w:tc>
        <w:tc>
          <w:tcPr>
            <w:tcW w:w="3572"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Smaller reporting company</w:t>
            </w:r>
          </w:p>
        </w:tc>
        <w:tc>
          <w:tcPr>
            <w:tcW w:w="510" w:type="dxa"/>
            <w:tcBorders/>
            <w:shd w:fill="auto" w:val="clear"/>
          </w:tcPr>
          <w:p>
            <w:pPr>
              <w:pStyle w:val="TableContents"/>
              <w:spacing w:before="0" w:after="283"/>
              <w:jc w:val="left"/>
              <w:rPr/>
            </w:pPr>
            <w:r>
              <w:rPr/>
              <w:t> </w:t>
            </w:r>
            <w:r>
              <w:rPr>
                <w:rFonts w:ascii="Wingdings" w:hAnsi="Wingdings"/>
                <w:sz w:val="20"/>
              </w:rPr>
              <w:t>o</w:t>
            </w:r>
          </w:p>
        </w:tc>
      </w:tr>
    </w:tbl>
    <w:p>
      <w:pPr>
        <w:pStyle w:val="TextBody"/>
        <w:spacing w:lineRule="auto" w:line="300" w:before="0" w:after="0"/>
        <w:ind w:left="1260" w:right="0" w:hanging="0"/>
        <w:jc w:val="left"/>
        <w:rPr>
          <w:rFonts w:ascii="Times New Roman" w:hAnsi="Times New Roman"/>
          <w:sz w:val="20"/>
        </w:rPr>
      </w:pPr>
      <w:r>
        <w:rPr>
          <w:rFonts w:ascii="Times New Roman" w:hAnsi="Times New Roman"/>
          <w:sz w:val="20"/>
        </w:rPr>
        <w:t>(Do not check if a smaller reporting company)</w:t>
      </w:r>
    </w:p>
    <w:p>
      <w:pPr>
        <w:pStyle w:val="TextBody"/>
        <w:spacing w:lineRule="auto" w:line="300" w:before="0" w:after="0"/>
        <w:ind w:left="0" w:right="0" w:hanging="0"/>
        <w:jc w:val="left"/>
        <w:rPr/>
      </w:pPr>
      <w:r>
        <w:rPr>
          <w:rFonts w:ascii="Times New Roman" w:hAnsi="Times New Roman"/>
          <w:sz w:val="20"/>
        </w:rPr>
        <w:t>Indicate by check mark whether the registrant is a shell company (as defined in Rule 12b-2 of the Exchange Act).    </w:t>
      </w:r>
      <w:bookmarkStart w:id="2" w:name="TAB2"/>
      <w:bookmarkEnd w:id="2"/>
      <w:r>
        <w:rPr>
          <w:color w:val="000000"/>
          <w:spacing w:val="900"/>
        </w:rPr>
        <w:t> </w:t>
      </w:r>
    </w:p>
    <w:p>
      <w:pPr>
        <w:pStyle w:val="TextBody"/>
        <w:spacing w:lineRule="auto" w:line="300" w:before="0" w:after="0"/>
        <w:ind w:left="0" w:right="0" w:hanging="0"/>
        <w:jc w:val="left"/>
        <w:rPr/>
      </w:pPr>
      <w:r>
        <w:rPr/>
      </w:r>
    </w:p>
    <w:p>
      <w:pPr>
        <w:pStyle w:val="TextBody"/>
        <w:spacing w:lineRule="auto" w:line="300" w:before="0" w:after="0"/>
        <w:ind w:left="0" w:right="0" w:hanging="0"/>
        <w:jc w:val="center"/>
        <w:rPr/>
      </w:pPr>
      <w:r>
        <w:rPr>
          <w:rFonts w:ascii="Times New Roman" w:hAnsi="Times New Roman"/>
          <w:sz w:val="20"/>
        </w:rPr>
        <w:t>Yes </w:t>
      </w:r>
      <w:r>
        <w:rPr>
          <w:rFonts w:ascii="Wingdings" w:hAnsi="Wingdings"/>
          <w:sz w:val="20"/>
        </w:rPr>
        <w:t xml:space="preserve">o </w:t>
      </w:r>
      <w:r>
        <w:rPr>
          <w:rFonts w:ascii="Times New Roman" w:hAnsi="Times New Roman"/>
          <w:sz w:val="20"/>
        </w:rPr>
        <w:t xml:space="preserve">No </w:t>
      </w:r>
      <w:r>
        <w:rPr>
          <w:rFonts w:ascii="Wingdings" w:hAnsi="Wingdings"/>
          <w:sz w:val="20"/>
        </w:rPr>
        <w:t>x</w:t>
      </w:r>
    </w:p>
    <w:p>
      <w:pPr>
        <w:pStyle w:val="TextBody"/>
        <w:spacing w:lineRule="auto" w:line="300" w:before="0" w:after="0"/>
        <w:ind w:left="0" w:right="0" w:hanging="0"/>
        <w:jc w:val="left"/>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aggregate market value of the Registrant’s Common Stock owned by non-affiliates as of January 31, 2008 for accelerated filer purposes was $100,149,000.</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Indicate the number of shares outstanding of each of the issuer’s classes of common stock, as of the close of the period covered by this report.</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 xml:space="preserve">Common Stock – 5,076,000 Shares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 xml:space="preserve">Class B Stock – 1,914,797 Shares </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center"/>
        <w:rPr/>
      </w:pPr>
      <w:r>
        <w:rPr>
          <w:rStyle w:val="StrongEmphasis"/>
          <w:rFonts w:ascii="Times New Roman" w:hAnsi="Times New Roman"/>
          <w:sz w:val="20"/>
        </w:rPr>
        <w:t>CONTENTS</w:t>
      </w:r>
    </w:p>
    <w:p>
      <w:pPr>
        <w:pStyle w:val="TextBody"/>
        <w:spacing w:lineRule="auto" w:line="300" w:before="0" w:after="0"/>
        <w:ind w:left="0" w:right="0" w:hanging="0"/>
        <w:jc w:val="left"/>
        <w:rPr/>
      </w:pPr>
      <w:r>
        <w:rPr/>
      </w:r>
    </w:p>
    <w:tbl>
      <w:tblPr>
        <w:tblW w:w="5000" w:type="pct"/>
        <w:jc w:val="left"/>
        <w:tblInd w:w="0" w:type="dxa"/>
        <w:tblCellMar>
          <w:top w:w="0" w:type="dxa"/>
          <w:left w:w="0" w:type="dxa"/>
          <w:bottom w:w="28" w:type="dxa"/>
          <w:right w:w="0" w:type="dxa"/>
        </w:tblCellMar>
      </w:tblPr>
      <w:tblGrid>
        <w:gridCol w:w="1223"/>
        <w:gridCol w:w="7962"/>
        <w:gridCol w:w="1020"/>
      </w:tblGrid>
      <w:tr>
        <w:trPr/>
        <w:tc>
          <w:tcPr>
            <w:tcW w:w="1223" w:type="dxa"/>
            <w:tcBorders>
              <w:bottom w:val="single" w:sz="4" w:space="0" w:color="FFFFFF"/>
            </w:tcBorders>
            <w:shd w:fill="auto" w:val="clear"/>
          </w:tcPr>
          <w:p>
            <w:pPr>
              <w:pStyle w:val="TableContents"/>
              <w:spacing w:before="0" w:after="283"/>
              <w:jc w:val="left"/>
              <w:rPr/>
            </w:pPr>
            <w:r>
              <w:rPr/>
              <w:t> </w:t>
            </w:r>
          </w:p>
        </w:tc>
        <w:tc>
          <w:tcPr>
            <w:tcW w:w="7962" w:type="dxa"/>
            <w:tcBorders>
              <w:bottom w:val="single" w:sz="4" w:space="0" w:color="FFFFFF"/>
            </w:tcBorders>
            <w:shd w:fill="auto" w:val="clear"/>
          </w:tcPr>
          <w:p>
            <w:pPr>
              <w:pStyle w:val="TableContents"/>
              <w:spacing w:before="0" w:after="283"/>
              <w:jc w:val="left"/>
              <w:rPr/>
            </w:pPr>
            <w:r>
              <w:rPr/>
              <w:t> </w:t>
            </w:r>
          </w:p>
        </w:tc>
        <w:tc>
          <w:tcPr>
            <w:tcW w:w="1020" w:type="dxa"/>
            <w:tcBorders>
              <w:bottom w:val="single" w:sz="2" w:space="0" w:color="000000"/>
            </w:tcBorders>
            <w:shd w:fill="auto" w:val="clear"/>
          </w:tcPr>
          <w:p>
            <w:pPr>
              <w:pStyle w:val="TableContents"/>
              <w:spacing w:lineRule="auto" w:line="300" w:before="0" w:after="0"/>
              <w:ind w:left="0" w:right="0" w:hanging="0"/>
              <w:jc w:val="center"/>
              <w:rPr/>
            </w:pPr>
            <w:r>
              <w:rPr>
                <w:rStyle w:val="StrongEmphasis"/>
                <w:rFonts w:ascii="Times New Roman" w:hAnsi="Times New Roman"/>
                <w:sz w:val="20"/>
              </w:rPr>
              <w:t>Page</w:t>
            </w:r>
          </w:p>
        </w:tc>
      </w:tr>
      <w:tr>
        <w:trPr/>
        <w:tc>
          <w:tcPr>
            <w:tcW w:w="1223" w:type="dxa"/>
            <w:tcBorders/>
            <w:shd w:fill="CCFFCC" w:val="clear"/>
            <w:tcMar>
              <w:bottom w:w="0" w:type="dxa"/>
            </w:tcMar>
          </w:tcPr>
          <w:p>
            <w:pPr>
              <w:pStyle w:val="TableContents"/>
              <w:spacing w:before="0" w:after="283"/>
              <w:jc w:val="left"/>
              <w:rPr/>
            </w:pPr>
            <w:r>
              <w:rPr/>
              <w:t> </w:t>
            </w:r>
          </w:p>
        </w:tc>
        <w:tc>
          <w:tcPr>
            <w:tcW w:w="7962" w:type="dxa"/>
            <w:tcBorders/>
            <w:shd w:fill="CCFFCC" w:val="clear"/>
            <w:tcMar>
              <w:bottom w:w="0" w:type="dxa"/>
            </w:tcMar>
          </w:tcPr>
          <w:p>
            <w:pPr>
              <w:pStyle w:val="TableContents"/>
              <w:spacing w:lineRule="auto" w:line="300" w:before="0" w:after="0"/>
              <w:ind w:left="0" w:right="0" w:hanging="0"/>
              <w:jc w:val="center"/>
              <w:rPr/>
            </w:pPr>
            <w:r>
              <w:rPr>
                <w:rStyle w:val="StrongEmphasis"/>
                <w:rFonts w:ascii="Times New Roman" w:hAnsi="Times New Roman"/>
                <w:sz w:val="20"/>
              </w:rPr>
              <w:t>PART I – FINANCIAL INFORMATION</w:t>
            </w:r>
          </w:p>
        </w:tc>
        <w:tc>
          <w:tcPr>
            <w:tcW w:w="1020" w:type="dxa"/>
            <w:tcBorders/>
            <w:shd w:fill="CCFFCC" w:val="clear"/>
            <w:tcMar>
              <w:bottom w:w="0" w:type="dxa"/>
            </w:tcMar>
          </w:tcPr>
          <w:p>
            <w:pPr>
              <w:pStyle w:val="TableContents"/>
              <w:spacing w:before="0" w:after="283"/>
              <w:jc w:val="left"/>
              <w:rPr/>
            </w:pPr>
            <w:r>
              <w:rPr/>
              <w:t> </w:t>
            </w:r>
          </w:p>
        </w:tc>
      </w:tr>
      <w:tr>
        <w:trPr/>
        <w:tc>
          <w:tcPr>
            <w:tcW w:w="1223" w:type="dxa"/>
            <w:tcBorders/>
            <w:shd w:fill="FFFFFF" w:val="clear"/>
            <w:tcMar>
              <w:bottom w:w="0" w:type="dxa"/>
            </w:tcMar>
          </w:tcPr>
          <w:p>
            <w:pPr>
              <w:pStyle w:val="TableContents"/>
              <w:spacing w:before="0" w:after="283"/>
              <w:jc w:val="left"/>
              <w:rPr/>
            </w:pPr>
            <w:r>
              <w:rPr/>
              <w:t> </w:t>
            </w:r>
          </w:p>
        </w:tc>
        <w:tc>
          <w:tcPr>
            <w:tcW w:w="7962" w:type="dxa"/>
            <w:tcBorders/>
            <w:shd w:fill="FFFFFF" w:val="clear"/>
            <w:tcMar>
              <w:bottom w:w="0" w:type="dxa"/>
            </w:tcMar>
          </w:tcPr>
          <w:p>
            <w:pPr>
              <w:pStyle w:val="TableContents"/>
              <w:spacing w:before="0" w:after="283"/>
              <w:jc w:val="left"/>
              <w:rPr/>
            </w:pPr>
            <w:r>
              <w:rPr/>
              <w:t> </w:t>
            </w:r>
          </w:p>
        </w:tc>
        <w:tc>
          <w:tcPr>
            <w:tcW w:w="1020" w:type="dxa"/>
            <w:tcBorders/>
            <w:shd w:fill="FFFFFF" w:val="clear"/>
            <w:tcMar>
              <w:bottom w:w="0" w:type="dxa"/>
            </w:tcMar>
          </w:tcPr>
          <w:p>
            <w:pPr>
              <w:pStyle w:val="TableContents"/>
              <w:spacing w:before="0" w:after="283"/>
              <w:jc w:val="left"/>
              <w:rPr/>
            </w:pPr>
            <w:r>
              <w:rPr/>
              <w:t> </w:t>
            </w:r>
          </w:p>
        </w:tc>
      </w:tr>
      <w:tr>
        <w:trPr/>
        <w:tc>
          <w:tcPr>
            <w:tcW w:w="1223" w:type="dxa"/>
            <w:tcBorders/>
            <w:shd w:fill="CCFFCC" w:val="clear"/>
            <w:tcMar>
              <w:bottom w:w="0" w:type="dxa"/>
            </w:tcMar>
          </w:tcPr>
          <w:p>
            <w:pPr>
              <w:pStyle w:val="TableContents"/>
              <w:spacing w:lineRule="auto" w:line="300" w:before="0" w:after="0"/>
              <w:ind w:left="0" w:right="0" w:hanging="0"/>
              <w:jc w:val="left"/>
              <w:rPr/>
            </w:pPr>
            <w:r>
              <w:rPr>
                <w:rStyle w:val="StrongEmphasis"/>
                <w:rFonts w:ascii="Times New Roman" w:hAnsi="Times New Roman"/>
                <w:sz w:val="20"/>
              </w:rPr>
              <w:t>Item 1:</w:t>
            </w:r>
          </w:p>
        </w:tc>
        <w:tc>
          <w:tcPr>
            <w:tcW w:w="7962" w:type="dxa"/>
            <w:tcBorders/>
            <w:shd w:fill="CCFFCC" w:val="clear"/>
            <w:tcMar>
              <w:bottom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Financial Statements</w:t>
            </w:r>
          </w:p>
        </w:tc>
        <w:tc>
          <w:tcPr>
            <w:tcW w:w="1020" w:type="dxa"/>
            <w:tcBorders/>
            <w:shd w:fill="CCFFCC" w:val="clear"/>
            <w:tcMar>
              <w:bottom w:w="0" w:type="dxa"/>
            </w:tcMar>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 – 16</w:t>
            </w:r>
          </w:p>
        </w:tc>
      </w:tr>
      <w:tr>
        <w:trPr/>
        <w:tc>
          <w:tcPr>
            <w:tcW w:w="1223" w:type="dxa"/>
            <w:tcBorders/>
            <w:shd w:fill="FFFFFF" w:val="clear"/>
            <w:tcMar>
              <w:bottom w:w="0" w:type="dxa"/>
            </w:tcMar>
          </w:tcPr>
          <w:p>
            <w:pPr>
              <w:pStyle w:val="TableContents"/>
              <w:spacing w:before="0" w:after="283"/>
              <w:jc w:val="left"/>
              <w:rPr/>
            </w:pPr>
            <w:r>
              <w:rPr/>
              <w:t> </w:t>
            </w:r>
          </w:p>
        </w:tc>
        <w:tc>
          <w:tcPr>
            <w:tcW w:w="7962" w:type="dxa"/>
            <w:tcBorders/>
            <w:shd w:fill="FFFFFF" w:val="clear"/>
            <w:tcMar>
              <w:bottom w:w="0" w:type="dxa"/>
            </w:tcMar>
          </w:tcPr>
          <w:p>
            <w:pPr>
              <w:pStyle w:val="TableContents"/>
              <w:spacing w:before="0" w:after="283"/>
              <w:jc w:val="left"/>
              <w:rPr/>
            </w:pPr>
            <w:r>
              <w:rPr/>
              <w:t> </w:t>
            </w:r>
          </w:p>
        </w:tc>
        <w:tc>
          <w:tcPr>
            <w:tcW w:w="1020" w:type="dxa"/>
            <w:tcBorders/>
            <w:shd w:fill="FFFFFF" w:val="clear"/>
            <w:tcMar>
              <w:bottom w:w="0" w:type="dxa"/>
            </w:tcMar>
          </w:tcPr>
          <w:p>
            <w:pPr>
              <w:pStyle w:val="TableContents"/>
              <w:spacing w:before="0" w:after="283"/>
              <w:jc w:val="left"/>
              <w:rPr/>
            </w:pPr>
            <w:r>
              <w:rPr/>
              <w:t> </w:t>
            </w:r>
          </w:p>
        </w:tc>
      </w:tr>
      <w:tr>
        <w:trPr/>
        <w:tc>
          <w:tcPr>
            <w:tcW w:w="1223" w:type="dxa"/>
            <w:tcBorders/>
            <w:shd w:fill="CCFFCC" w:val="clear"/>
            <w:tcMar>
              <w:bottom w:w="0" w:type="dxa"/>
            </w:tcMar>
          </w:tcPr>
          <w:p>
            <w:pPr>
              <w:pStyle w:val="TableContents"/>
              <w:spacing w:lineRule="auto" w:line="300" w:before="0" w:after="0"/>
              <w:ind w:left="0" w:right="0" w:hanging="0"/>
              <w:jc w:val="left"/>
              <w:rPr/>
            </w:pPr>
            <w:r>
              <w:rPr>
                <w:rStyle w:val="StrongEmphasis"/>
                <w:rFonts w:ascii="Times New Roman" w:hAnsi="Times New Roman"/>
                <w:sz w:val="20"/>
              </w:rPr>
              <w:t>Item 2:</w:t>
            </w:r>
          </w:p>
        </w:tc>
        <w:tc>
          <w:tcPr>
            <w:tcW w:w="7962" w:type="dxa"/>
            <w:tcBorders/>
            <w:shd w:fill="CCFFCC" w:val="clear"/>
            <w:tcMar>
              <w:bottom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Management’s Discussion and Analysis of Financial Condition and Results Of Operations</w:t>
            </w:r>
          </w:p>
        </w:tc>
        <w:tc>
          <w:tcPr>
            <w:tcW w:w="1020" w:type="dxa"/>
            <w:tcBorders/>
            <w:shd w:fill="CCFFCC" w:val="clear"/>
            <w:tcMar>
              <w:bottom w:w="0" w:type="dxa"/>
            </w:tcMar>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17 - 23</w:t>
            </w:r>
          </w:p>
        </w:tc>
      </w:tr>
      <w:tr>
        <w:trPr/>
        <w:tc>
          <w:tcPr>
            <w:tcW w:w="1223" w:type="dxa"/>
            <w:tcBorders/>
            <w:shd w:fill="FFFFFF" w:val="clear"/>
            <w:tcMar>
              <w:bottom w:w="0" w:type="dxa"/>
            </w:tcMar>
          </w:tcPr>
          <w:p>
            <w:pPr>
              <w:pStyle w:val="TableContents"/>
              <w:spacing w:before="0" w:after="283"/>
              <w:jc w:val="left"/>
              <w:rPr/>
            </w:pPr>
            <w:r>
              <w:rPr/>
              <w:t> </w:t>
            </w:r>
          </w:p>
        </w:tc>
        <w:tc>
          <w:tcPr>
            <w:tcW w:w="7962" w:type="dxa"/>
            <w:tcBorders/>
            <w:shd w:fill="FFFFFF" w:val="clear"/>
            <w:tcMar>
              <w:bottom w:w="0" w:type="dxa"/>
            </w:tcMar>
          </w:tcPr>
          <w:p>
            <w:pPr>
              <w:pStyle w:val="TableContents"/>
              <w:spacing w:before="0" w:after="283"/>
              <w:jc w:val="left"/>
              <w:rPr/>
            </w:pPr>
            <w:r>
              <w:rPr/>
              <w:t> </w:t>
            </w:r>
          </w:p>
        </w:tc>
        <w:tc>
          <w:tcPr>
            <w:tcW w:w="1020" w:type="dxa"/>
            <w:tcBorders/>
            <w:shd w:fill="FFFFFF" w:val="clear"/>
            <w:tcMar>
              <w:bottom w:w="0" w:type="dxa"/>
            </w:tcMar>
          </w:tcPr>
          <w:p>
            <w:pPr>
              <w:pStyle w:val="TableContents"/>
              <w:spacing w:before="0" w:after="283"/>
              <w:jc w:val="left"/>
              <w:rPr/>
            </w:pPr>
            <w:r>
              <w:rPr/>
              <w:t> </w:t>
            </w:r>
          </w:p>
        </w:tc>
      </w:tr>
      <w:tr>
        <w:trPr/>
        <w:tc>
          <w:tcPr>
            <w:tcW w:w="1223" w:type="dxa"/>
            <w:tcBorders/>
            <w:shd w:fill="CCFFCC" w:val="clear"/>
            <w:tcMar>
              <w:bottom w:w="0" w:type="dxa"/>
            </w:tcMar>
          </w:tcPr>
          <w:p>
            <w:pPr>
              <w:pStyle w:val="TableContents"/>
              <w:spacing w:lineRule="auto" w:line="300" w:before="0" w:after="0"/>
              <w:ind w:left="0" w:right="0" w:hanging="0"/>
              <w:jc w:val="left"/>
              <w:rPr/>
            </w:pPr>
            <w:r>
              <w:rPr>
                <w:rStyle w:val="StrongEmphasis"/>
                <w:rFonts w:ascii="Times New Roman" w:hAnsi="Times New Roman"/>
                <w:sz w:val="20"/>
              </w:rPr>
              <w:t>Item 3:</w:t>
            </w:r>
          </w:p>
        </w:tc>
        <w:tc>
          <w:tcPr>
            <w:tcW w:w="7962" w:type="dxa"/>
            <w:tcBorders/>
            <w:shd w:fill="CCFFCC" w:val="clear"/>
            <w:tcMar>
              <w:bottom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Quantitative and Qualitative Disclosures About Market Risk</w:t>
            </w:r>
          </w:p>
        </w:tc>
        <w:tc>
          <w:tcPr>
            <w:tcW w:w="1020" w:type="dxa"/>
            <w:tcBorders/>
            <w:shd w:fill="CCFFCC" w:val="clear"/>
            <w:tcMar>
              <w:bottom w:w="0" w:type="dxa"/>
            </w:tcMar>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24</w:t>
            </w:r>
          </w:p>
        </w:tc>
      </w:tr>
      <w:tr>
        <w:trPr/>
        <w:tc>
          <w:tcPr>
            <w:tcW w:w="1223" w:type="dxa"/>
            <w:tcBorders/>
            <w:shd w:fill="FFFFFF" w:val="clear"/>
            <w:tcMar>
              <w:bottom w:w="0" w:type="dxa"/>
            </w:tcMar>
          </w:tcPr>
          <w:p>
            <w:pPr>
              <w:pStyle w:val="TableContents"/>
              <w:spacing w:before="0" w:after="283"/>
              <w:jc w:val="left"/>
              <w:rPr/>
            </w:pPr>
            <w:r>
              <w:rPr/>
              <w:t> </w:t>
            </w:r>
          </w:p>
        </w:tc>
        <w:tc>
          <w:tcPr>
            <w:tcW w:w="7962" w:type="dxa"/>
            <w:tcBorders/>
            <w:shd w:fill="FFFFFF" w:val="clear"/>
            <w:tcMar>
              <w:bottom w:w="0" w:type="dxa"/>
            </w:tcMar>
          </w:tcPr>
          <w:p>
            <w:pPr>
              <w:pStyle w:val="TableContents"/>
              <w:spacing w:before="0" w:after="283"/>
              <w:jc w:val="left"/>
              <w:rPr/>
            </w:pPr>
            <w:r>
              <w:rPr/>
              <w:t> </w:t>
            </w:r>
          </w:p>
        </w:tc>
        <w:tc>
          <w:tcPr>
            <w:tcW w:w="1020" w:type="dxa"/>
            <w:tcBorders/>
            <w:shd w:fill="FFFFFF" w:val="clear"/>
            <w:tcMar>
              <w:bottom w:w="0" w:type="dxa"/>
            </w:tcMar>
          </w:tcPr>
          <w:p>
            <w:pPr>
              <w:pStyle w:val="TableContents"/>
              <w:spacing w:before="0" w:after="283"/>
              <w:jc w:val="left"/>
              <w:rPr/>
            </w:pPr>
            <w:r>
              <w:rPr/>
              <w:t> </w:t>
            </w:r>
          </w:p>
        </w:tc>
      </w:tr>
      <w:tr>
        <w:trPr/>
        <w:tc>
          <w:tcPr>
            <w:tcW w:w="1223" w:type="dxa"/>
            <w:tcBorders/>
            <w:shd w:fill="CCFFCC" w:val="clear"/>
            <w:tcMar>
              <w:bottom w:w="0" w:type="dxa"/>
            </w:tcMar>
          </w:tcPr>
          <w:p>
            <w:pPr>
              <w:pStyle w:val="TableContents"/>
              <w:spacing w:lineRule="auto" w:line="300" w:before="0" w:after="0"/>
              <w:ind w:left="0" w:right="0" w:hanging="0"/>
              <w:jc w:val="left"/>
              <w:rPr/>
            </w:pPr>
            <w:r>
              <w:rPr>
                <w:rStyle w:val="StrongEmphasis"/>
                <w:rFonts w:ascii="Times New Roman" w:hAnsi="Times New Roman"/>
                <w:sz w:val="20"/>
              </w:rPr>
              <w:t>Item 4:</w:t>
            </w:r>
          </w:p>
        </w:tc>
        <w:tc>
          <w:tcPr>
            <w:tcW w:w="7962" w:type="dxa"/>
            <w:tcBorders/>
            <w:shd w:fill="CCFFCC" w:val="clear"/>
            <w:tcMar>
              <w:bottom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Controls and Procedures</w:t>
            </w:r>
          </w:p>
        </w:tc>
        <w:tc>
          <w:tcPr>
            <w:tcW w:w="1020" w:type="dxa"/>
            <w:tcBorders/>
            <w:shd w:fill="CCFFCC" w:val="clear"/>
            <w:tcMar>
              <w:bottom w:w="0" w:type="dxa"/>
            </w:tcMar>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25</w:t>
            </w:r>
          </w:p>
        </w:tc>
      </w:tr>
      <w:tr>
        <w:trPr/>
        <w:tc>
          <w:tcPr>
            <w:tcW w:w="1223" w:type="dxa"/>
            <w:tcBorders/>
            <w:shd w:fill="FFFFFF" w:val="clear"/>
            <w:tcMar>
              <w:bottom w:w="0" w:type="dxa"/>
            </w:tcMar>
          </w:tcPr>
          <w:p>
            <w:pPr>
              <w:pStyle w:val="TableContents"/>
              <w:spacing w:before="0" w:after="283"/>
              <w:jc w:val="left"/>
              <w:rPr/>
            </w:pPr>
            <w:r>
              <w:rPr/>
              <w:t> </w:t>
            </w:r>
          </w:p>
        </w:tc>
        <w:tc>
          <w:tcPr>
            <w:tcW w:w="7962" w:type="dxa"/>
            <w:tcBorders/>
            <w:shd w:fill="FFFFFF" w:val="clear"/>
            <w:tcMar>
              <w:bottom w:w="0" w:type="dxa"/>
            </w:tcMar>
          </w:tcPr>
          <w:p>
            <w:pPr>
              <w:pStyle w:val="TableContents"/>
              <w:spacing w:before="0" w:after="283"/>
              <w:jc w:val="left"/>
              <w:rPr/>
            </w:pPr>
            <w:r>
              <w:rPr/>
              <w:t> </w:t>
            </w:r>
          </w:p>
        </w:tc>
        <w:tc>
          <w:tcPr>
            <w:tcW w:w="1020" w:type="dxa"/>
            <w:tcBorders/>
            <w:shd w:fill="FFFFFF" w:val="clear"/>
            <w:tcMar>
              <w:bottom w:w="0" w:type="dxa"/>
            </w:tcMar>
          </w:tcPr>
          <w:p>
            <w:pPr>
              <w:pStyle w:val="TableContents"/>
              <w:spacing w:before="0" w:after="283"/>
              <w:jc w:val="left"/>
              <w:rPr/>
            </w:pPr>
            <w:r>
              <w:rPr/>
              <w:t> </w:t>
            </w:r>
          </w:p>
        </w:tc>
      </w:tr>
      <w:tr>
        <w:trPr/>
        <w:tc>
          <w:tcPr>
            <w:tcW w:w="1223" w:type="dxa"/>
            <w:tcBorders/>
            <w:shd w:fill="CCFFCC" w:val="clear"/>
            <w:tcMar>
              <w:bottom w:w="0" w:type="dxa"/>
            </w:tcMar>
          </w:tcPr>
          <w:p>
            <w:pPr>
              <w:pStyle w:val="TableContents"/>
              <w:spacing w:before="0" w:after="283"/>
              <w:jc w:val="left"/>
              <w:rPr/>
            </w:pPr>
            <w:r>
              <w:rPr/>
              <w:t> </w:t>
            </w:r>
          </w:p>
        </w:tc>
        <w:tc>
          <w:tcPr>
            <w:tcW w:w="7962" w:type="dxa"/>
            <w:tcBorders/>
            <w:shd w:fill="CCFFCC" w:val="clear"/>
            <w:tcMar>
              <w:bottom w:w="0" w:type="dxa"/>
            </w:tcMar>
          </w:tcPr>
          <w:p>
            <w:pPr>
              <w:pStyle w:val="TableContents"/>
              <w:spacing w:lineRule="auto" w:line="300" w:before="0" w:after="0"/>
              <w:ind w:left="0" w:right="0" w:hanging="0"/>
              <w:jc w:val="center"/>
              <w:rPr/>
            </w:pPr>
            <w:r>
              <w:rPr>
                <w:rStyle w:val="StrongEmphasis"/>
                <w:rFonts w:ascii="Times New Roman" w:hAnsi="Times New Roman"/>
                <w:sz w:val="20"/>
              </w:rPr>
              <w:t>PART II – OTHER INFORMATION</w:t>
            </w:r>
          </w:p>
        </w:tc>
        <w:tc>
          <w:tcPr>
            <w:tcW w:w="1020" w:type="dxa"/>
            <w:tcBorders/>
            <w:shd w:fill="CCFFCC" w:val="clear"/>
            <w:tcMar>
              <w:bottom w:w="0" w:type="dxa"/>
            </w:tcMar>
          </w:tcPr>
          <w:p>
            <w:pPr>
              <w:pStyle w:val="TableContents"/>
              <w:spacing w:before="0" w:after="283"/>
              <w:jc w:val="left"/>
              <w:rPr/>
            </w:pPr>
            <w:r>
              <w:rPr/>
              <w:t> </w:t>
            </w:r>
          </w:p>
        </w:tc>
      </w:tr>
      <w:tr>
        <w:trPr/>
        <w:tc>
          <w:tcPr>
            <w:tcW w:w="1223" w:type="dxa"/>
            <w:tcBorders/>
            <w:shd w:fill="FFFFFF" w:val="clear"/>
            <w:tcMar>
              <w:bottom w:w="0" w:type="dxa"/>
            </w:tcMar>
          </w:tcPr>
          <w:p>
            <w:pPr>
              <w:pStyle w:val="TableContents"/>
              <w:spacing w:before="0" w:after="283"/>
              <w:jc w:val="left"/>
              <w:rPr/>
            </w:pPr>
            <w:r>
              <w:rPr/>
              <w:t> </w:t>
            </w:r>
          </w:p>
        </w:tc>
        <w:tc>
          <w:tcPr>
            <w:tcW w:w="7962" w:type="dxa"/>
            <w:tcBorders/>
            <w:shd w:fill="FFFFFF" w:val="clear"/>
            <w:tcMar>
              <w:bottom w:w="0" w:type="dxa"/>
            </w:tcMar>
          </w:tcPr>
          <w:p>
            <w:pPr>
              <w:pStyle w:val="TableContents"/>
              <w:spacing w:before="0" w:after="283"/>
              <w:jc w:val="left"/>
              <w:rPr/>
            </w:pPr>
            <w:r>
              <w:rPr/>
              <w:t> </w:t>
            </w:r>
          </w:p>
        </w:tc>
        <w:tc>
          <w:tcPr>
            <w:tcW w:w="1020" w:type="dxa"/>
            <w:tcBorders/>
            <w:shd w:fill="FFFFFF" w:val="clear"/>
            <w:tcMar>
              <w:bottom w:w="0" w:type="dxa"/>
            </w:tcMar>
          </w:tcPr>
          <w:p>
            <w:pPr>
              <w:pStyle w:val="TableContents"/>
              <w:spacing w:before="0" w:after="283"/>
              <w:jc w:val="left"/>
              <w:rPr/>
            </w:pPr>
            <w:r>
              <w:rPr/>
              <w:t> </w:t>
            </w:r>
          </w:p>
        </w:tc>
      </w:tr>
      <w:tr>
        <w:trPr/>
        <w:tc>
          <w:tcPr>
            <w:tcW w:w="1223" w:type="dxa"/>
            <w:tcBorders/>
            <w:shd w:fill="CCFFCC" w:val="clear"/>
            <w:tcMar>
              <w:bottom w:w="0" w:type="dxa"/>
            </w:tcMar>
          </w:tcPr>
          <w:p>
            <w:pPr>
              <w:pStyle w:val="TableContents"/>
              <w:spacing w:lineRule="auto" w:line="300" w:before="0" w:after="0"/>
              <w:ind w:left="0" w:right="0" w:hanging="0"/>
              <w:jc w:val="left"/>
              <w:rPr/>
            </w:pPr>
            <w:r>
              <w:rPr>
                <w:rStyle w:val="StrongEmphasis"/>
                <w:rFonts w:ascii="Times New Roman" w:hAnsi="Times New Roman"/>
                <w:sz w:val="20"/>
              </w:rPr>
              <w:t>Item 1A:</w:t>
            </w:r>
          </w:p>
        </w:tc>
        <w:tc>
          <w:tcPr>
            <w:tcW w:w="7962" w:type="dxa"/>
            <w:tcBorders/>
            <w:shd w:fill="CCFFCC" w:val="clear"/>
            <w:tcMar>
              <w:bottom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Risk Factors</w:t>
            </w:r>
          </w:p>
        </w:tc>
        <w:tc>
          <w:tcPr>
            <w:tcW w:w="1020" w:type="dxa"/>
            <w:tcBorders/>
            <w:shd w:fill="CCFFCC" w:val="clear"/>
            <w:tcMar>
              <w:bottom w:w="0" w:type="dxa"/>
            </w:tcMar>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26</w:t>
            </w:r>
          </w:p>
        </w:tc>
      </w:tr>
      <w:tr>
        <w:trPr/>
        <w:tc>
          <w:tcPr>
            <w:tcW w:w="1223" w:type="dxa"/>
            <w:tcBorders/>
            <w:shd w:fill="FFFFFF" w:val="clear"/>
            <w:tcMar>
              <w:bottom w:w="0" w:type="dxa"/>
            </w:tcMar>
          </w:tcPr>
          <w:p>
            <w:pPr>
              <w:pStyle w:val="TableContents"/>
              <w:spacing w:before="0" w:after="283"/>
              <w:jc w:val="left"/>
              <w:rPr/>
            </w:pPr>
            <w:r>
              <w:rPr/>
              <w:t> </w:t>
            </w:r>
          </w:p>
        </w:tc>
        <w:tc>
          <w:tcPr>
            <w:tcW w:w="7962" w:type="dxa"/>
            <w:tcBorders/>
            <w:shd w:fill="FFFFFF" w:val="clear"/>
            <w:tcMar>
              <w:bottom w:w="0" w:type="dxa"/>
            </w:tcMar>
          </w:tcPr>
          <w:p>
            <w:pPr>
              <w:pStyle w:val="TableContents"/>
              <w:spacing w:before="0" w:after="283"/>
              <w:jc w:val="left"/>
              <w:rPr/>
            </w:pPr>
            <w:r>
              <w:rPr/>
              <w:t> </w:t>
            </w:r>
          </w:p>
        </w:tc>
        <w:tc>
          <w:tcPr>
            <w:tcW w:w="1020" w:type="dxa"/>
            <w:tcBorders/>
            <w:shd w:fill="FFFFFF" w:val="clear"/>
            <w:tcMar>
              <w:bottom w:w="0" w:type="dxa"/>
            </w:tcMar>
          </w:tcPr>
          <w:p>
            <w:pPr>
              <w:pStyle w:val="TableContents"/>
              <w:spacing w:before="0" w:after="283"/>
              <w:jc w:val="left"/>
              <w:rPr/>
            </w:pPr>
            <w:r>
              <w:rPr/>
              <w:t> </w:t>
            </w:r>
          </w:p>
        </w:tc>
      </w:tr>
      <w:tr>
        <w:trPr/>
        <w:tc>
          <w:tcPr>
            <w:tcW w:w="1223" w:type="dxa"/>
            <w:tcBorders/>
            <w:shd w:fill="CCFFCC" w:val="clear"/>
            <w:tcMar>
              <w:bottom w:w="0" w:type="dxa"/>
            </w:tcMar>
          </w:tcPr>
          <w:p>
            <w:pPr>
              <w:pStyle w:val="TableContents"/>
              <w:spacing w:lineRule="auto" w:line="300" w:before="0" w:after="0"/>
              <w:ind w:left="0" w:right="0" w:hanging="0"/>
              <w:jc w:val="left"/>
              <w:rPr/>
            </w:pPr>
            <w:r>
              <w:rPr>
                <w:rStyle w:val="StrongEmphasis"/>
                <w:rFonts w:ascii="Times New Roman" w:hAnsi="Times New Roman"/>
                <w:sz w:val="20"/>
              </w:rPr>
              <w:t>Item 4:</w:t>
            </w:r>
          </w:p>
        </w:tc>
        <w:tc>
          <w:tcPr>
            <w:tcW w:w="7962" w:type="dxa"/>
            <w:tcBorders/>
            <w:shd w:fill="CCFFCC" w:val="clear"/>
            <w:tcMar>
              <w:bottom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Submission of Matters to a Vote of Security Holders</w:t>
            </w:r>
          </w:p>
        </w:tc>
        <w:tc>
          <w:tcPr>
            <w:tcW w:w="1020" w:type="dxa"/>
            <w:tcBorders/>
            <w:shd w:fill="CCFFCC" w:val="clear"/>
            <w:tcMar>
              <w:bottom w:w="0" w:type="dxa"/>
            </w:tcMar>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26</w:t>
            </w:r>
          </w:p>
        </w:tc>
      </w:tr>
      <w:tr>
        <w:trPr/>
        <w:tc>
          <w:tcPr>
            <w:tcW w:w="1223" w:type="dxa"/>
            <w:tcBorders/>
            <w:shd w:fill="FFFFFF" w:val="clear"/>
            <w:tcMar>
              <w:bottom w:w="0" w:type="dxa"/>
            </w:tcMar>
          </w:tcPr>
          <w:p>
            <w:pPr>
              <w:pStyle w:val="TableContents"/>
              <w:spacing w:before="0" w:after="283"/>
              <w:jc w:val="left"/>
              <w:rPr/>
            </w:pPr>
            <w:r>
              <w:rPr/>
              <w:t> </w:t>
            </w:r>
          </w:p>
        </w:tc>
        <w:tc>
          <w:tcPr>
            <w:tcW w:w="7962" w:type="dxa"/>
            <w:tcBorders/>
            <w:shd w:fill="FFFFFF" w:val="clear"/>
            <w:tcMar>
              <w:bottom w:w="0" w:type="dxa"/>
            </w:tcMar>
          </w:tcPr>
          <w:p>
            <w:pPr>
              <w:pStyle w:val="TableContents"/>
              <w:spacing w:before="0" w:after="283"/>
              <w:jc w:val="left"/>
              <w:rPr/>
            </w:pPr>
            <w:r>
              <w:rPr/>
              <w:t> </w:t>
            </w:r>
          </w:p>
        </w:tc>
        <w:tc>
          <w:tcPr>
            <w:tcW w:w="1020" w:type="dxa"/>
            <w:tcBorders/>
            <w:shd w:fill="FFFFFF" w:val="clear"/>
            <w:tcMar>
              <w:bottom w:w="0" w:type="dxa"/>
            </w:tcMar>
          </w:tcPr>
          <w:p>
            <w:pPr>
              <w:pStyle w:val="TableContents"/>
              <w:spacing w:before="0" w:after="283"/>
              <w:jc w:val="left"/>
              <w:rPr/>
            </w:pPr>
            <w:r>
              <w:rPr/>
              <w:t> </w:t>
            </w:r>
          </w:p>
        </w:tc>
      </w:tr>
      <w:tr>
        <w:trPr/>
        <w:tc>
          <w:tcPr>
            <w:tcW w:w="1223" w:type="dxa"/>
            <w:tcBorders/>
            <w:shd w:fill="CCFFCC" w:val="clear"/>
            <w:tcMar>
              <w:bottom w:w="0" w:type="dxa"/>
            </w:tcMar>
          </w:tcPr>
          <w:p>
            <w:pPr>
              <w:pStyle w:val="TableContents"/>
              <w:spacing w:lineRule="auto" w:line="300" w:before="0" w:after="0"/>
              <w:ind w:left="0" w:right="0" w:hanging="0"/>
              <w:jc w:val="left"/>
              <w:rPr/>
            </w:pPr>
            <w:r>
              <w:rPr>
                <w:rStyle w:val="StrongEmphasis"/>
                <w:rFonts w:ascii="Times New Roman" w:hAnsi="Times New Roman"/>
                <w:sz w:val="20"/>
              </w:rPr>
              <w:t>Item 6:</w:t>
            </w:r>
          </w:p>
        </w:tc>
        <w:tc>
          <w:tcPr>
            <w:tcW w:w="7962" w:type="dxa"/>
            <w:tcBorders/>
            <w:shd w:fill="CCFFCC" w:val="clear"/>
            <w:tcMar>
              <w:bottom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Exhibits</w:t>
            </w:r>
          </w:p>
        </w:tc>
        <w:tc>
          <w:tcPr>
            <w:tcW w:w="1020" w:type="dxa"/>
            <w:tcBorders/>
            <w:shd w:fill="CCFFCC" w:val="clear"/>
            <w:tcMar>
              <w:bottom w:w="0" w:type="dxa"/>
            </w:tcMar>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27</w:t>
            </w:r>
          </w:p>
        </w:tc>
      </w:tr>
      <w:tr>
        <w:trPr/>
        <w:tc>
          <w:tcPr>
            <w:tcW w:w="1223" w:type="dxa"/>
            <w:tcBorders/>
            <w:shd w:fill="FFFFFF" w:val="clear"/>
            <w:tcMar>
              <w:bottom w:w="0" w:type="dxa"/>
            </w:tcMar>
          </w:tcPr>
          <w:p>
            <w:pPr>
              <w:pStyle w:val="TableContents"/>
              <w:spacing w:before="0" w:after="283"/>
              <w:jc w:val="left"/>
              <w:rPr/>
            </w:pPr>
            <w:r>
              <w:rPr/>
              <w:t> </w:t>
            </w:r>
          </w:p>
        </w:tc>
        <w:tc>
          <w:tcPr>
            <w:tcW w:w="7962" w:type="dxa"/>
            <w:tcBorders/>
            <w:shd w:fill="FFFFFF" w:val="clear"/>
            <w:tcMar>
              <w:bottom w:w="0" w:type="dxa"/>
            </w:tcMar>
          </w:tcPr>
          <w:p>
            <w:pPr>
              <w:pStyle w:val="TableContents"/>
              <w:spacing w:before="0" w:after="283"/>
              <w:jc w:val="left"/>
              <w:rPr/>
            </w:pPr>
            <w:r>
              <w:rPr/>
              <w:t> </w:t>
            </w:r>
          </w:p>
        </w:tc>
        <w:tc>
          <w:tcPr>
            <w:tcW w:w="1020" w:type="dxa"/>
            <w:tcBorders/>
            <w:shd w:fill="FFFFFF" w:val="clear"/>
            <w:tcMar>
              <w:bottom w:w="0" w:type="dxa"/>
            </w:tcMar>
          </w:tcPr>
          <w:p>
            <w:pPr>
              <w:pStyle w:val="TableContents"/>
              <w:spacing w:before="0" w:after="283"/>
              <w:jc w:val="left"/>
              <w:rPr/>
            </w:pPr>
            <w:r>
              <w:rPr/>
              <w:t> </w:t>
            </w:r>
          </w:p>
        </w:tc>
      </w:tr>
      <w:tr>
        <w:trPr/>
        <w:tc>
          <w:tcPr>
            <w:tcW w:w="1223" w:type="dxa"/>
            <w:tcBorders/>
            <w:shd w:fill="CCFFCC" w:val="clear"/>
            <w:tcMar>
              <w:bottom w:w="0" w:type="dxa"/>
            </w:tcMar>
          </w:tcPr>
          <w:p>
            <w:pPr>
              <w:pStyle w:val="TableContents"/>
              <w:spacing w:lineRule="auto" w:line="300" w:before="0" w:after="0"/>
              <w:ind w:left="0" w:right="0" w:hanging="0"/>
              <w:jc w:val="left"/>
              <w:rPr/>
            </w:pPr>
            <w:r>
              <w:rPr>
                <w:rStyle w:val="StrongEmphasis"/>
                <w:rFonts w:ascii="Times New Roman" w:hAnsi="Times New Roman"/>
                <w:sz w:val="20"/>
              </w:rPr>
              <w:t>Signatures</w:t>
            </w:r>
          </w:p>
        </w:tc>
        <w:tc>
          <w:tcPr>
            <w:tcW w:w="7962" w:type="dxa"/>
            <w:tcBorders/>
            <w:shd w:fill="CCFFCC" w:val="clear"/>
            <w:tcMar>
              <w:bottom w:w="0" w:type="dxa"/>
            </w:tcMar>
          </w:tcPr>
          <w:p>
            <w:pPr>
              <w:pStyle w:val="TableContents"/>
              <w:spacing w:before="0" w:after="283"/>
              <w:jc w:val="left"/>
              <w:rPr/>
            </w:pPr>
            <w:r>
              <w:rPr/>
              <w:t> </w:t>
            </w:r>
          </w:p>
        </w:tc>
        <w:tc>
          <w:tcPr>
            <w:tcW w:w="1020" w:type="dxa"/>
            <w:tcBorders/>
            <w:shd w:fill="CCFFCC" w:val="clear"/>
            <w:tcMar>
              <w:bottom w:w="0" w:type="dxa"/>
            </w:tcMar>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28</w:t>
            </w:r>
          </w:p>
        </w:tc>
      </w:tr>
      <w:tr>
        <w:trPr/>
        <w:tc>
          <w:tcPr>
            <w:tcW w:w="1223" w:type="dxa"/>
            <w:tcBorders/>
            <w:shd w:fill="FFFFFF" w:val="clear"/>
            <w:tcMar>
              <w:bottom w:w="0" w:type="dxa"/>
            </w:tcMar>
          </w:tcPr>
          <w:p>
            <w:pPr>
              <w:pStyle w:val="TableContents"/>
              <w:spacing w:before="0" w:after="283"/>
              <w:jc w:val="left"/>
              <w:rPr/>
            </w:pPr>
            <w:r>
              <w:rPr/>
              <w:t> </w:t>
            </w:r>
          </w:p>
        </w:tc>
        <w:tc>
          <w:tcPr>
            <w:tcW w:w="7962" w:type="dxa"/>
            <w:tcBorders/>
            <w:shd w:fill="FFFFFF" w:val="clear"/>
            <w:tcMar>
              <w:bottom w:w="0" w:type="dxa"/>
            </w:tcMar>
          </w:tcPr>
          <w:p>
            <w:pPr>
              <w:pStyle w:val="TableContents"/>
              <w:spacing w:before="0" w:after="283"/>
              <w:jc w:val="left"/>
              <w:rPr/>
            </w:pPr>
            <w:r>
              <w:rPr/>
              <w:t> </w:t>
            </w:r>
          </w:p>
        </w:tc>
        <w:tc>
          <w:tcPr>
            <w:tcW w:w="1020" w:type="dxa"/>
            <w:tcBorders/>
            <w:shd w:fill="FFFFFF" w:val="clear"/>
            <w:tcMar>
              <w:bottom w:w="0" w:type="dxa"/>
            </w:tcMar>
          </w:tcPr>
          <w:p>
            <w:pPr>
              <w:pStyle w:val="TableContents"/>
              <w:spacing w:before="0" w:after="283"/>
              <w:jc w:val="left"/>
              <w:rPr/>
            </w:pPr>
            <w:r>
              <w:rPr/>
              <w:t> </w:t>
            </w:r>
          </w:p>
        </w:tc>
      </w:tr>
      <w:tr>
        <w:trPr/>
        <w:tc>
          <w:tcPr>
            <w:tcW w:w="1223" w:type="dxa"/>
            <w:tcBorders/>
            <w:shd w:fill="CCFFCC" w:val="clear"/>
            <w:tcMar>
              <w:bottom w:w="0" w:type="dxa"/>
            </w:tcMar>
          </w:tcPr>
          <w:p>
            <w:pPr>
              <w:pStyle w:val="TableContents"/>
              <w:spacing w:lineRule="auto" w:line="300" w:before="0" w:after="0"/>
              <w:ind w:left="0" w:right="0" w:hanging="0"/>
              <w:jc w:val="left"/>
              <w:rPr/>
            </w:pPr>
            <w:r>
              <w:rPr>
                <w:rStyle w:val="StrongEmphasis"/>
                <w:rFonts w:ascii="Times New Roman" w:hAnsi="Times New Roman"/>
                <w:sz w:val="20"/>
              </w:rPr>
              <w:t>Exhibits</w:t>
            </w:r>
          </w:p>
        </w:tc>
        <w:tc>
          <w:tcPr>
            <w:tcW w:w="7962" w:type="dxa"/>
            <w:tcBorders/>
            <w:shd w:fill="CCFFCC" w:val="clear"/>
            <w:tcMar>
              <w:bottom w:w="0" w:type="dxa"/>
            </w:tcMar>
          </w:tcPr>
          <w:p>
            <w:pPr>
              <w:pStyle w:val="TableContents"/>
              <w:spacing w:before="0" w:after="283"/>
              <w:jc w:val="left"/>
              <w:rPr/>
            </w:pPr>
            <w:r>
              <w:rPr/>
              <w:t> </w:t>
            </w:r>
          </w:p>
        </w:tc>
        <w:tc>
          <w:tcPr>
            <w:tcW w:w="1020" w:type="dxa"/>
            <w:tcBorders/>
            <w:shd w:fill="CCFFCC" w:val="clear"/>
            <w:tcMar>
              <w:bottom w:w="0" w:type="dxa"/>
            </w:tcMar>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29</w:t>
            </w:r>
          </w:p>
        </w:tc>
      </w:tr>
    </w:tbl>
    <w:p>
      <w:pPr>
        <w:pStyle w:val="TextBody"/>
        <w:spacing w:lineRule="auto" w:line="300" w:before="0" w:after="0"/>
        <w:ind w:left="0" w:right="0" w:firstLine="720"/>
        <w:jc w:val="center"/>
        <w:rPr/>
      </w:pPr>
      <w:r>
        <w:rPr/>
      </w:r>
    </w:p>
    <w:p>
      <w:pPr>
        <w:pStyle w:val="TextBody"/>
        <w:spacing w:lineRule="auto" w:line="300" w:before="0" w:after="0"/>
        <w:ind w:left="0" w:right="0" w:firstLine="720"/>
        <w:jc w:val="center"/>
        <w:rPr/>
      </w:pPr>
      <w:r>
        <w:rPr>
          <w:rStyle w:val="StrongEmphasis"/>
          <w:rFonts w:ascii="Times New Roman" w:hAnsi="Times New Roman"/>
          <w:sz w:val="20"/>
        </w:rPr>
        <w:t>FORWARD-LOOKING STATEMENTS</w:t>
      </w:r>
    </w:p>
    <w:p>
      <w:pPr>
        <w:pStyle w:val="TextBody"/>
        <w:spacing w:lineRule="auto" w:line="300" w:before="0" w:after="0"/>
        <w:ind w:left="0" w:right="0" w:hanging="0"/>
        <w:jc w:val="both"/>
        <w:rPr/>
      </w:pPr>
      <w:r>
        <w:rPr/>
      </w:r>
    </w:p>
    <w:p>
      <w:pPr>
        <w:pStyle w:val="TextBody"/>
        <w:spacing w:lineRule="auto" w:line="300" w:before="0" w:after="0"/>
        <w:ind w:left="900" w:right="0" w:hanging="0"/>
        <w:jc w:val="both"/>
        <w:rPr>
          <w:rFonts w:ascii="Times New Roman" w:hAnsi="Times New Roman"/>
          <w:sz w:val="20"/>
        </w:rPr>
      </w:pPr>
      <w:bookmarkStart w:id="3" w:name="TAB1"/>
      <w:bookmarkEnd w:id="3"/>
      <w:r>
        <w:rPr>
          <w:rFonts w:ascii="Times New Roman" w:hAnsi="Times New Roman"/>
          <w:sz w:val="20"/>
        </w:rPr>
        <w:t xml:space="preserve">Certain statements in this report, including, but not limited to, those under the heading “Management’s Discussion and Analysis of Financial Condition and Results of Operations” and those statements elsewhere in this report and other documents we file with the Commission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“believe”, “may,” “assume,” variations of such words and similar expressions are intended to identify such forward-looking statements, which are made pursuant to the safe harbor provisions of the Private Securities Litigation Reform Act of 1995. </w:t>
      </w:r>
    </w:p>
    <w:p>
      <w:pPr>
        <w:pStyle w:val="TextBody"/>
        <w:spacing w:lineRule="auto" w:line="300" w:before="0" w:after="0"/>
        <w:ind w:left="0" w:right="0" w:hanging="0"/>
        <w:jc w:val="both"/>
        <w:rPr/>
      </w:pPr>
      <w:r>
        <w:rPr/>
      </w:r>
    </w:p>
    <w:p>
      <w:pPr>
        <w:pStyle w:val="TextBody"/>
        <w:spacing w:lineRule="auto" w:line="300" w:before="0" w:after="0"/>
        <w:ind w:left="900" w:right="0" w:hanging="0"/>
        <w:jc w:val="both"/>
        <w:rPr>
          <w:rFonts w:ascii="Times New Roman" w:hAnsi="Times New Roman"/>
          <w:sz w:val="20"/>
        </w:rPr>
      </w:pPr>
      <w:bookmarkStart w:id="4" w:name="TAB11"/>
      <w:bookmarkEnd w:id="4"/>
      <w:r>
        <w:rPr>
          <w:rFonts w:ascii="Times New Roman" w:hAnsi="Times New Roman"/>
          <w:sz w:val="20"/>
        </w:rPr>
        <w:t>Such statements are subject to certain risks, uncertainties and assumptions that could cause actual results to differ materially, including those described in Item 1A, Risk Factors, of our Annual Report on Form 10-K for the fiscal year ended July 31, 2007, which risk factors are incorporated herein by reference. Should one or more of these or other risks or uncertainties materialize, or should underlying assumptions prove incorrect, actual results may vary materially from those anticipated, intended, expected, believed, estimated, projected or planned. You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pStyle w:val="TextBody"/>
        <w:spacing w:lineRule="auto" w:line="300" w:before="0" w:after="0"/>
        <w:ind w:left="900" w:right="0" w:hanging="0"/>
        <w:jc w:val="both"/>
        <w:rPr/>
      </w:pPr>
      <w:bookmarkStart w:id="5" w:name="TAB12"/>
      <w:bookmarkEnd w:id="5"/>
      <w:r>
        <w:rPr/>
        <w:t> </w:t>
      </w:r>
    </w:p>
    <w:p>
      <w:pPr>
        <w:pStyle w:val="TextBody"/>
        <w:spacing w:lineRule="auto" w:line="300" w:before="0" w:after="0"/>
        <w:ind w:left="0" w:right="0" w:firstLine="720"/>
        <w:jc w:val="center"/>
        <w:rPr/>
      </w:pPr>
      <w:r>
        <w:rPr>
          <w:rStyle w:val="StrongEmphasis"/>
          <w:rFonts w:ascii="Times New Roman" w:hAnsi="Times New Roman"/>
          <w:sz w:val="20"/>
        </w:rPr>
        <w:t>TRADEMARK NOTICE</w:t>
      </w:r>
    </w:p>
    <w:p>
      <w:pPr>
        <w:pStyle w:val="TextBody"/>
        <w:spacing w:lineRule="auto" w:line="300" w:before="0" w:after="0"/>
        <w:ind w:left="0" w:right="0" w:hanging="0"/>
        <w:jc w:val="both"/>
        <w:rPr/>
      </w:pPr>
      <w:r>
        <w:rPr/>
      </w:r>
    </w:p>
    <w:p>
      <w:pPr>
        <w:pStyle w:val="TextBody"/>
        <w:spacing w:lineRule="auto" w:line="300" w:before="0" w:after="0"/>
        <w:ind w:left="900" w:right="0" w:hanging="0"/>
        <w:jc w:val="both"/>
        <w:rPr>
          <w:rFonts w:ascii="Times New Roman" w:hAnsi="Times New Roman"/>
          <w:sz w:val="20"/>
        </w:rPr>
      </w:pPr>
      <w:bookmarkStart w:id="6" w:name="TAB13"/>
      <w:bookmarkEnd w:id="6"/>
      <w:r>
        <w:rPr>
          <w:rFonts w:ascii="Times New Roman" w:hAnsi="Times New Roman"/>
          <w:sz w:val="20"/>
        </w:rPr>
        <w:t>Oil-Dri, Agsorb, Oil-Dri All Purpose, Oil-Dri Lites, Cat’s Pride, Jonny Cat, KatKit, ConditionAde, Pure-Flo, UltraClear, Poultry Guard, Flo-Fre, Saular, Terra Green and Pro’s Choice are all registered trademarks of Oil-Dri Corporation of America or of its subsidiaries. PelUnite Plus, Perform and Select are trademarks of Oil-Dri Corporation of America. Fresh Step is the registered trademark of The Clorox Company.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 w:name="PGBRK"/>
      <w:bookmarkStart w:id="8" w:name="PGBRK"/>
      <w:bookmarkEnd w:id="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 w:name="FTR"/>
      <w:bookmarkStart w:id="10" w:name="FTR"/>
      <w:bookmarkEnd w:id="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 w:name="GLFTR"/>
      <w:bookmarkStart w:id="12" w:name="GLFTR"/>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3" w:name="PN"/>
      <w:bookmarkEnd w:id="13"/>
      <w:r>
        <w:rPr>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 w:name="HDR"/>
      <w:bookmarkStart w:id="15" w:name="HDR"/>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 w:name="GLHDR"/>
      <w:bookmarkStart w:id="17" w:name="GLHDR"/>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PART I - FINANCIAL INFORMATION</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ITEM 1. Financial Statements</w:t>
      </w:r>
    </w:p>
    <w:p>
      <w:pPr>
        <w:pStyle w:val="TextBody"/>
        <w:spacing w:lineRule="auto" w:line="300" w:before="0" w:after="0"/>
        <w:ind w:left="0" w:right="0" w:hanging="0"/>
        <w:jc w:val="left"/>
        <w:rPr/>
      </w:pPr>
      <w:r>
        <w:rPr/>
      </w:r>
    </w:p>
    <w:p>
      <w:pPr>
        <w:pStyle w:val="TextBody"/>
        <w:spacing w:lineRule="auto" w:line="300" w:before="0" w:after="0"/>
        <w:ind w:left="0" w:right="0" w:hanging="0"/>
        <w:jc w:val="center"/>
        <w:rPr/>
      </w:pPr>
      <w:bookmarkStart w:id="18" w:name="RANGE_A5%3AD38"/>
      <w:bookmarkEnd w:id="18"/>
      <w:r>
        <w:rPr>
          <w:rStyle w:val="StrongEmphasis"/>
          <w:rFonts w:ascii="Times New Roman" w:hAnsi="Times New Roman"/>
          <w:sz w:val="20"/>
        </w:rPr>
        <w:t>OIL-DRI CORPORATION OF AMERICA &amp; SUBSIDIARIES</w:t>
      </w:r>
    </w:p>
    <w:p>
      <w:pPr>
        <w:pStyle w:val="TextBody"/>
        <w:spacing w:lineRule="auto" w:line="300" w:before="0" w:after="0"/>
        <w:ind w:left="0" w:right="0" w:hanging="0"/>
        <w:jc w:val="center"/>
        <w:rPr/>
      </w:pPr>
      <w:r>
        <w:rPr>
          <w:rStyle w:val="StrongEmphasis"/>
          <w:rFonts w:ascii="Times New Roman" w:hAnsi="Times New Roman"/>
          <w:sz w:val="20"/>
        </w:rPr>
        <w:t>Condensed Consolidated Balance Sheets</w:t>
      </w:r>
    </w:p>
    <w:p>
      <w:pPr>
        <w:pStyle w:val="TextBody"/>
        <w:spacing w:lineRule="auto" w:line="300" w:before="0" w:after="0"/>
        <w:ind w:left="0" w:right="0" w:hanging="0"/>
        <w:jc w:val="center"/>
        <w:rPr/>
      </w:pPr>
      <w:r>
        <w:rPr>
          <w:rStyle w:val="StrongEmphasis"/>
          <w:rFonts w:ascii="Times New Roman" w:hAnsi="Times New Roman"/>
          <w:sz w:val="20"/>
        </w:rPr>
        <w:t>(in thousands of dollars)</w:t>
      </w:r>
    </w:p>
    <w:p>
      <w:pPr>
        <w:pStyle w:val="TextBody"/>
        <w:spacing w:lineRule="auto" w:line="300" w:before="0" w:after="0"/>
        <w:ind w:left="0" w:right="0" w:hanging="0"/>
        <w:jc w:val="center"/>
        <w:rPr/>
      </w:pPr>
      <w:r>
        <w:rPr>
          <w:rStyle w:val="StrongEmphasis"/>
          <w:rFonts w:ascii="Times New Roman" w:hAnsi="Times New Roman"/>
          <w:sz w:val="20"/>
        </w:rPr>
        <w:t>(unaudited)</w:t>
      </w:r>
    </w:p>
    <w:p>
      <w:pPr>
        <w:pStyle w:val="TextBody"/>
        <w:spacing w:lineRule="auto" w:line="300" w:before="0" w:after="0"/>
        <w:ind w:left="0" w:right="0" w:hanging="0"/>
        <w:jc w:val="center"/>
        <w:rPr/>
      </w:pPr>
      <w:r>
        <w:rPr/>
        <w:t> </w:t>
      </w:r>
    </w:p>
    <w:p>
      <w:pPr>
        <w:pStyle w:val="Normal"/>
        <w:spacing w:before="0" w:after="0"/>
        <w:rPr>
          <w:sz w:val="4"/>
          <w:szCs w:val="4"/>
        </w:rPr>
      </w:pPr>
      <w:r>
        <w:rPr>
          <w:sz w:val="4"/>
          <w:szCs w:val="4"/>
        </w:rPr>
      </w:r>
      <w:bookmarkStart w:id="19" w:name="ftable"/>
      <w:bookmarkStart w:id="20" w:name="ftable"/>
      <w:bookmarkEnd w:id="20"/>
    </w:p>
    <w:tbl>
      <w:tblPr>
        <w:tblW w:w="5000" w:type="pct"/>
        <w:jc w:val="left"/>
        <w:tblInd w:w="0" w:type="dxa"/>
        <w:tblCellMar>
          <w:top w:w="0" w:type="dxa"/>
          <w:left w:w="0" w:type="dxa"/>
          <w:bottom w:w="28" w:type="dxa"/>
          <w:right w:w="0" w:type="dxa"/>
        </w:tblCellMar>
      </w:tblPr>
      <w:tblGrid>
        <w:gridCol w:w="6954"/>
        <w:gridCol w:w="203"/>
        <w:gridCol w:w="126"/>
        <w:gridCol w:w="1232"/>
        <w:gridCol w:w="208"/>
        <w:gridCol w:w="126"/>
        <w:gridCol w:w="1232"/>
        <w:gridCol w:w="124"/>
      </w:tblGrid>
      <w:tr>
        <w:trPr/>
        <w:tc>
          <w:tcPr>
            <w:tcW w:w="6954" w:type="dxa"/>
            <w:tcBorders>
              <w:bottom w:val="single" w:sz="4" w:space="0" w:color="FFFFFF"/>
            </w:tcBorders>
            <w:shd w:fill="auto" w:val="clear"/>
            <w:vAlign w:val="bottom"/>
          </w:tcPr>
          <w:p>
            <w:pPr>
              <w:pStyle w:val="TableContents"/>
              <w:spacing w:lineRule="auto" w:line="300" w:before="0" w:after="0"/>
              <w:ind w:left="0" w:right="0" w:hanging="0"/>
              <w:jc w:val="center"/>
              <w:rPr/>
            </w:pPr>
            <w:r>
              <w:rPr/>
              <w:t> </w:t>
            </w:r>
          </w:p>
        </w:tc>
        <w:tc>
          <w:tcPr>
            <w:tcW w:w="203" w:type="dxa"/>
            <w:tcBorders>
              <w:bottom w:val="single" w:sz="4" w:space="0" w:color="FFFFFF"/>
            </w:tcBorders>
            <w:shd w:fill="auto" w:val="clear"/>
            <w:vAlign w:val="center"/>
          </w:tcPr>
          <w:p>
            <w:pPr>
              <w:pStyle w:val="TableContents"/>
              <w:spacing w:before="0" w:after="283"/>
              <w:rPr/>
            </w:pPr>
            <w:r>
              <w:rPr/>
              <w:t> </w:t>
            </w:r>
          </w:p>
        </w:tc>
        <w:tc>
          <w:tcPr>
            <w:tcW w:w="1358"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January 31, </w:t>
            </w:r>
          </w:p>
          <w:p>
            <w:pPr>
              <w:pStyle w:val="TableContents"/>
              <w:spacing w:lineRule="auto" w:line="300" w:before="0" w:after="0"/>
              <w:ind w:left="0" w:right="0" w:hanging="0"/>
              <w:jc w:val="center"/>
              <w:rPr/>
            </w:pPr>
            <w:r>
              <w:rPr>
                <w:rStyle w:val="StrongEmphasis"/>
                <w:rFonts w:ascii="Times New Roman" w:hAnsi="Times New Roman"/>
                <w:sz w:val="20"/>
              </w:rPr>
              <w:t>2008  </w:t>
            </w:r>
          </w:p>
        </w:tc>
        <w:tc>
          <w:tcPr>
            <w:tcW w:w="208" w:type="dxa"/>
            <w:tcBorders>
              <w:bottom w:val="single" w:sz="4" w:space="0" w:color="FFFFFF"/>
            </w:tcBorders>
            <w:shd w:fill="auto" w:val="clear"/>
            <w:vAlign w:val="bottom"/>
          </w:tcPr>
          <w:p>
            <w:pPr>
              <w:pStyle w:val="TableContents"/>
              <w:spacing w:before="0" w:after="283"/>
              <w:jc w:val="left"/>
              <w:rPr/>
            </w:pPr>
            <w:r>
              <w:rPr/>
              <w:t> </w:t>
            </w:r>
          </w:p>
        </w:tc>
        <w:tc>
          <w:tcPr>
            <w:tcW w:w="1358"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July 31, </w:t>
            </w:r>
          </w:p>
          <w:p>
            <w:pPr>
              <w:pStyle w:val="TableContents"/>
              <w:spacing w:lineRule="auto" w:line="300" w:before="0" w:after="0"/>
              <w:ind w:left="0" w:right="0" w:hanging="0"/>
              <w:jc w:val="center"/>
              <w:rPr/>
            </w:pPr>
            <w:r>
              <w:rPr>
                <w:rStyle w:val="StrongEmphasis"/>
                <w:rFonts w:ascii="Times New Roman" w:hAnsi="Times New Roman"/>
                <w:sz w:val="20"/>
              </w:rPr>
              <w:t>2007</w:t>
            </w:r>
          </w:p>
        </w:tc>
        <w:tc>
          <w:tcPr>
            <w:tcW w:w="124" w:type="dxa"/>
            <w:tcBorders>
              <w:bottom w:val="single" w:sz="4" w:space="0" w:color="FFFFFF"/>
            </w:tcBorders>
            <w:shd w:fill="auto" w:val="clear"/>
            <w:vAlign w:val="bottom"/>
          </w:tcPr>
          <w:p>
            <w:pPr>
              <w:pStyle w:val="TableContents"/>
              <w:spacing w:before="0" w:after="283"/>
              <w:jc w:val="left"/>
              <w:rPr/>
            </w:pPr>
            <w:r>
              <w:rPr/>
              <w:t> </w:t>
            </w:r>
          </w:p>
        </w:tc>
      </w:tr>
      <w:tr>
        <w:trPr/>
        <w:tc>
          <w:tcPr>
            <w:tcW w:w="6954" w:type="dxa"/>
            <w:tcBorders/>
            <w:shd w:fill="CCFFCC" w:val="clear"/>
            <w:tcMar>
              <w:bottom w:w="0" w:type="dxa"/>
            </w:tcMar>
            <w:vAlign w:val="bottom"/>
          </w:tcPr>
          <w:p>
            <w:pPr>
              <w:pStyle w:val="TableContents"/>
              <w:spacing w:lineRule="auto" w:line="300" w:before="0" w:after="0"/>
              <w:ind w:left="0" w:right="0" w:hanging="0"/>
              <w:jc w:val="center"/>
              <w:rPr/>
            </w:pPr>
            <w:r>
              <w:rPr>
                <w:rStyle w:val="StrongEmphasis"/>
                <w:rFonts w:ascii="Times New Roman" w:hAnsi="Times New Roman"/>
                <w:sz w:val="20"/>
              </w:rPr>
              <w:t>ASSETS</w:t>
            </w:r>
            <w:r>
              <w:rPr/>
              <w:t> </w:t>
            </w:r>
          </w:p>
        </w:tc>
        <w:tc>
          <w:tcPr>
            <w:tcW w:w="203" w:type="dxa"/>
            <w:tcBorders/>
            <w:shd w:fill="CCFFCC" w:val="clear"/>
            <w:tcMar>
              <w:bottom w:w="0" w:type="dxa"/>
            </w:tcMar>
            <w:vAlign w:val="center"/>
          </w:tcPr>
          <w:p>
            <w:pPr>
              <w:pStyle w:val="TableContents"/>
              <w:spacing w:before="0" w:after="283"/>
              <w:rPr/>
            </w:pPr>
            <w:r>
              <w:rPr/>
              <w:t> </w:t>
            </w:r>
          </w:p>
        </w:tc>
        <w:tc>
          <w:tcPr>
            <w:tcW w:w="1358" w:type="dxa"/>
            <w:gridSpan w:val="2"/>
            <w:tcBorders/>
            <w:shd w:fill="CCFFCC" w:val="clear"/>
            <w:tcMar>
              <w:bottom w:w="0" w:type="dxa"/>
            </w:tcMar>
            <w:vAlign w:val="bottom"/>
          </w:tcPr>
          <w:p>
            <w:pPr>
              <w:pStyle w:val="TableContents"/>
              <w:spacing w:before="0" w:after="283"/>
              <w:jc w:val="left"/>
              <w:rPr/>
            </w:pPr>
            <w:r>
              <w:rPr/>
              <w:t> </w:t>
            </w:r>
          </w:p>
        </w:tc>
        <w:tc>
          <w:tcPr>
            <w:tcW w:w="208" w:type="dxa"/>
            <w:tcBorders/>
            <w:shd w:fill="CCFFCC" w:val="clear"/>
            <w:tcMar>
              <w:bottom w:w="0" w:type="dxa"/>
            </w:tcMar>
            <w:vAlign w:val="bottom"/>
          </w:tcPr>
          <w:p>
            <w:pPr>
              <w:pStyle w:val="TableContents"/>
              <w:spacing w:before="0" w:after="283"/>
              <w:jc w:val="left"/>
              <w:rPr/>
            </w:pPr>
            <w:r>
              <w:rPr/>
              <w:t> </w:t>
            </w:r>
          </w:p>
        </w:tc>
        <w:tc>
          <w:tcPr>
            <w:tcW w:w="1358" w:type="dxa"/>
            <w:gridSpan w:val="2"/>
            <w:tcBorders/>
            <w:shd w:fill="CCFFCC" w:val="clear"/>
            <w:tcMar>
              <w:bottom w:w="0" w:type="dxa"/>
            </w:tcMar>
            <w:vAlign w:val="bottom"/>
          </w:tcPr>
          <w:p>
            <w:pPr>
              <w:pStyle w:val="TableContents"/>
              <w:spacing w:before="0" w:after="283"/>
              <w:jc w:val="left"/>
              <w:rPr/>
            </w:pPr>
            <w:r>
              <w:rPr/>
              <w:t> </w:t>
            </w:r>
          </w:p>
        </w:tc>
        <w:tc>
          <w:tcPr>
            <w:tcW w:w="124" w:type="dxa"/>
            <w:tcBorders/>
            <w:shd w:fill="CCFFCC" w:val="clear"/>
            <w:tcMar>
              <w:bottom w:w="0" w:type="dxa"/>
            </w:tcMar>
            <w:vAlign w:val="bottom"/>
          </w:tcPr>
          <w:p>
            <w:pPr>
              <w:pStyle w:val="TableContents"/>
              <w:spacing w:before="0" w:after="283"/>
              <w:jc w:val="left"/>
              <w:rPr/>
            </w:pPr>
            <w:r>
              <w:rPr/>
              <w:t> </w:t>
            </w:r>
          </w:p>
        </w:tc>
      </w:tr>
      <w:tr>
        <w:trPr/>
        <w:tc>
          <w:tcPr>
            <w:tcW w:w="6954" w:type="dxa"/>
            <w:tcBorders>
              <w:bottom w:val="single" w:sz="2"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u w:val="single"/>
              </w:rPr>
              <w:t>Current Assets</w:t>
            </w:r>
          </w:p>
        </w:tc>
        <w:tc>
          <w:tcPr>
            <w:tcW w:w="203" w:type="dxa"/>
            <w:tcBorders>
              <w:bottom w:val="single" w:sz="2" w:space="0" w:color="FFFFFF"/>
            </w:tcBorders>
            <w:shd w:fill="FFFFFF" w:val="cle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bottom w:val="single" w:sz="2" w:space="0" w:color="FFFFFF"/>
            </w:tcBorders>
            <w:shd w:fill="FFFFFF" w:val="clear"/>
            <w:vAlign w:val="bottom"/>
          </w:tcPr>
          <w:p>
            <w:pPr>
              <w:pStyle w:val="TableContents"/>
              <w:spacing w:before="0" w:after="283"/>
              <w:jc w:val="right"/>
              <w:rPr/>
            </w:pPr>
            <w:r>
              <w:rPr/>
              <w:t> </w:t>
            </w:r>
          </w:p>
        </w:tc>
        <w:tc>
          <w:tcPr>
            <w:tcW w:w="208"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bottom w:val="single" w:sz="2" w:space="0" w:color="FFFFFF"/>
            </w:tcBorders>
            <w:shd w:fill="FFFFFF" w:val="clear"/>
            <w:vAlign w:val="bottom"/>
          </w:tcPr>
          <w:p>
            <w:pPr>
              <w:pStyle w:val="TableContents"/>
              <w:spacing w:before="0" w:after="283"/>
              <w:jc w:val="right"/>
              <w:rPr/>
            </w:pPr>
            <w:r>
              <w:rPr/>
              <w:t> </w:t>
            </w:r>
          </w:p>
        </w:tc>
        <w:tc>
          <w:tcPr>
            <w:tcW w:w="124" w:type="dxa"/>
            <w:tcBorders>
              <w:bottom w:val="single" w:sz="2" w:space="0" w:color="FFFFFF"/>
            </w:tcBorders>
            <w:shd w:fill="FFFFFF" w:val="clear"/>
            <w:vAlign w:val="bottom"/>
          </w:tcPr>
          <w:p>
            <w:pPr>
              <w:pStyle w:val="TableContents"/>
              <w:spacing w:before="0" w:after="283"/>
              <w:jc w:val="left"/>
              <w:rPr/>
            </w:pPr>
            <w:r>
              <w:rPr/>
              <w:t> </w:t>
            </w:r>
          </w:p>
        </w:tc>
      </w:tr>
      <w:tr>
        <w:trPr/>
        <w:tc>
          <w:tcPr>
            <w:tcW w:w="6954"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Cash and cash equivalents</w:t>
            </w:r>
          </w:p>
        </w:tc>
        <w:tc>
          <w:tcPr>
            <w:tcW w:w="203" w:type="dxa"/>
            <w:tcBorders/>
            <w:shd w:fill="CCFFCC" w:val="clear"/>
            <w:tcMar>
              <w:bottom w:w="0" w:type="dxa"/>
            </w:tcMar>
            <w:vAlign w:val="center"/>
          </w:tcPr>
          <w:p>
            <w:pPr>
              <w:pStyle w:val="TableContents"/>
              <w:spacing w:before="0" w:after="283"/>
              <w:rPr/>
            </w:pPr>
            <w:r>
              <w:rPr/>
              <w:t> </w:t>
            </w:r>
          </w:p>
        </w:tc>
        <w:tc>
          <w:tcPr>
            <w:tcW w:w="126"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232"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4,325</w:t>
            </w:r>
          </w:p>
        </w:tc>
        <w:tc>
          <w:tcPr>
            <w:tcW w:w="208"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3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12,133</w:t>
            </w:r>
          </w:p>
        </w:tc>
        <w:tc>
          <w:tcPr>
            <w:tcW w:w="124" w:type="dxa"/>
            <w:tcBorders/>
            <w:shd w:fill="CCFFCC" w:val="clear"/>
            <w:tcMar>
              <w:bottom w:w="0" w:type="dxa"/>
            </w:tcMar>
            <w:vAlign w:val="bottom"/>
          </w:tcPr>
          <w:p>
            <w:pPr>
              <w:pStyle w:val="TableContents"/>
              <w:spacing w:before="0" w:after="283"/>
              <w:jc w:val="left"/>
              <w:rPr/>
            </w:pPr>
            <w:r>
              <w:rPr/>
              <w:t> </w:t>
            </w:r>
          </w:p>
        </w:tc>
      </w:tr>
      <w:tr>
        <w:trPr/>
        <w:tc>
          <w:tcPr>
            <w:tcW w:w="695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Investment in securities</w:t>
            </w:r>
          </w:p>
        </w:tc>
        <w:tc>
          <w:tcPr>
            <w:tcW w:w="203"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24,355</w:t>
            </w:r>
          </w:p>
        </w:tc>
        <w:tc>
          <w:tcPr>
            <w:tcW w:w="20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17,894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954" w:type="dxa"/>
            <w:tcBorders/>
            <w:shd w:fill="CCFFCC"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Accounts receivable, less allowance of $643 and $569 at January 31, 2008 and July 31, 2007, respectively</w:t>
            </w:r>
          </w:p>
        </w:tc>
        <w:tc>
          <w:tcPr>
            <w:tcW w:w="203" w:type="dxa"/>
            <w:tcBorders/>
            <w:shd w:fill="CCFFCC" w:val="clear"/>
            <w:tcMar>
              <w:bottom w:w="0" w:type="dxa"/>
            </w:tcMar>
            <w:vAlign w:val="center"/>
          </w:tcPr>
          <w:p>
            <w:pPr>
              <w:pStyle w:val="TableContents"/>
              <w:spacing w:before="0" w:after="283"/>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232"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 xml:space="preserve">29,973 </w:t>
            </w:r>
          </w:p>
        </w:tc>
        <w:tc>
          <w:tcPr>
            <w:tcW w:w="208"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23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27,933 </w:t>
            </w:r>
          </w:p>
        </w:tc>
        <w:tc>
          <w:tcPr>
            <w:tcW w:w="124" w:type="dxa"/>
            <w:tcBorders/>
            <w:shd w:fill="CCFFCC" w:val="clear"/>
            <w:tcMar>
              <w:bottom w:w="0" w:type="dxa"/>
            </w:tcMar>
            <w:vAlign w:val="bottom"/>
          </w:tcPr>
          <w:p>
            <w:pPr>
              <w:pStyle w:val="TableContents"/>
              <w:spacing w:before="0" w:after="283"/>
              <w:jc w:val="left"/>
              <w:rPr/>
            </w:pPr>
            <w:r>
              <w:rPr/>
              <w:t> </w:t>
            </w:r>
          </w:p>
        </w:tc>
      </w:tr>
      <w:tr>
        <w:trPr/>
        <w:tc>
          <w:tcPr>
            <w:tcW w:w="695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Inventories</w:t>
            </w:r>
          </w:p>
        </w:tc>
        <w:tc>
          <w:tcPr>
            <w:tcW w:w="203"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 xml:space="preserve">16,396 </w:t>
            </w:r>
          </w:p>
        </w:tc>
        <w:tc>
          <w:tcPr>
            <w:tcW w:w="20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15,237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954"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Deferred income taxes</w:t>
            </w:r>
          </w:p>
        </w:tc>
        <w:tc>
          <w:tcPr>
            <w:tcW w:w="203" w:type="dxa"/>
            <w:tcBorders/>
            <w:shd w:fill="CCFFCC" w:val="clear"/>
            <w:tcMar>
              <w:bottom w:w="0" w:type="dxa"/>
            </w:tcMar>
            <w:vAlign w:val="center"/>
          </w:tcPr>
          <w:p>
            <w:pPr>
              <w:pStyle w:val="TableContents"/>
              <w:spacing w:before="0" w:after="283"/>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232"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 xml:space="preserve">788 </w:t>
            </w:r>
          </w:p>
        </w:tc>
        <w:tc>
          <w:tcPr>
            <w:tcW w:w="208"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23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788 </w:t>
            </w:r>
          </w:p>
        </w:tc>
        <w:tc>
          <w:tcPr>
            <w:tcW w:w="124" w:type="dxa"/>
            <w:tcBorders/>
            <w:shd w:fill="CCFFCC" w:val="clear"/>
            <w:tcMar>
              <w:bottom w:w="0" w:type="dxa"/>
            </w:tcMar>
            <w:vAlign w:val="bottom"/>
          </w:tcPr>
          <w:p>
            <w:pPr>
              <w:pStyle w:val="TableContents"/>
              <w:spacing w:before="0" w:after="283"/>
              <w:jc w:val="left"/>
              <w:rPr/>
            </w:pPr>
            <w:r>
              <w:rPr/>
              <w:t> </w:t>
            </w:r>
          </w:p>
        </w:tc>
      </w:tr>
      <w:tr>
        <w:trPr/>
        <w:tc>
          <w:tcPr>
            <w:tcW w:w="6954"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Prepaid expenses and other assets</w:t>
            </w:r>
          </w:p>
        </w:tc>
        <w:tc>
          <w:tcPr>
            <w:tcW w:w="203" w:type="dxa"/>
            <w:tcBorders>
              <w:bottom w:val="single" w:sz="4" w:space="0" w:color="FFFFFF"/>
            </w:tcBorders>
            <w:shd w:fill="FFFFFF" w:val="clear"/>
            <w:vAlign w:val="center"/>
          </w:tcPr>
          <w:p>
            <w:pPr>
              <w:pStyle w:val="TableContents"/>
              <w:spacing w:before="0" w:after="283"/>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232" w:type="dxa"/>
            <w:tcBorders>
              <w:bottom w:val="sing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 xml:space="preserve">5,511 </w:t>
            </w:r>
          </w:p>
        </w:tc>
        <w:tc>
          <w:tcPr>
            <w:tcW w:w="208"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23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4,315 </w:t>
            </w:r>
          </w:p>
        </w:tc>
        <w:tc>
          <w:tcPr>
            <w:tcW w:w="124" w:type="dxa"/>
            <w:tcBorders>
              <w:bottom w:val="single" w:sz="4" w:space="0" w:color="FFFFFF"/>
            </w:tcBorders>
            <w:shd w:fill="FFFFFF" w:val="clear"/>
            <w:vAlign w:val="bottom"/>
          </w:tcPr>
          <w:p>
            <w:pPr>
              <w:pStyle w:val="TableContents"/>
              <w:spacing w:before="0" w:after="283"/>
              <w:jc w:val="left"/>
              <w:rPr/>
            </w:pPr>
            <w:r>
              <w:rPr/>
              <w:t> </w:t>
            </w:r>
          </w:p>
        </w:tc>
      </w:tr>
      <w:tr>
        <w:trPr/>
        <w:tc>
          <w:tcPr>
            <w:tcW w:w="6954" w:type="dxa"/>
            <w:tcBorders>
              <w:bottom w:val="single" w:sz="4" w:space="0" w:color="CCFFCC"/>
            </w:tcBorders>
            <w:shd w:fill="CCFFCC" w:val="clear"/>
            <w:vAlign w:val="bottom"/>
          </w:tcPr>
          <w:p>
            <w:pPr>
              <w:pStyle w:val="TableContents"/>
              <w:spacing w:lineRule="auto" w:line="300" w:before="0" w:after="0"/>
              <w:ind w:left="180" w:right="0" w:hanging="0"/>
              <w:jc w:val="left"/>
              <w:rPr/>
            </w:pPr>
            <w:r>
              <w:rPr>
                <w:rStyle w:val="StrongEmphasis"/>
                <w:rFonts w:ascii="Times New Roman" w:hAnsi="Times New Roman"/>
                <w:sz w:val="20"/>
              </w:rPr>
              <w:t>Total Current Assets</w:t>
            </w:r>
          </w:p>
        </w:tc>
        <w:tc>
          <w:tcPr>
            <w:tcW w:w="203" w:type="dxa"/>
            <w:tcBorders>
              <w:bottom w:val="single" w:sz="4" w:space="0" w:color="CCFFCC"/>
            </w:tcBorders>
            <w:shd w:fill="CCFFCC" w:val="clear"/>
            <w:vAlign w:val="center"/>
          </w:tcPr>
          <w:p>
            <w:pPr>
              <w:pStyle w:val="TableContents"/>
              <w:spacing w:before="0" w:after="283"/>
              <w:rPr/>
            </w:pPr>
            <w:r>
              <w:rPr/>
              <w:t> </w:t>
            </w:r>
          </w:p>
        </w:tc>
        <w:tc>
          <w:tcPr>
            <w:tcW w:w="126" w:type="dxa"/>
            <w:tcBorders>
              <w:bottom w:val="single" w:sz="2" w:space="0" w:color="000000"/>
            </w:tcBorders>
            <w:shd w:fill="CCFFCC" w:val="clear"/>
            <w:vAlign w:val="bottom"/>
          </w:tcPr>
          <w:p>
            <w:pPr>
              <w:pStyle w:val="TableContents"/>
              <w:spacing w:before="0" w:after="283"/>
              <w:jc w:val="left"/>
              <w:rPr/>
            </w:pPr>
            <w:r>
              <w:rPr/>
              <w:t> </w:t>
            </w:r>
          </w:p>
        </w:tc>
        <w:tc>
          <w:tcPr>
            <w:tcW w:w="1232" w:type="dxa"/>
            <w:tcBorders>
              <w:bottom w:val="single" w:sz="2" w:space="0" w:color="000000"/>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 xml:space="preserve">81,348 </w:t>
            </w:r>
          </w:p>
        </w:tc>
        <w:tc>
          <w:tcPr>
            <w:tcW w:w="208" w:type="dxa"/>
            <w:tcBorders>
              <w:bottom w:val="single" w:sz="4" w:space="0" w:color="CCFFCC"/>
            </w:tcBorders>
            <w:shd w:fill="CCFFCC" w:val="clear"/>
            <w:vAlign w:val="bottom"/>
          </w:tcPr>
          <w:p>
            <w:pPr>
              <w:pStyle w:val="TableContents"/>
              <w:spacing w:before="0" w:after="283"/>
              <w:jc w:val="left"/>
              <w:rPr/>
            </w:pPr>
            <w:r>
              <w:rPr/>
              <w:t> </w:t>
            </w:r>
          </w:p>
        </w:tc>
        <w:tc>
          <w:tcPr>
            <w:tcW w:w="126" w:type="dxa"/>
            <w:tcBorders>
              <w:bottom w:val="single" w:sz="2" w:space="0" w:color="000000"/>
            </w:tcBorders>
            <w:shd w:fill="CCFFCC" w:val="clear"/>
            <w:vAlign w:val="bottom"/>
          </w:tcPr>
          <w:p>
            <w:pPr>
              <w:pStyle w:val="TableContents"/>
              <w:spacing w:before="0" w:after="283"/>
              <w:jc w:val="left"/>
              <w:rPr/>
            </w:pPr>
            <w:r>
              <w:rPr/>
              <w:t> </w:t>
            </w:r>
          </w:p>
        </w:tc>
        <w:tc>
          <w:tcPr>
            <w:tcW w:w="1232"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78,300 </w:t>
            </w:r>
          </w:p>
        </w:tc>
        <w:tc>
          <w:tcPr>
            <w:tcW w:w="124" w:type="dxa"/>
            <w:tcBorders>
              <w:bottom w:val="single" w:sz="4" w:space="0" w:color="CCFFCC"/>
            </w:tcBorders>
            <w:shd w:fill="CCFFCC" w:val="clear"/>
            <w:vAlign w:val="bottom"/>
          </w:tcPr>
          <w:p>
            <w:pPr>
              <w:pStyle w:val="TableContents"/>
              <w:spacing w:before="0" w:after="283"/>
              <w:jc w:val="left"/>
              <w:rPr/>
            </w:pPr>
            <w:r>
              <w:rPr/>
              <w:t> </w:t>
            </w:r>
          </w:p>
        </w:tc>
      </w:tr>
      <w:tr>
        <w:trPr/>
        <w:tc>
          <w:tcPr>
            <w:tcW w:w="6954" w:type="dxa"/>
            <w:tcBorders/>
            <w:shd w:fill="FFFFFF" w:val="clear"/>
            <w:tcMar>
              <w:bottom w:w="0" w:type="dxa"/>
            </w:tcMar>
            <w:vAlign w:val="bottom"/>
          </w:tcPr>
          <w:p>
            <w:pPr>
              <w:pStyle w:val="TableContents"/>
              <w:spacing w:before="0" w:after="283"/>
              <w:jc w:val="left"/>
              <w:rPr/>
            </w:pPr>
            <w:r>
              <w:rPr/>
              <w:t> </w:t>
            </w:r>
          </w:p>
        </w:tc>
        <w:tc>
          <w:tcPr>
            <w:tcW w:w="203"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before="0" w:after="283"/>
              <w:jc w:val="right"/>
              <w:rPr/>
            </w:pPr>
            <w:r>
              <w:rPr/>
              <w:t> </w:t>
            </w:r>
          </w:p>
        </w:tc>
        <w:tc>
          <w:tcPr>
            <w:tcW w:w="20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before="0" w:after="283"/>
              <w:jc w:val="right"/>
              <w:rPr/>
            </w:pPr>
            <w:r>
              <w:rPr/>
              <w:t>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954" w:type="dxa"/>
            <w:tcBorders>
              <w:bottom w:val="single" w:sz="2"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u w:val="single"/>
              </w:rPr>
              <w:t>Property, Plant and Equipment</w:t>
            </w:r>
          </w:p>
        </w:tc>
        <w:tc>
          <w:tcPr>
            <w:tcW w:w="203" w:type="dxa"/>
            <w:tcBorders>
              <w:bottom w:val="single" w:sz="2" w:space="0" w:color="CCFFCC"/>
            </w:tcBorders>
            <w:shd w:fill="CCFFCC" w:val="clear"/>
            <w:vAlign w:val="center"/>
          </w:tcPr>
          <w:p>
            <w:pPr>
              <w:pStyle w:val="TableContents"/>
              <w:spacing w:before="0" w:after="283"/>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232" w:type="dxa"/>
            <w:tcBorders>
              <w:bottom w:val="single" w:sz="2" w:space="0" w:color="CCFFCC"/>
            </w:tcBorders>
            <w:shd w:fill="CCFFCC" w:val="clear"/>
            <w:vAlign w:val="bottom"/>
          </w:tcPr>
          <w:p>
            <w:pPr>
              <w:pStyle w:val="TableContents"/>
              <w:spacing w:before="0" w:after="283"/>
              <w:jc w:val="right"/>
              <w:rPr/>
            </w:pPr>
            <w:r>
              <w:rPr/>
              <w:t> </w:t>
            </w:r>
          </w:p>
        </w:tc>
        <w:tc>
          <w:tcPr>
            <w:tcW w:w="208" w:type="dxa"/>
            <w:tcBorders>
              <w:bottom w:val="single" w:sz="2" w:space="0" w:color="CCFFCC"/>
            </w:tcBorders>
            <w:shd w:fill="CCFFCC" w:val="cle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232" w:type="dxa"/>
            <w:tcBorders>
              <w:bottom w:val="single" w:sz="2" w:space="0" w:color="CCFFCC"/>
            </w:tcBorders>
            <w:shd w:fill="CCFFCC" w:val="clear"/>
            <w:vAlign w:val="bottom"/>
          </w:tcPr>
          <w:p>
            <w:pPr>
              <w:pStyle w:val="TableContents"/>
              <w:spacing w:before="0" w:after="283"/>
              <w:jc w:val="right"/>
              <w:rPr/>
            </w:pPr>
            <w:r>
              <w:rPr/>
              <w:t> </w:t>
            </w:r>
          </w:p>
        </w:tc>
        <w:tc>
          <w:tcPr>
            <w:tcW w:w="124" w:type="dxa"/>
            <w:tcBorders>
              <w:bottom w:val="single" w:sz="2" w:space="0" w:color="CCFFCC"/>
            </w:tcBorders>
            <w:shd w:fill="CCFFCC" w:val="clear"/>
            <w:vAlign w:val="bottom"/>
          </w:tcPr>
          <w:p>
            <w:pPr>
              <w:pStyle w:val="TableContents"/>
              <w:spacing w:before="0" w:after="283"/>
              <w:jc w:val="left"/>
              <w:rPr/>
            </w:pPr>
            <w:r>
              <w:rPr/>
              <w:t> </w:t>
            </w:r>
          </w:p>
        </w:tc>
      </w:tr>
      <w:tr>
        <w:trPr/>
        <w:tc>
          <w:tcPr>
            <w:tcW w:w="695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Cost</w:t>
            </w:r>
          </w:p>
        </w:tc>
        <w:tc>
          <w:tcPr>
            <w:tcW w:w="203"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 xml:space="preserve">154,550 </w:t>
            </w:r>
          </w:p>
        </w:tc>
        <w:tc>
          <w:tcPr>
            <w:tcW w:w="20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151,478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954"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Less accumulated depreciation and amortization</w:t>
            </w:r>
          </w:p>
        </w:tc>
        <w:tc>
          <w:tcPr>
            <w:tcW w:w="203" w:type="dxa"/>
            <w:tcBorders>
              <w:bottom w:val="single" w:sz="4" w:space="0" w:color="CCFFCC"/>
            </w:tcBorders>
            <w:shd w:fill="CCFFCC" w:val="clear"/>
            <w:vAlign w:val="center"/>
          </w:tcPr>
          <w:p>
            <w:pPr>
              <w:pStyle w:val="TableContents"/>
              <w:spacing w:before="0" w:after="283"/>
              <w:rPr/>
            </w:pPr>
            <w:r>
              <w:rPr/>
              <w:t> </w:t>
            </w:r>
          </w:p>
        </w:tc>
        <w:tc>
          <w:tcPr>
            <w:tcW w:w="126" w:type="dxa"/>
            <w:tcBorders>
              <w:bottom w:val="single" w:sz="2" w:space="0" w:color="000000"/>
            </w:tcBorders>
            <w:shd w:fill="CCFFCC" w:val="clear"/>
            <w:vAlign w:val="bottom"/>
          </w:tcPr>
          <w:p>
            <w:pPr>
              <w:pStyle w:val="TableContents"/>
              <w:spacing w:before="0" w:after="283"/>
              <w:jc w:val="left"/>
              <w:rPr/>
            </w:pPr>
            <w:r>
              <w:rPr/>
              <w:t> </w:t>
            </w:r>
          </w:p>
        </w:tc>
        <w:tc>
          <w:tcPr>
            <w:tcW w:w="1232" w:type="dxa"/>
            <w:tcBorders>
              <w:bottom w:val="single" w:sz="2" w:space="0" w:color="000000"/>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(102,818</w:t>
            </w:r>
          </w:p>
        </w:tc>
        <w:tc>
          <w:tcPr>
            <w:tcW w:w="208" w:type="dxa"/>
            <w:tcBorders>
              <w:bottom w:val="single" w:sz="4"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26" w:type="dxa"/>
            <w:tcBorders>
              <w:bottom w:val="single" w:sz="2" w:space="0" w:color="000000"/>
            </w:tcBorders>
            <w:shd w:fill="CCFFCC" w:val="clear"/>
            <w:vAlign w:val="bottom"/>
          </w:tcPr>
          <w:p>
            <w:pPr>
              <w:pStyle w:val="TableContents"/>
              <w:spacing w:before="0" w:after="283"/>
              <w:jc w:val="left"/>
              <w:rPr/>
            </w:pPr>
            <w:r>
              <w:rPr/>
              <w:t> </w:t>
            </w:r>
          </w:p>
        </w:tc>
        <w:tc>
          <w:tcPr>
            <w:tcW w:w="1232"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(100,033</w:t>
            </w:r>
          </w:p>
        </w:tc>
        <w:tc>
          <w:tcPr>
            <w:tcW w:w="124"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6954" w:type="dxa"/>
            <w:tcBorders>
              <w:bottom w:val="single" w:sz="4" w:space="0" w:color="FFFFFF"/>
            </w:tcBorders>
            <w:shd w:fill="FFFFFF" w:val="clear"/>
            <w:vAlign w:val="bottom"/>
          </w:tcPr>
          <w:p>
            <w:pPr>
              <w:pStyle w:val="TableContents"/>
              <w:spacing w:lineRule="auto" w:line="300" w:before="0" w:after="0"/>
              <w:ind w:left="180" w:right="0" w:hanging="0"/>
              <w:jc w:val="left"/>
              <w:rPr/>
            </w:pPr>
            <w:r>
              <w:rPr>
                <w:rStyle w:val="StrongEmphasis"/>
                <w:rFonts w:ascii="Times New Roman" w:hAnsi="Times New Roman"/>
                <w:sz w:val="20"/>
              </w:rPr>
              <w:t>Total Property, Plant and Equipment, Net</w:t>
            </w:r>
          </w:p>
        </w:tc>
        <w:tc>
          <w:tcPr>
            <w:tcW w:w="203" w:type="dxa"/>
            <w:tcBorders>
              <w:bottom w:val="single" w:sz="4" w:space="0" w:color="FFFFFF"/>
            </w:tcBorders>
            <w:shd w:fill="FFFFFF" w:val="clear"/>
            <w:vAlign w:val="center"/>
          </w:tcPr>
          <w:p>
            <w:pPr>
              <w:pStyle w:val="TableContents"/>
              <w:spacing w:before="0" w:after="283"/>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232" w:type="dxa"/>
            <w:tcBorders>
              <w:bottom w:val="sing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 xml:space="preserve">51,732 </w:t>
            </w:r>
          </w:p>
        </w:tc>
        <w:tc>
          <w:tcPr>
            <w:tcW w:w="208"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23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51,445 </w:t>
            </w:r>
          </w:p>
        </w:tc>
        <w:tc>
          <w:tcPr>
            <w:tcW w:w="124" w:type="dxa"/>
            <w:tcBorders>
              <w:bottom w:val="single" w:sz="4" w:space="0" w:color="FFFFFF"/>
            </w:tcBorders>
            <w:shd w:fill="FFFFFF" w:val="clear"/>
            <w:vAlign w:val="bottom"/>
          </w:tcPr>
          <w:p>
            <w:pPr>
              <w:pStyle w:val="TableContents"/>
              <w:spacing w:before="0" w:after="283"/>
              <w:jc w:val="left"/>
              <w:rPr/>
            </w:pPr>
            <w:r>
              <w:rPr/>
              <w:t> </w:t>
            </w:r>
          </w:p>
        </w:tc>
      </w:tr>
      <w:tr>
        <w:trPr/>
        <w:tc>
          <w:tcPr>
            <w:tcW w:w="6954" w:type="dxa"/>
            <w:tcBorders/>
            <w:shd w:fill="CCFFCC" w:val="clear"/>
            <w:tcMar>
              <w:bottom w:w="0" w:type="dxa"/>
            </w:tcMar>
            <w:vAlign w:val="bottom"/>
          </w:tcPr>
          <w:p>
            <w:pPr>
              <w:pStyle w:val="TableContents"/>
              <w:spacing w:before="0" w:after="283"/>
              <w:jc w:val="left"/>
              <w:rPr/>
            </w:pPr>
            <w:r>
              <w:rPr/>
              <w:t> </w:t>
            </w:r>
          </w:p>
        </w:tc>
        <w:tc>
          <w:tcPr>
            <w:tcW w:w="203" w:type="dxa"/>
            <w:tcBorders/>
            <w:shd w:fill="CCFFCC" w:val="clear"/>
            <w:tcMar>
              <w:bottom w:w="0" w:type="dxa"/>
            </w:tcMar>
            <w:vAlign w:val="center"/>
          </w:tcPr>
          <w:p>
            <w:pPr>
              <w:pStyle w:val="TableContents"/>
              <w:spacing w:before="0" w:after="283"/>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232" w:type="dxa"/>
            <w:tcBorders/>
            <w:shd w:fill="CCFFCC" w:val="clear"/>
            <w:tcMar>
              <w:bottom w:w="0" w:type="dxa"/>
            </w:tcMar>
            <w:vAlign w:val="bottom"/>
          </w:tcPr>
          <w:p>
            <w:pPr>
              <w:pStyle w:val="TableContents"/>
              <w:spacing w:before="0" w:after="283"/>
              <w:jc w:val="right"/>
              <w:rPr/>
            </w:pPr>
            <w:r>
              <w:rPr/>
              <w:t> </w:t>
            </w:r>
          </w:p>
        </w:tc>
        <w:tc>
          <w:tcPr>
            <w:tcW w:w="208"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232" w:type="dxa"/>
            <w:tcBorders/>
            <w:shd w:fill="CCFFCC" w:val="clear"/>
            <w:tcMar>
              <w:bottom w:w="0" w:type="dxa"/>
            </w:tcMar>
            <w:vAlign w:val="bottom"/>
          </w:tcPr>
          <w:p>
            <w:pPr>
              <w:pStyle w:val="TableContents"/>
              <w:spacing w:before="0" w:after="283"/>
              <w:jc w:val="right"/>
              <w:rPr/>
            </w:pPr>
            <w:r>
              <w:rPr/>
              <w:t> </w:t>
            </w:r>
          </w:p>
        </w:tc>
        <w:tc>
          <w:tcPr>
            <w:tcW w:w="124" w:type="dxa"/>
            <w:tcBorders/>
            <w:shd w:fill="CCFFCC" w:val="clear"/>
            <w:tcMar>
              <w:bottom w:w="0" w:type="dxa"/>
            </w:tcMar>
            <w:vAlign w:val="bottom"/>
          </w:tcPr>
          <w:p>
            <w:pPr>
              <w:pStyle w:val="TableContents"/>
              <w:spacing w:before="0" w:after="283"/>
              <w:jc w:val="left"/>
              <w:rPr/>
            </w:pPr>
            <w:r>
              <w:rPr/>
              <w:t> </w:t>
            </w:r>
          </w:p>
        </w:tc>
      </w:tr>
      <w:tr>
        <w:trPr/>
        <w:tc>
          <w:tcPr>
            <w:tcW w:w="6954" w:type="dxa"/>
            <w:tcBorders>
              <w:bottom w:val="single" w:sz="2"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u w:val="single"/>
              </w:rPr>
              <w:t>Other Assets</w:t>
            </w:r>
          </w:p>
        </w:tc>
        <w:tc>
          <w:tcPr>
            <w:tcW w:w="203" w:type="dxa"/>
            <w:tcBorders>
              <w:bottom w:val="single" w:sz="2" w:space="0" w:color="FFFFFF"/>
            </w:tcBorders>
            <w:shd w:fill="FFFFFF" w:val="cle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bottom w:val="single" w:sz="2" w:space="0" w:color="FFFFFF"/>
            </w:tcBorders>
            <w:shd w:fill="FFFFFF" w:val="clear"/>
            <w:vAlign w:val="bottom"/>
          </w:tcPr>
          <w:p>
            <w:pPr>
              <w:pStyle w:val="TableContents"/>
              <w:spacing w:before="0" w:after="283"/>
              <w:jc w:val="right"/>
              <w:rPr/>
            </w:pPr>
            <w:r>
              <w:rPr/>
              <w:t> </w:t>
            </w:r>
          </w:p>
        </w:tc>
        <w:tc>
          <w:tcPr>
            <w:tcW w:w="208"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bottom w:val="single" w:sz="2" w:space="0" w:color="FFFFFF"/>
            </w:tcBorders>
            <w:shd w:fill="FFFFFF" w:val="clear"/>
            <w:vAlign w:val="bottom"/>
          </w:tcPr>
          <w:p>
            <w:pPr>
              <w:pStyle w:val="TableContents"/>
              <w:spacing w:before="0" w:after="283"/>
              <w:jc w:val="right"/>
              <w:rPr/>
            </w:pPr>
            <w:r>
              <w:rPr/>
              <w:t> </w:t>
            </w:r>
          </w:p>
        </w:tc>
        <w:tc>
          <w:tcPr>
            <w:tcW w:w="124" w:type="dxa"/>
            <w:tcBorders>
              <w:bottom w:val="single" w:sz="2" w:space="0" w:color="FFFFFF"/>
            </w:tcBorders>
            <w:shd w:fill="FFFFFF" w:val="clear"/>
            <w:vAlign w:val="bottom"/>
          </w:tcPr>
          <w:p>
            <w:pPr>
              <w:pStyle w:val="TableContents"/>
              <w:spacing w:before="0" w:after="283"/>
              <w:jc w:val="left"/>
              <w:rPr/>
            </w:pPr>
            <w:r>
              <w:rPr/>
              <w:t> </w:t>
            </w:r>
          </w:p>
        </w:tc>
      </w:tr>
      <w:tr>
        <w:trPr/>
        <w:tc>
          <w:tcPr>
            <w:tcW w:w="6954"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Goodwill</w:t>
            </w:r>
          </w:p>
        </w:tc>
        <w:tc>
          <w:tcPr>
            <w:tcW w:w="203" w:type="dxa"/>
            <w:tcBorders/>
            <w:shd w:fill="CCFFCC" w:val="clear"/>
            <w:tcMar>
              <w:bottom w:w="0" w:type="dxa"/>
            </w:tcMar>
            <w:vAlign w:val="center"/>
          </w:tcPr>
          <w:p>
            <w:pPr>
              <w:pStyle w:val="TableContents"/>
              <w:spacing w:before="0" w:after="283"/>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232"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5,162</w:t>
            </w:r>
          </w:p>
        </w:tc>
        <w:tc>
          <w:tcPr>
            <w:tcW w:w="208"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23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5,162 </w:t>
            </w:r>
          </w:p>
        </w:tc>
        <w:tc>
          <w:tcPr>
            <w:tcW w:w="124" w:type="dxa"/>
            <w:tcBorders/>
            <w:shd w:fill="CCFFCC" w:val="clear"/>
            <w:tcMar>
              <w:bottom w:w="0" w:type="dxa"/>
            </w:tcMar>
            <w:vAlign w:val="bottom"/>
          </w:tcPr>
          <w:p>
            <w:pPr>
              <w:pStyle w:val="TableContents"/>
              <w:spacing w:before="0" w:after="283"/>
              <w:jc w:val="left"/>
              <w:rPr/>
            </w:pPr>
            <w:r>
              <w:rPr/>
              <w:t> </w:t>
            </w:r>
          </w:p>
        </w:tc>
      </w:tr>
      <w:tr>
        <w:trPr/>
        <w:tc>
          <w:tcPr>
            <w:tcW w:w="6954" w:type="dxa"/>
            <w:tcBorders/>
            <w:shd w:fill="FFFF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 xml:space="preserve">Trademarks and patents, net of accumulated amortization of $339 and $327 at January 31, 2008 and July 31, 2007, respectively </w:t>
            </w:r>
          </w:p>
        </w:tc>
        <w:tc>
          <w:tcPr>
            <w:tcW w:w="203"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 xml:space="preserve">817 </w:t>
            </w:r>
          </w:p>
        </w:tc>
        <w:tc>
          <w:tcPr>
            <w:tcW w:w="20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817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954" w:type="dxa"/>
            <w:tcBorders/>
            <w:shd w:fill="CCFFCC"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 xml:space="preserve">Debt issuance costs, net of accumulated amortization of $487 and $450 at January 31, 2008 and July 31, 2007, respectively </w:t>
            </w:r>
          </w:p>
        </w:tc>
        <w:tc>
          <w:tcPr>
            <w:tcW w:w="203" w:type="dxa"/>
            <w:tcBorders/>
            <w:shd w:fill="CCFFCC" w:val="clear"/>
            <w:tcMar>
              <w:bottom w:w="0" w:type="dxa"/>
            </w:tcMar>
            <w:vAlign w:val="center"/>
          </w:tcPr>
          <w:p>
            <w:pPr>
              <w:pStyle w:val="TableContents"/>
              <w:spacing w:before="0" w:after="283"/>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232"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376</w:t>
            </w:r>
          </w:p>
        </w:tc>
        <w:tc>
          <w:tcPr>
            <w:tcW w:w="208"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23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413 </w:t>
            </w:r>
          </w:p>
        </w:tc>
        <w:tc>
          <w:tcPr>
            <w:tcW w:w="124" w:type="dxa"/>
            <w:tcBorders/>
            <w:shd w:fill="CCFFCC" w:val="clear"/>
            <w:tcMar>
              <w:bottom w:w="0" w:type="dxa"/>
            </w:tcMar>
            <w:vAlign w:val="bottom"/>
          </w:tcPr>
          <w:p>
            <w:pPr>
              <w:pStyle w:val="TableContents"/>
              <w:spacing w:before="0" w:after="283"/>
              <w:jc w:val="left"/>
              <w:rPr/>
            </w:pPr>
            <w:r>
              <w:rPr/>
              <w:t> </w:t>
            </w:r>
          </w:p>
        </w:tc>
      </w:tr>
      <w:tr>
        <w:trPr/>
        <w:tc>
          <w:tcPr>
            <w:tcW w:w="6954" w:type="dxa"/>
            <w:tcBorders/>
            <w:shd w:fill="FFFF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 xml:space="preserve">Licensing agreements, net of accumulated amortization of $2,857 and $2,757 at January 31, 2008 and July 31, 2007, respectively </w:t>
            </w:r>
          </w:p>
        </w:tc>
        <w:tc>
          <w:tcPr>
            <w:tcW w:w="203"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582</w:t>
            </w:r>
          </w:p>
        </w:tc>
        <w:tc>
          <w:tcPr>
            <w:tcW w:w="20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682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954"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Deferred income taxes</w:t>
            </w:r>
          </w:p>
        </w:tc>
        <w:tc>
          <w:tcPr>
            <w:tcW w:w="203" w:type="dxa"/>
            <w:tcBorders/>
            <w:shd w:fill="CCFFCC" w:val="clear"/>
            <w:tcMar>
              <w:bottom w:w="0" w:type="dxa"/>
            </w:tcMar>
            <w:vAlign w:val="center"/>
          </w:tcPr>
          <w:p>
            <w:pPr>
              <w:pStyle w:val="TableContents"/>
              <w:spacing w:before="0" w:after="283"/>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232"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 xml:space="preserve">1,652 </w:t>
            </w:r>
          </w:p>
        </w:tc>
        <w:tc>
          <w:tcPr>
            <w:tcW w:w="208"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23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1,618 </w:t>
            </w:r>
          </w:p>
        </w:tc>
        <w:tc>
          <w:tcPr>
            <w:tcW w:w="124" w:type="dxa"/>
            <w:tcBorders/>
            <w:shd w:fill="CCFFCC" w:val="clear"/>
            <w:tcMar>
              <w:bottom w:w="0" w:type="dxa"/>
            </w:tcMar>
            <w:vAlign w:val="bottom"/>
          </w:tcPr>
          <w:p>
            <w:pPr>
              <w:pStyle w:val="TableContents"/>
              <w:spacing w:before="0" w:after="283"/>
              <w:jc w:val="left"/>
              <w:rPr/>
            </w:pPr>
            <w:r>
              <w:rPr/>
              <w:t> </w:t>
            </w:r>
          </w:p>
        </w:tc>
      </w:tr>
      <w:tr>
        <w:trPr/>
        <w:tc>
          <w:tcPr>
            <w:tcW w:w="6954"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Other</w:t>
            </w:r>
          </w:p>
        </w:tc>
        <w:tc>
          <w:tcPr>
            <w:tcW w:w="203" w:type="dxa"/>
            <w:tcBorders>
              <w:bottom w:val="single" w:sz="4" w:space="0" w:color="FFFFFF"/>
            </w:tcBorders>
            <w:shd w:fill="FFFFFF" w:val="clear"/>
            <w:vAlign w:val="center"/>
          </w:tcPr>
          <w:p>
            <w:pPr>
              <w:pStyle w:val="TableContents"/>
              <w:spacing w:before="0" w:after="283"/>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232" w:type="dxa"/>
            <w:tcBorders>
              <w:bottom w:val="sing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 xml:space="preserve">3,692 </w:t>
            </w:r>
          </w:p>
        </w:tc>
        <w:tc>
          <w:tcPr>
            <w:tcW w:w="208"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23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3,650 </w:t>
            </w:r>
          </w:p>
        </w:tc>
        <w:tc>
          <w:tcPr>
            <w:tcW w:w="124" w:type="dxa"/>
            <w:tcBorders>
              <w:bottom w:val="single" w:sz="4" w:space="0" w:color="FFFFFF"/>
            </w:tcBorders>
            <w:shd w:fill="FFFFFF" w:val="clear"/>
            <w:vAlign w:val="bottom"/>
          </w:tcPr>
          <w:p>
            <w:pPr>
              <w:pStyle w:val="TableContents"/>
              <w:spacing w:before="0" w:after="283"/>
              <w:jc w:val="left"/>
              <w:rPr/>
            </w:pPr>
            <w:r>
              <w:rPr/>
              <w:t> </w:t>
            </w:r>
          </w:p>
        </w:tc>
      </w:tr>
      <w:tr>
        <w:trPr/>
        <w:tc>
          <w:tcPr>
            <w:tcW w:w="6954" w:type="dxa"/>
            <w:tcBorders>
              <w:bottom w:val="single" w:sz="4" w:space="0" w:color="CCFFCC"/>
            </w:tcBorders>
            <w:shd w:fill="CCFFCC" w:val="clear"/>
            <w:vAlign w:val="bottom"/>
          </w:tcPr>
          <w:p>
            <w:pPr>
              <w:pStyle w:val="TableContents"/>
              <w:spacing w:lineRule="auto" w:line="300" w:before="0" w:after="0"/>
              <w:ind w:left="180" w:right="0" w:hanging="0"/>
              <w:jc w:val="left"/>
              <w:rPr/>
            </w:pPr>
            <w:r>
              <w:rPr>
                <w:rStyle w:val="StrongEmphasis"/>
                <w:rFonts w:ascii="Times New Roman" w:hAnsi="Times New Roman"/>
                <w:sz w:val="20"/>
              </w:rPr>
              <w:t>Total Other Assets</w:t>
            </w:r>
          </w:p>
        </w:tc>
        <w:tc>
          <w:tcPr>
            <w:tcW w:w="203" w:type="dxa"/>
            <w:tcBorders>
              <w:bottom w:val="single" w:sz="4" w:space="0" w:color="CCFFCC"/>
            </w:tcBorders>
            <w:shd w:fill="CCFFCC" w:val="clear"/>
            <w:vAlign w:val="center"/>
          </w:tcPr>
          <w:p>
            <w:pPr>
              <w:pStyle w:val="TableContents"/>
              <w:spacing w:before="0" w:after="283"/>
              <w:rPr/>
            </w:pPr>
            <w:r>
              <w:rPr/>
              <w:t> </w:t>
            </w:r>
          </w:p>
        </w:tc>
        <w:tc>
          <w:tcPr>
            <w:tcW w:w="126" w:type="dxa"/>
            <w:tcBorders>
              <w:bottom w:val="single" w:sz="2" w:space="0" w:color="000000"/>
            </w:tcBorders>
            <w:shd w:fill="CCFFCC" w:val="clear"/>
            <w:vAlign w:val="bottom"/>
          </w:tcPr>
          <w:p>
            <w:pPr>
              <w:pStyle w:val="TableContents"/>
              <w:spacing w:before="0" w:after="283"/>
              <w:jc w:val="left"/>
              <w:rPr/>
            </w:pPr>
            <w:r>
              <w:rPr/>
              <w:t> </w:t>
            </w:r>
          </w:p>
        </w:tc>
        <w:tc>
          <w:tcPr>
            <w:tcW w:w="1232" w:type="dxa"/>
            <w:tcBorders>
              <w:bottom w:val="single" w:sz="2" w:space="0" w:color="000000"/>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 xml:space="preserve">12,281 </w:t>
            </w:r>
          </w:p>
        </w:tc>
        <w:tc>
          <w:tcPr>
            <w:tcW w:w="208" w:type="dxa"/>
            <w:tcBorders>
              <w:bottom w:val="single" w:sz="4" w:space="0" w:color="CCFFCC"/>
            </w:tcBorders>
            <w:shd w:fill="CCFFCC" w:val="clear"/>
            <w:vAlign w:val="bottom"/>
          </w:tcPr>
          <w:p>
            <w:pPr>
              <w:pStyle w:val="TableContents"/>
              <w:spacing w:before="0" w:after="283"/>
              <w:jc w:val="left"/>
              <w:rPr/>
            </w:pPr>
            <w:r>
              <w:rPr/>
              <w:t> </w:t>
            </w:r>
          </w:p>
        </w:tc>
        <w:tc>
          <w:tcPr>
            <w:tcW w:w="126" w:type="dxa"/>
            <w:tcBorders>
              <w:bottom w:val="single" w:sz="2" w:space="0" w:color="000000"/>
            </w:tcBorders>
            <w:shd w:fill="CCFFCC" w:val="clear"/>
            <w:vAlign w:val="bottom"/>
          </w:tcPr>
          <w:p>
            <w:pPr>
              <w:pStyle w:val="TableContents"/>
              <w:spacing w:before="0" w:after="283"/>
              <w:jc w:val="left"/>
              <w:rPr/>
            </w:pPr>
            <w:r>
              <w:rPr/>
              <w:t> </w:t>
            </w:r>
          </w:p>
        </w:tc>
        <w:tc>
          <w:tcPr>
            <w:tcW w:w="1232"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12,342 </w:t>
            </w:r>
          </w:p>
        </w:tc>
        <w:tc>
          <w:tcPr>
            <w:tcW w:w="124" w:type="dxa"/>
            <w:tcBorders>
              <w:bottom w:val="single" w:sz="4" w:space="0" w:color="CCFFCC"/>
            </w:tcBorders>
            <w:shd w:fill="CCFFCC" w:val="clear"/>
            <w:vAlign w:val="bottom"/>
          </w:tcPr>
          <w:p>
            <w:pPr>
              <w:pStyle w:val="TableContents"/>
              <w:spacing w:before="0" w:after="283"/>
              <w:jc w:val="left"/>
              <w:rPr/>
            </w:pPr>
            <w:r>
              <w:rPr/>
              <w:t> </w:t>
            </w:r>
          </w:p>
        </w:tc>
      </w:tr>
      <w:tr>
        <w:trPr/>
        <w:tc>
          <w:tcPr>
            <w:tcW w:w="6954" w:type="dxa"/>
            <w:tcBorders/>
            <w:shd w:fill="FFFFFF" w:val="clear"/>
            <w:tcMar>
              <w:bottom w:w="0" w:type="dxa"/>
            </w:tcMar>
            <w:vAlign w:val="bottom"/>
          </w:tcPr>
          <w:p>
            <w:pPr>
              <w:pStyle w:val="TableContents"/>
              <w:spacing w:before="0" w:after="283"/>
              <w:jc w:val="left"/>
              <w:rPr/>
            </w:pPr>
            <w:r>
              <w:rPr/>
              <w:t> </w:t>
            </w:r>
          </w:p>
        </w:tc>
        <w:tc>
          <w:tcPr>
            <w:tcW w:w="203"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before="0" w:after="283"/>
              <w:jc w:val="right"/>
              <w:rPr/>
            </w:pPr>
            <w:r>
              <w:rPr/>
              <w:t> </w:t>
            </w:r>
          </w:p>
        </w:tc>
        <w:tc>
          <w:tcPr>
            <w:tcW w:w="20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before="0" w:after="283"/>
              <w:jc w:val="right"/>
              <w:rPr/>
            </w:pPr>
            <w:r>
              <w:rPr/>
              <w:t>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954" w:type="dxa"/>
            <w:tcBorders>
              <w:bottom w:val="single" w:sz="4"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Total Assets</w:t>
            </w:r>
          </w:p>
        </w:tc>
        <w:tc>
          <w:tcPr>
            <w:tcW w:w="203" w:type="dxa"/>
            <w:tcBorders>
              <w:bottom w:val="single" w:sz="4" w:space="0" w:color="CCFFCC"/>
            </w:tcBorders>
            <w:shd w:fill="CCFFCC" w:val="clear"/>
            <w:vAlign w:val="center"/>
          </w:tcPr>
          <w:p>
            <w:pPr>
              <w:pStyle w:val="TableContents"/>
              <w:spacing w:before="0" w:after="283"/>
              <w:rPr/>
            </w:pPr>
            <w:r>
              <w:rPr/>
              <w:t> </w:t>
            </w:r>
          </w:p>
        </w:tc>
        <w:tc>
          <w:tcPr>
            <w:tcW w:w="126" w:type="dxa"/>
            <w:tcBorders>
              <w:bottom w:val="double" w:sz="2" w:space="0" w:color="000000"/>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232" w:type="dxa"/>
            <w:tcBorders>
              <w:bottom w:val="double" w:sz="2" w:space="0" w:color="000000"/>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145,361</w:t>
            </w:r>
          </w:p>
        </w:tc>
        <w:tc>
          <w:tcPr>
            <w:tcW w:w="208" w:type="dxa"/>
            <w:tcBorders>
              <w:bottom w:val="single" w:sz="4" w:space="0" w:color="CCFFCC"/>
            </w:tcBorders>
            <w:shd w:fill="CCFFCC" w:val="clear"/>
            <w:vAlign w:val="bottom"/>
          </w:tcPr>
          <w:p>
            <w:pPr>
              <w:pStyle w:val="TableContents"/>
              <w:spacing w:before="0" w:after="283"/>
              <w:jc w:val="left"/>
              <w:rPr/>
            </w:pPr>
            <w:r>
              <w:rPr/>
              <w:t> </w:t>
            </w:r>
          </w:p>
        </w:tc>
        <w:tc>
          <w:tcPr>
            <w:tcW w:w="126"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32"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142,087</w:t>
            </w:r>
          </w:p>
        </w:tc>
        <w:tc>
          <w:tcPr>
            <w:tcW w:w="124" w:type="dxa"/>
            <w:tcBorders>
              <w:bottom w:val="single" w:sz="4" w:space="0" w:color="CCFFCC"/>
            </w:tcBorders>
            <w:shd w:fill="CCFFCC"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t> </w:t>
      </w:r>
    </w:p>
    <w:p>
      <w:pPr>
        <w:pStyle w:val="TextBody"/>
        <w:spacing w:lineRule="auto" w:line="300" w:before="0" w:after="0"/>
        <w:ind w:left="0" w:right="0" w:hanging="0"/>
        <w:jc w:val="left"/>
        <w:rPr/>
      </w:pPr>
      <w:r>
        <w:rPr>
          <w:rFonts w:ascii="Times New Roman" w:hAnsi="Times New Roman"/>
          <w:sz w:val="20"/>
        </w:rPr>
        <w:t>The accompanying notes are an integral part of the condensed consolidated financial statements.</w:t>
      </w:r>
      <w:bookmarkStart w:id="21" w:name="TAB23"/>
      <w:bookmarkEnd w:id="21"/>
      <w:r>
        <w:rPr>
          <w:color w:val="000000"/>
          <w:spacing w:val="7750"/>
        </w:rPr>
        <w:t> </w:t>
      </w:r>
      <w:bookmarkStart w:id="22" w:name="TAB22"/>
      <w:bookmarkEnd w:id="22"/>
      <w:r>
        <w:rPr>
          <w:color w:val="000000"/>
          <w:spacing w:val="56"/>
        </w:rPr>
        <w:t> </w:t>
      </w:r>
      <w:bookmarkStart w:id="23" w:name="TAB21"/>
      <w:bookmarkEnd w:id="23"/>
      <w:r>
        <w:rPr>
          <w:color w:val="000000"/>
          <w:spacing w:val="56"/>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 w:name="PGBRK1"/>
      <w:bookmarkStart w:id="25" w:name="PGBRK1"/>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 w:name="FTR1"/>
      <w:bookmarkStart w:id="27" w:name="FTR1"/>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 w:name="GLFTR1"/>
      <w:bookmarkStart w:id="29" w:name="GLFTR1"/>
      <w:bookmarkEnd w:id="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30" w:name="PN1"/>
      <w:bookmarkEnd w:id="30"/>
      <w:r>
        <w:rPr>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 w:name="HDR1"/>
      <w:bookmarkStart w:id="32" w:name="HDR1"/>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 w:name="GLHDR1"/>
      <w:bookmarkStart w:id="34" w:name="GLHDR1"/>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2160" w:right="0" w:hanging="0"/>
        <w:jc w:val="left"/>
        <w:rPr/>
      </w:pPr>
      <w:r>
        <w:rPr/>
      </w:r>
    </w:p>
    <w:p>
      <w:pPr>
        <w:pStyle w:val="TextBody"/>
        <w:spacing w:lineRule="auto" w:line="300" w:before="0" w:after="0"/>
        <w:ind w:left="0" w:right="0" w:hanging="0"/>
        <w:jc w:val="center"/>
        <w:rPr/>
      </w:pPr>
      <w:r>
        <w:rPr>
          <w:rStyle w:val="StrongEmphasis"/>
          <w:rFonts w:ascii="Times New Roman" w:hAnsi="Times New Roman"/>
          <w:sz w:val="20"/>
        </w:rPr>
        <w:t>OIL-DRI CORPORATION OF AMERICA &amp; SUBSIDIARIES</w:t>
      </w:r>
    </w:p>
    <w:p>
      <w:pPr>
        <w:pStyle w:val="TextBody"/>
        <w:spacing w:lineRule="auto" w:line="300" w:before="0" w:after="0"/>
        <w:ind w:left="0" w:right="0" w:hanging="0"/>
        <w:jc w:val="center"/>
        <w:rPr/>
      </w:pPr>
      <w:r>
        <w:rPr>
          <w:rStyle w:val="StrongEmphasis"/>
          <w:rFonts w:ascii="Times New Roman" w:hAnsi="Times New Roman"/>
          <w:sz w:val="20"/>
        </w:rPr>
        <w:t>Condensed Consolidated Balance Sheets</w:t>
      </w:r>
    </w:p>
    <w:p>
      <w:pPr>
        <w:pStyle w:val="TextBody"/>
        <w:spacing w:lineRule="auto" w:line="300" w:before="0" w:after="0"/>
        <w:ind w:left="0" w:right="0" w:hanging="0"/>
        <w:jc w:val="center"/>
        <w:rPr/>
      </w:pPr>
      <w:r>
        <w:rPr>
          <w:rStyle w:val="StrongEmphasis"/>
          <w:rFonts w:ascii="Times New Roman" w:hAnsi="Times New Roman"/>
          <w:sz w:val="20"/>
        </w:rPr>
        <w:t>(in thousands of dollars)</w:t>
      </w:r>
    </w:p>
    <w:p>
      <w:pPr>
        <w:pStyle w:val="TextBody"/>
        <w:spacing w:lineRule="auto" w:line="300" w:before="0" w:after="0"/>
        <w:ind w:left="0" w:right="0" w:hanging="0"/>
        <w:jc w:val="center"/>
        <w:rPr/>
      </w:pPr>
      <w:r>
        <w:rPr>
          <w:rStyle w:val="StrongEmphasis"/>
          <w:rFonts w:ascii="Times New Roman" w:hAnsi="Times New Roman"/>
          <w:sz w:val="20"/>
        </w:rPr>
        <w:t>(unaudited)</w:t>
      </w:r>
    </w:p>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35" w:name="ftable1"/>
      <w:bookmarkStart w:id="36" w:name="ftable1"/>
      <w:bookmarkEnd w:id="36"/>
    </w:p>
    <w:tbl>
      <w:tblPr>
        <w:tblW w:w="5000" w:type="pct"/>
        <w:jc w:val="left"/>
        <w:tblInd w:w="0" w:type="dxa"/>
        <w:tblCellMar>
          <w:top w:w="0" w:type="dxa"/>
          <w:left w:w="0" w:type="dxa"/>
          <w:bottom w:w="28" w:type="dxa"/>
          <w:right w:w="0" w:type="dxa"/>
        </w:tblCellMar>
      </w:tblPr>
      <w:tblGrid>
        <w:gridCol w:w="7031"/>
        <w:gridCol w:w="199"/>
        <w:gridCol w:w="125"/>
        <w:gridCol w:w="1199"/>
        <w:gridCol w:w="205"/>
        <w:gridCol w:w="125"/>
        <w:gridCol w:w="1199"/>
        <w:gridCol w:w="122"/>
      </w:tblGrid>
      <w:tr>
        <w:trPr/>
        <w:tc>
          <w:tcPr>
            <w:tcW w:w="7031" w:type="dxa"/>
            <w:tcBorders>
              <w:bottom w:val="single" w:sz="4" w:space="0" w:color="FFFFFF"/>
            </w:tcBorders>
            <w:shd w:fill="auto" w:val="clear"/>
            <w:vAlign w:val="bottom"/>
          </w:tcPr>
          <w:p>
            <w:pPr>
              <w:pStyle w:val="TableContents"/>
              <w:spacing w:before="0" w:after="283"/>
              <w:jc w:val="left"/>
              <w:rPr/>
            </w:pPr>
            <w:r>
              <w:rPr/>
              <w:t> </w:t>
            </w:r>
          </w:p>
        </w:tc>
        <w:tc>
          <w:tcPr>
            <w:tcW w:w="199" w:type="dxa"/>
            <w:tcBorders>
              <w:bottom w:val="single" w:sz="4" w:space="0" w:color="FFFFFF"/>
            </w:tcBorders>
            <w:shd w:fill="auto" w:val="clear"/>
            <w:vAlign w:val="center"/>
          </w:tcPr>
          <w:p>
            <w:pPr>
              <w:pStyle w:val="TableContents"/>
              <w:spacing w:before="0" w:after="283"/>
              <w:rPr/>
            </w:pPr>
            <w:r>
              <w:rPr/>
              <w:t> </w:t>
            </w:r>
          </w:p>
        </w:tc>
        <w:tc>
          <w:tcPr>
            <w:tcW w:w="1324"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January 31, </w:t>
            </w:r>
          </w:p>
          <w:p>
            <w:pPr>
              <w:pStyle w:val="TableContents"/>
              <w:spacing w:lineRule="auto" w:line="300" w:before="0" w:after="0"/>
              <w:ind w:left="0" w:right="0" w:hanging="0"/>
              <w:jc w:val="center"/>
              <w:rPr/>
            </w:pPr>
            <w:r>
              <w:rPr>
                <w:rStyle w:val="StrongEmphasis"/>
                <w:rFonts w:ascii="Times New Roman" w:hAnsi="Times New Roman"/>
                <w:sz w:val="20"/>
              </w:rPr>
              <w:t>2008  </w:t>
            </w:r>
          </w:p>
        </w:tc>
        <w:tc>
          <w:tcPr>
            <w:tcW w:w="205" w:type="dxa"/>
            <w:tcBorders>
              <w:bottom w:val="single" w:sz="4" w:space="0" w:color="FFFFFF"/>
            </w:tcBorders>
            <w:shd w:fill="auto" w:val="clear"/>
            <w:vAlign w:val="bottom"/>
          </w:tcPr>
          <w:p>
            <w:pPr>
              <w:pStyle w:val="TableContents"/>
              <w:spacing w:before="0" w:after="283"/>
              <w:jc w:val="left"/>
              <w:rPr/>
            </w:pPr>
            <w:r>
              <w:rPr/>
              <w:t> </w:t>
            </w:r>
          </w:p>
        </w:tc>
        <w:tc>
          <w:tcPr>
            <w:tcW w:w="1324"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July 31, </w:t>
            </w:r>
          </w:p>
          <w:p>
            <w:pPr>
              <w:pStyle w:val="TableContents"/>
              <w:spacing w:lineRule="auto" w:line="300" w:before="0" w:after="0"/>
              <w:ind w:left="0" w:right="0" w:hanging="0"/>
              <w:jc w:val="center"/>
              <w:rPr/>
            </w:pPr>
            <w:r>
              <w:rPr>
                <w:rStyle w:val="StrongEmphasis"/>
                <w:rFonts w:ascii="Times New Roman" w:hAnsi="Times New Roman"/>
                <w:sz w:val="20"/>
              </w:rPr>
              <w:t>2007</w:t>
            </w:r>
          </w:p>
        </w:tc>
        <w:tc>
          <w:tcPr>
            <w:tcW w:w="122" w:type="dxa"/>
            <w:tcBorders>
              <w:bottom w:val="single" w:sz="4" w:space="0" w:color="FFFFFF"/>
            </w:tcBorders>
            <w:shd w:fill="auto" w:val="clear"/>
            <w:vAlign w:val="bottom"/>
          </w:tcPr>
          <w:p>
            <w:pPr>
              <w:pStyle w:val="TableContents"/>
              <w:spacing w:before="0" w:after="283"/>
              <w:jc w:val="left"/>
              <w:rPr/>
            </w:pPr>
            <w:r>
              <w:rPr/>
              <w:t> </w:t>
            </w:r>
          </w:p>
        </w:tc>
      </w:tr>
      <w:tr>
        <w:trPr/>
        <w:tc>
          <w:tcPr>
            <w:tcW w:w="7031" w:type="dxa"/>
            <w:tcBorders/>
            <w:shd w:fill="CCFFCC" w:val="clear"/>
            <w:tcMar>
              <w:bottom w:w="0" w:type="dxa"/>
            </w:tcMar>
            <w:vAlign w:val="bottom"/>
          </w:tcPr>
          <w:p>
            <w:pPr>
              <w:pStyle w:val="TableContents"/>
              <w:spacing w:lineRule="auto" w:line="300" w:before="0" w:after="0"/>
              <w:ind w:left="0" w:right="0" w:hanging="0"/>
              <w:jc w:val="center"/>
              <w:rPr/>
            </w:pPr>
            <w:r>
              <w:rPr>
                <w:rStyle w:val="StrongEmphasis"/>
                <w:rFonts w:ascii="Times New Roman" w:hAnsi="Times New Roman"/>
                <w:sz w:val="20"/>
              </w:rPr>
              <w:t>LIABILITIES &amp; STOCKHOLDERS’ EQUITY</w:t>
            </w:r>
          </w:p>
        </w:tc>
        <w:tc>
          <w:tcPr>
            <w:tcW w:w="199" w:type="dxa"/>
            <w:tcBorders/>
            <w:shd w:fill="CCFFCC" w:val="clear"/>
            <w:tcMar>
              <w:bottom w:w="0" w:type="dxa"/>
            </w:tcMar>
            <w:vAlign w:val="center"/>
          </w:tcPr>
          <w:p>
            <w:pPr>
              <w:pStyle w:val="TableContents"/>
              <w:spacing w:before="0" w:after="283"/>
              <w:rPr/>
            </w:pPr>
            <w:r>
              <w:rPr/>
              <w:t> </w:t>
            </w:r>
          </w:p>
        </w:tc>
        <w:tc>
          <w:tcPr>
            <w:tcW w:w="1324" w:type="dxa"/>
            <w:gridSpan w:val="2"/>
            <w:tcBorders/>
            <w:shd w:fill="CCFFCC" w:val="clear"/>
            <w:tcMar>
              <w:bottom w:w="0" w:type="dxa"/>
            </w:tcMar>
            <w:vAlign w:val="bottom"/>
          </w:tcPr>
          <w:p>
            <w:pPr>
              <w:pStyle w:val="TableContents"/>
              <w:spacing w:before="0" w:after="283"/>
              <w:jc w:val="left"/>
              <w:rPr/>
            </w:pPr>
            <w:r>
              <w:rPr/>
              <w:t> </w:t>
            </w:r>
          </w:p>
        </w:tc>
        <w:tc>
          <w:tcPr>
            <w:tcW w:w="205" w:type="dxa"/>
            <w:tcBorders/>
            <w:shd w:fill="CCFFCC" w:val="clear"/>
            <w:tcMar>
              <w:bottom w:w="0" w:type="dxa"/>
            </w:tcMar>
            <w:vAlign w:val="bottom"/>
          </w:tcPr>
          <w:p>
            <w:pPr>
              <w:pStyle w:val="TableContents"/>
              <w:spacing w:before="0" w:after="283"/>
              <w:jc w:val="left"/>
              <w:rPr/>
            </w:pPr>
            <w:r>
              <w:rPr/>
              <w:t> </w:t>
            </w:r>
          </w:p>
        </w:tc>
        <w:tc>
          <w:tcPr>
            <w:tcW w:w="1324" w:type="dxa"/>
            <w:gridSpan w:val="2"/>
            <w:tcBorders/>
            <w:shd w:fill="CCFFCC" w:val="clear"/>
            <w:tcMar>
              <w:bottom w:w="0" w:type="dxa"/>
            </w:tcMar>
            <w:vAlign w:val="bottom"/>
          </w:tcPr>
          <w:p>
            <w:pPr>
              <w:pStyle w:val="TableContents"/>
              <w:spacing w:before="0" w:after="283"/>
              <w:jc w:val="left"/>
              <w:rPr/>
            </w:pPr>
            <w:r>
              <w:rPr/>
              <w:t> </w:t>
            </w:r>
          </w:p>
        </w:tc>
        <w:tc>
          <w:tcPr>
            <w:tcW w:w="122" w:type="dxa"/>
            <w:tcBorders/>
            <w:shd w:fill="CCFFCC" w:val="clear"/>
            <w:tcMar>
              <w:bottom w:w="0" w:type="dxa"/>
            </w:tcMar>
            <w:vAlign w:val="bottom"/>
          </w:tcPr>
          <w:p>
            <w:pPr>
              <w:pStyle w:val="TableContents"/>
              <w:spacing w:before="0" w:after="283"/>
              <w:jc w:val="left"/>
              <w:rPr/>
            </w:pPr>
            <w:r>
              <w:rPr/>
              <w:t> </w:t>
            </w:r>
          </w:p>
        </w:tc>
      </w:tr>
      <w:tr>
        <w:trPr/>
        <w:tc>
          <w:tcPr>
            <w:tcW w:w="7031" w:type="dxa"/>
            <w:tcBorders/>
            <w:shd w:fill="FFFFFF" w:val="clear"/>
            <w:tcMar>
              <w:bottom w:w="0" w:type="dxa"/>
            </w:tcMar>
            <w:vAlign w:val="bottom"/>
          </w:tcPr>
          <w:p>
            <w:pPr>
              <w:pStyle w:val="TableContents"/>
              <w:spacing w:before="0" w:after="283"/>
              <w:jc w:val="left"/>
              <w:rPr/>
            </w:pPr>
            <w:r>
              <w:rPr/>
              <w:t> </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31" w:type="dxa"/>
            <w:tcBorders>
              <w:bottom w:val="single" w:sz="2"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u w:val="single"/>
              </w:rPr>
              <w:t>Current Liabilities</w:t>
            </w:r>
          </w:p>
        </w:tc>
        <w:tc>
          <w:tcPr>
            <w:tcW w:w="199" w:type="dxa"/>
            <w:tcBorders>
              <w:bottom w:val="single" w:sz="2" w:space="0" w:color="FFFFFF"/>
            </w:tcBorders>
            <w:shd w:fill="FFFFFF" w:val="cle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bottom w:val="single" w:sz="2" w:space="0" w:color="FFFFFF"/>
            </w:tcBorders>
            <w:shd w:fill="FFFFFF" w:val="clear"/>
            <w:vAlign w:val="bottom"/>
          </w:tcPr>
          <w:p>
            <w:pPr>
              <w:pStyle w:val="TableContents"/>
              <w:spacing w:before="0" w:after="283"/>
              <w:jc w:val="right"/>
              <w:rPr/>
            </w:pPr>
            <w:r>
              <w:rPr/>
              <w:t> </w:t>
            </w:r>
          </w:p>
        </w:tc>
        <w:tc>
          <w:tcPr>
            <w:tcW w:w="205"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bottom w:val="single" w:sz="2" w:space="0" w:color="FFFFFF"/>
            </w:tcBorders>
            <w:shd w:fill="FFFFFF" w:val="clear"/>
            <w:vAlign w:val="bottom"/>
          </w:tcPr>
          <w:p>
            <w:pPr>
              <w:pStyle w:val="TableContents"/>
              <w:spacing w:before="0" w:after="283"/>
              <w:jc w:val="right"/>
              <w:rPr/>
            </w:pPr>
            <w:r>
              <w:rPr/>
              <w:t> </w:t>
            </w:r>
          </w:p>
        </w:tc>
        <w:tc>
          <w:tcPr>
            <w:tcW w:w="122" w:type="dxa"/>
            <w:tcBorders>
              <w:bottom w:val="single" w:sz="2" w:space="0" w:color="FFFFFF"/>
            </w:tcBorders>
            <w:shd w:fill="FFFFFF" w:val="clear"/>
            <w:vAlign w:val="bottom"/>
          </w:tcPr>
          <w:p>
            <w:pPr>
              <w:pStyle w:val="TableContents"/>
              <w:spacing w:before="0" w:after="283"/>
              <w:jc w:val="left"/>
              <w:rPr/>
            </w:pPr>
            <w:r>
              <w:rPr/>
              <w:t> </w:t>
            </w:r>
          </w:p>
        </w:tc>
      </w:tr>
      <w:tr>
        <w:trPr/>
        <w:tc>
          <w:tcPr>
            <w:tcW w:w="7031"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Current maturities of notes payable</w:t>
            </w:r>
          </w:p>
        </w:tc>
        <w:tc>
          <w:tcPr>
            <w:tcW w:w="199"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lineRule="auto" w:line="300" w:before="0" w:after="0"/>
              <w:ind w:left="0" w:right="0" w:hanging="0"/>
              <w:jc w:val="left"/>
              <w:rPr/>
            </w:pPr>
            <w:bookmarkStart w:id="37" w:name="TAB14"/>
            <w:bookmarkEnd w:id="37"/>
            <w:r>
              <w:rPr>
                <w:rStyle w:val="StrongEmphasis"/>
                <w:rFonts w:ascii="Times New Roman" w:hAnsi="Times New Roman"/>
                <w:sz w:val="20"/>
              </w:rPr>
              <w:t>$</w:t>
            </w:r>
            <w:bookmarkStart w:id="38" w:name="TAB24"/>
            <w:bookmarkEnd w:id="38"/>
          </w:p>
        </w:tc>
        <w:tc>
          <w:tcPr>
            <w:tcW w:w="1199" w:type="dxa"/>
            <w:tcBorders/>
            <w:shd w:fill="CCFFCC" w:val="clear"/>
            <w:tcMar>
              <w:bottom w:w="0" w:type="dxa"/>
            </w:tcMar>
            <w:vAlign w:val="bottom"/>
          </w:tcPr>
          <w:p>
            <w:pPr>
              <w:pStyle w:val="TableContents"/>
              <w:spacing w:lineRule="auto" w:line="300" w:before="0" w:after="0"/>
              <w:ind w:left="0" w:right="0" w:hanging="0"/>
              <w:jc w:val="right"/>
              <w:rPr/>
            </w:pPr>
            <w:bookmarkStart w:id="39" w:name="TAB25"/>
            <w:bookmarkStart w:id="40" w:name="TAB15"/>
            <w:bookmarkEnd w:id="39"/>
            <w:bookmarkEnd w:id="40"/>
            <w:r>
              <w:rPr>
                <w:rStyle w:val="StrongEmphasis"/>
                <w:rFonts w:ascii="Times New Roman" w:hAnsi="Times New Roman"/>
                <w:sz w:val="20"/>
              </w:rPr>
              <w:t xml:space="preserve">8,080 </w:t>
            </w:r>
          </w:p>
        </w:tc>
        <w:tc>
          <w:tcPr>
            <w:tcW w:w="205"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1" w:name="TAB16"/>
            <w:bookmarkEnd w:id="41"/>
            <w:r>
              <w:rPr>
                <w:rFonts w:ascii="Times New Roman" w:hAnsi="Times New Roman"/>
                <w:sz w:val="20"/>
              </w:rPr>
              <w:t>$</w:t>
            </w:r>
            <w:bookmarkStart w:id="42" w:name="TAB26"/>
            <w:bookmarkEnd w:id="42"/>
          </w:p>
        </w:tc>
        <w:tc>
          <w:tcPr>
            <w:tcW w:w="119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3" w:name="TAB27"/>
            <w:bookmarkStart w:id="44" w:name="TAB17"/>
            <w:bookmarkEnd w:id="43"/>
            <w:bookmarkEnd w:id="44"/>
            <w:r>
              <w:rPr>
                <w:rFonts w:ascii="Times New Roman" w:hAnsi="Times New Roman"/>
                <w:sz w:val="20"/>
              </w:rPr>
              <w:t xml:space="preserve">4,080 </w:t>
            </w:r>
          </w:p>
        </w:tc>
        <w:tc>
          <w:tcPr>
            <w:tcW w:w="122" w:type="dxa"/>
            <w:tcBorders/>
            <w:shd w:fill="CCFFCC" w:val="clear"/>
            <w:tcMar>
              <w:bottom w:w="0" w:type="dxa"/>
            </w:tcMar>
            <w:vAlign w:val="bottom"/>
          </w:tcPr>
          <w:p>
            <w:pPr>
              <w:pStyle w:val="TableContents"/>
              <w:spacing w:before="0" w:after="283"/>
              <w:jc w:val="left"/>
              <w:rPr/>
            </w:pPr>
            <w:r>
              <w:rPr/>
              <w:t> </w:t>
            </w:r>
          </w:p>
        </w:tc>
      </w:tr>
      <w:tr>
        <w:trPr/>
        <w:tc>
          <w:tcPr>
            <w:tcW w:w="703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Accounts payable</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300" w:before="0" w:after="0"/>
              <w:ind w:left="0" w:right="0" w:hanging="0"/>
              <w:jc w:val="right"/>
              <w:rPr/>
            </w:pPr>
            <w:bookmarkStart w:id="45" w:name="TAB18"/>
            <w:bookmarkStart w:id="46" w:name="TAB19"/>
            <w:bookmarkEnd w:id="45"/>
            <w:bookmarkEnd w:id="46"/>
            <w:r>
              <w:rPr>
                <w:rStyle w:val="StrongEmphasis"/>
                <w:rFonts w:ascii="Times New Roman" w:hAnsi="Times New Roman"/>
                <w:sz w:val="20"/>
              </w:rPr>
              <w:t xml:space="preserve">6,130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7" w:name="TAB110"/>
            <w:bookmarkStart w:id="48" w:name="TAB111"/>
            <w:bookmarkEnd w:id="47"/>
            <w:bookmarkEnd w:id="48"/>
            <w:r>
              <w:rPr>
                <w:rFonts w:ascii="Times New Roman" w:hAnsi="Times New Roman"/>
                <w:sz w:val="20"/>
              </w:rPr>
              <w:t xml:space="preserve">6,181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31"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Dividends payable</w:t>
            </w:r>
          </w:p>
        </w:tc>
        <w:tc>
          <w:tcPr>
            <w:tcW w:w="199"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pPr>
            <w:bookmarkStart w:id="49" w:name="TAB112"/>
            <w:bookmarkStart w:id="50" w:name="TAB113"/>
            <w:bookmarkEnd w:id="49"/>
            <w:bookmarkEnd w:id="50"/>
            <w:r>
              <w:rPr>
                <w:rStyle w:val="StrongEmphasis"/>
                <w:rFonts w:ascii="Times New Roman" w:hAnsi="Times New Roman"/>
                <w:sz w:val="20"/>
              </w:rPr>
              <w:t xml:space="preserve">846 </w:t>
            </w:r>
          </w:p>
        </w:tc>
        <w:tc>
          <w:tcPr>
            <w:tcW w:w="205"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51" w:name="TAB114"/>
            <w:bookmarkStart w:id="52" w:name="TAB115"/>
            <w:bookmarkEnd w:id="51"/>
            <w:bookmarkEnd w:id="52"/>
            <w:r>
              <w:rPr>
                <w:rFonts w:ascii="Times New Roman" w:hAnsi="Times New Roman"/>
                <w:sz w:val="20"/>
              </w:rPr>
              <w:t xml:space="preserve">833 </w:t>
            </w:r>
          </w:p>
        </w:tc>
        <w:tc>
          <w:tcPr>
            <w:tcW w:w="122" w:type="dxa"/>
            <w:tcBorders/>
            <w:shd w:fill="CCFFCC" w:val="clear"/>
            <w:tcMar>
              <w:bottom w:w="0" w:type="dxa"/>
            </w:tcMar>
            <w:vAlign w:val="bottom"/>
          </w:tcPr>
          <w:p>
            <w:pPr>
              <w:pStyle w:val="TableContents"/>
              <w:spacing w:before="0" w:after="283"/>
              <w:jc w:val="left"/>
              <w:rPr/>
            </w:pPr>
            <w:r>
              <w:rPr/>
              <w:t> </w:t>
            </w:r>
          </w:p>
        </w:tc>
      </w:tr>
      <w:tr>
        <w:trPr/>
        <w:tc>
          <w:tcPr>
            <w:tcW w:w="703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Accrued expenses:</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31"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Salaries, wages and commissions</w:t>
            </w:r>
          </w:p>
        </w:tc>
        <w:tc>
          <w:tcPr>
            <w:tcW w:w="199"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pPr>
            <w:bookmarkStart w:id="53" w:name="TAB116"/>
            <w:bookmarkStart w:id="54" w:name="TAB117"/>
            <w:bookmarkEnd w:id="53"/>
            <w:bookmarkEnd w:id="54"/>
            <w:r>
              <w:rPr>
                <w:rStyle w:val="StrongEmphasis"/>
                <w:rFonts w:ascii="Times New Roman" w:hAnsi="Times New Roman"/>
                <w:sz w:val="20"/>
              </w:rPr>
              <w:t xml:space="preserve">4,018 </w:t>
            </w:r>
          </w:p>
        </w:tc>
        <w:tc>
          <w:tcPr>
            <w:tcW w:w="205"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55" w:name="TAB118"/>
            <w:bookmarkStart w:id="56" w:name="TAB119"/>
            <w:bookmarkEnd w:id="55"/>
            <w:bookmarkEnd w:id="56"/>
            <w:r>
              <w:rPr>
                <w:rFonts w:ascii="Times New Roman" w:hAnsi="Times New Roman"/>
                <w:sz w:val="20"/>
              </w:rPr>
              <w:t xml:space="preserve">7,052 </w:t>
            </w:r>
          </w:p>
        </w:tc>
        <w:tc>
          <w:tcPr>
            <w:tcW w:w="122" w:type="dxa"/>
            <w:tcBorders/>
            <w:shd w:fill="CCFFCC" w:val="clear"/>
            <w:tcMar>
              <w:bottom w:w="0" w:type="dxa"/>
            </w:tcMar>
            <w:vAlign w:val="bottom"/>
          </w:tcPr>
          <w:p>
            <w:pPr>
              <w:pStyle w:val="TableContents"/>
              <w:spacing w:before="0" w:after="283"/>
              <w:jc w:val="left"/>
              <w:rPr/>
            </w:pPr>
            <w:r>
              <w:rPr/>
              <w:t> </w:t>
            </w:r>
          </w:p>
        </w:tc>
      </w:tr>
      <w:tr>
        <w:trPr/>
        <w:tc>
          <w:tcPr>
            <w:tcW w:w="7031"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Trade promotions and advertising</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300" w:before="0" w:after="0"/>
              <w:ind w:left="0" w:right="0" w:hanging="0"/>
              <w:jc w:val="right"/>
              <w:rPr/>
            </w:pPr>
            <w:bookmarkStart w:id="57" w:name="TAB120"/>
            <w:bookmarkStart w:id="58" w:name="TAB121"/>
            <w:bookmarkEnd w:id="57"/>
            <w:bookmarkEnd w:id="58"/>
            <w:r>
              <w:rPr>
                <w:rStyle w:val="StrongEmphasis"/>
                <w:rFonts w:ascii="Times New Roman" w:hAnsi="Times New Roman"/>
                <w:sz w:val="20"/>
              </w:rPr>
              <w:t xml:space="preserve">3,028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59" w:name="TAB122"/>
            <w:bookmarkStart w:id="60" w:name="TAB123"/>
            <w:bookmarkEnd w:id="59"/>
            <w:bookmarkEnd w:id="60"/>
            <w:r>
              <w:rPr>
                <w:rFonts w:ascii="Times New Roman" w:hAnsi="Times New Roman"/>
                <w:sz w:val="20"/>
              </w:rPr>
              <w:t xml:space="preserve">2,395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31"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Freight</w:t>
            </w:r>
          </w:p>
        </w:tc>
        <w:tc>
          <w:tcPr>
            <w:tcW w:w="199"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pPr>
            <w:bookmarkStart w:id="61" w:name="TAB124"/>
            <w:bookmarkStart w:id="62" w:name="TAB125"/>
            <w:bookmarkEnd w:id="61"/>
            <w:bookmarkEnd w:id="62"/>
            <w:r>
              <w:rPr>
                <w:rStyle w:val="StrongEmphasis"/>
                <w:rFonts w:ascii="Times New Roman" w:hAnsi="Times New Roman"/>
                <w:sz w:val="20"/>
              </w:rPr>
              <w:t xml:space="preserve">1,524 </w:t>
            </w:r>
          </w:p>
        </w:tc>
        <w:tc>
          <w:tcPr>
            <w:tcW w:w="205"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63" w:name="TAB126"/>
            <w:bookmarkStart w:id="64" w:name="TAB127"/>
            <w:bookmarkEnd w:id="63"/>
            <w:bookmarkEnd w:id="64"/>
            <w:r>
              <w:rPr>
                <w:rFonts w:ascii="Times New Roman" w:hAnsi="Times New Roman"/>
                <w:sz w:val="20"/>
              </w:rPr>
              <w:t xml:space="preserve">1,305 </w:t>
            </w:r>
          </w:p>
        </w:tc>
        <w:tc>
          <w:tcPr>
            <w:tcW w:w="122" w:type="dxa"/>
            <w:tcBorders/>
            <w:shd w:fill="CCFFCC" w:val="clear"/>
            <w:tcMar>
              <w:bottom w:w="0" w:type="dxa"/>
            </w:tcMar>
            <w:vAlign w:val="bottom"/>
          </w:tcPr>
          <w:p>
            <w:pPr>
              <w:pStyle w:val="TableContents"/>
              <w:spacing w:before="0" w:after="283"/>
              <w:jc w:val="left"/>
              <w:rPr/>
            </w:pPr>
            <w:r>
              <w:rPr/>
              <w:t> </w:t>
            </w:r>
          </w:p>
        </w:tc>
      </w:tr>
      <w:tr>
        <w:trPr/>
        <w:tc>
          <w:tcPr>
            <w:tcW w:w="7031" w:type="dxa"/>
            <w:tcBorders>
              <w:bottom w:val="single" w:sz="4" w:space="0" w:color="FFFFFF"/>
            </w:tcBorders>
            <w:shd w:fill="FFFFFF" w:val="cle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Other</w:t>
            </w:r>
          </w:p>
        </w:tc>
        <w:tc>
          <w:tcPr>
            <w:tcW w:w="199" w:type="dxa"/>
            <w:tcBorders>
              <w:bottom w:val="single" w:sz="4"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99"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65" w:name="TAB128"/>
            <w:bookmarkStart w:id="66" w:name="TAB129"/>
            <w:bookmarkEnd w:id="65"/>
            <w:bookmarkEnd w:id="66"/>
            <w:r>
              <w:rPr>
                <w:rStyle w:val="StrongEmphasis"/>
                <w:rFonts w:ascii="Times New Roman" w:hAnsi="Times New Roman"/>
                <w:sz w:val="20"/>
              </w:rPr>
              <w:t xml:space="preserve">5,796 </w:t>
            </w:r>
          </w:p>
        </w:tc>
        <w:tc>
          <w:tcPr>
            <w:tcW w:w="205"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9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67" w:name="TAB130"/>
            <w:bookmarkStart w:id="68" w:name="TAB131"/>
            <w:bookmarkEnd w:id="67"/>
            <w:bookmarkEnd w:id="68"/>
            <w:r>
              <w:rPr>
                <w:rFonts w:ascii="Times New Roman" w:hAnsi="Times New Roman"/>
                <w:sz w:val="20"/>
              </w:rPr>
              <w:t xml:space="preserve">5,559 </w:t>
            </w:r>
          </w:p>
        </w:tc>
        <w:tc>
          <w:tcPr>
            <w:tcW w:w="122" w:type="dxa"/>
            <w:tcBorders>
              <w:bottom w:val="single" w:sz="4" w:space="0" w:color="FFFFFF"/>
            </w:tcBorders>
            <w:shd w:fill="FFFFFF" w:val="clear"/>
            <w:vAlign w:val="bottom"/>
          </w:tcPr>
          <w:p>
            <w:pPr>
              <w:pStyle w:val="TableContents"/>
              <w:spacing w:before="0" w:after="283"/>
              <w:jc w:val="left"/>
              <w:rPr/>
            </w:pPr>
            <w:r>
              <w:rPr/>
              <w:t> </w:t>
            </w:r>
          </w:p>
        </w:tc>
      </w:tr>
      <w:tr>
        <w:trPr/>
        <w:tc>
          <w:tcPr>
            <w:tcW w:w="7031" w:type="dxa"/>
            <w:tcBorders>
              <w:bottom w:val="single" w:sz="4" w:space="0" w:color="CCFFCC"/>
            </w:tcBorders>
            <w:shd w:fill="CCFFCC" w:val="clear"/>
            <w:vAlign w:val="bottom"/>
          </w:tcPr>
          <w:p>
            <w:pPr>
              <w:pStyle w:val="TableContents"/>
              <w:spacing w:lineRule="auto" w:line="300" w:before="0" w:after="0"/>
              <w:ind w:left="360" w:right="0" w:hanging="0"/>
              <w:jc w:val="left"/>
              <w:rPr/>
            </w:pPr>
            <w:r>
              <w:rPr>
                <w:rStyle w:val="StrongEmphasis"/>
                <w:rFonts w:ascii="Times New Roman" w:hAnsi="Times New Roman"/>
                <w:sz w:val="20"/>
              </w:rPr>
              <w:t>Total Current Liabilities</w:t>
            </w:r>
          </w:p>
        </w:tc>
        <w:tc>
          <w:tcPr>
            <w:tcW w:w="199" w:type="dxa"/>
            <w:tcBorders>
              <w:bottom w:val="single" w:sz="4" w:space="0" w:color="CCFFCC"/>
            </w:tcBorders>
            <w:shd w:fill="CCFFCC" w:val="clear"/>
            <w:vAlign w:val="center"/>
          </w:tcPr>
          <w:p>
            <w:pPr>
              <w:pStyle w:val="TableContents"/>
              <w:spacing w:before="0" w:after="283"/>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199"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69" w:name="TAB132"/>
            <w:bookmarkStart w:id="70" w:name="TAB133"/>
            <w:bookmarkEnd w:id="69"/>
            <w:bookmarkEnd w:id="70"/>
            <w:r>
              <w:rPr>
                <w:rStyle w:val="StrongEmphasis"/>
                <w:rFonts w:ascii="Times New Roman" w:hAnsi="Times New Roman"/>
                <w:sz w:val="20"/>
              </w:rPr>
              <w:t xml:space="preserve">29,422 </w:t>
            </w:r>
          </w:p>
        </w:tc>
        <w:tc>
          <w:tcPr>
            <w:tcW w:w="205" w:type="dxa"/>
            <w:tcBorders>
              <w:bottom w:val="single" w:sz="4" w:space="0" w:color="CCFFCC"/>
            </w:tcBorders>
            <w:shd w:fill="CCFFCC" w:val="clear"/>
            <w:vAlign w:val="bottom"/>
          </w:tcPr>
          <w:p>
            <w:pPr>
              <w:pStyle w:val="TableContents"/>
              <w:spacing w:before="0" w:after="283"/>
              <w:jc w:val="left"/>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199"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bookmarkStart w:id="71" w:name="TAB134"/>
            <w:bookmarkStart w:id="72" w:name="TAB135"/>
            <w:bookmarkEnd w:id="71"/>
            <w:bookmarkEnd w:id="72"/>
            <w:r>
              <w:rPr>
                <w:rFonts w:ascii="Times New Roman" w:hAnsi="Times New Roman"/>
                <w:sz w:val="20"/>
              </w:rPr>
              <w:t xml:space="preserve">27,405 </w:t>
            </w:r>
          </w:p>
        </w:tc>
        <w:tc>
          <w:tcPr>
            <w:tcW w:w="122" w:type="dxa"/>
            <w:tcBorders>
              <w:bottom w:val="single" w:sz="4" w:space="0" w:color="CCFFCC"/>
            </w:tcBorders>
            <w:shd w:fill="CCFFCC" w:val="clear"/>
            <w:vAlign w:val="bottom"/>
          </w:tcPr>
          <w:p>
            <w:pPr>
              <w:pStyle w:val="TableContents"/>
              <w:spacing w:before="0" w:after="283"/>
              <w:jc w:val="left"/>
              <w:rPr/>
            </w:pPr>
            <w:r>
              <w:rPr/>
              <w:t> </w:t>
            </w:r>
          </w:p>
        </w:tc>
      </w:tr>
      <w:tr>
        <w:trPr/>
        <w:tc>
          <w:tcPr>
            <w:tcW w:w="7031" w:type="dxa"/>
            <w:tcBorders/>
            <w:shd w:fill="FFFFFF" w:val="clear"/>
            <w:tcMar>
              <w:bottom w:w="0" w:type="dxa"/>
            </w:tcMar>
            <w:vAlign w:val="bottom"/>
          </w:tcPr>
          <w:p>
            <w:pPr>
              <w:pStyle w:val="TableContents"/>
              <w:spacing w:before="0" w:after="283"/>
              <w:jc w:val="left"/>
              <w:rPr/>
            </w:pPr>
            <w:r>
              <w:rPr/>
              <w:t> </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31" w:type="dxa"/>
            <w:tcBorders>
              <w:bottom w:val="single" w:sz="2"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u w:val="single"/>
              </w:rPr>
              <w:t>Noncurrent Liabilities</w:t>
            </w:r>
          </w:p>
        </w:tc>
        <w:tc>
          <w:tcPr>
            <w:tcW w:w="199" w:type="dxa"/>
            <w:tcBorders>
              <w:bottom w:val="single" w:sz="2" w:space="0" w:color="CCFFCC"/>
            </w:tcBorders>
            <w:shd w:fill="CCFFCC" w:val="cle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bottom w:val="single" w:sz="2" w:space="0" w:color="CCFFCC"/>
            </w:tcBorders>
            <w:shd w:fill="CCFFCC" w:val="clear"/>
            <w:vAlign w:val="bottom"/>
          </w:tcPr>
          <w:p>
            <w:pPr>
              <w:pStyle w:val="TableContents"/>
              <w:spacing w:before="0" w:after="283"/>
              <w:jc w:val="right"/>
              <w:rPr/>
            </w:pPr>
            <w:r>
              <w:rPr/>
              <w:t> </w:t>
            </w:r>
          </w:p>
        </w:tc>
        <w:tc>
          <w:tcPr>
            <w:tcW w:w="205" w:type="dxa"/>
            <w:tcBorders>
              <w:bottom w:val="single" w:sz="2" w:space="0" w:color="CCFFCC"/>
            </w:tcBorders>
            <w:shd w:fill="CCFFCC" w:val="cle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bottom w:val="single" w:sz="2" w:space="0" w:color="CCFFCC"/>
            </w:tcBorders>
            <w:shd w:fill="CCFFCC" w:val="clear"/>
            <w:vAlign w:val="bottom"/>
          </w:tcPr>
          <w:p>
            <w:pPr>
              <w:pStyle w:val="TableContents"/>
              <w:spacing w:before="0" w:after="283"/>
              <w:jc w:val="right"/>
              <w:rPr/>
            </w:pPr>
            <w:r>
              <w:rPr/>
              <w:t> </w:t>
            </w:r>
          </w:p>
        </w:tc>
        <w:tc>
          <w:tcPr>
            <w:tcW w:w="122" w:type="dxa"/>
            <w:tcBorders>
              <w:bottom w:val="single" w:sz="2" w:space="0" w:color="CCFFCC"/>
            </w:tcBorders>
            <w:shd w:fill="CCFFCC" w:val="clear"/>
            <w:vAlign w:val="bottom"/>
          </w:tcPr>
          <w:p>
            <w:pPr>
              <w:pStyle w:val="TableContents"/>
              <w:spacing w:before="0" w:after="283"/>
              <w:jc w:val="left"/>
              <w:rPr/>
            </w:pPr>
            <w:r>
              <w:rPr/>
              <w:t> </w:t>
            </w:r>
          </w:p>
        </w:tc>
      </w:tr>
      <w:tr>
        <w:trPr/>
        <w:tc>
          <w:tcPr>
            <w:tcW w:w="703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Notes payable</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300" w:before="0" w:after="0"/>
              <w:ind w:left="0" w:right="0" w:hanging="0"/>
              <w:jc w:val="right"/>
              <w:rPr/>
            </w:pPr>
            <w:bookmarkStart w:id="73" w:name="TAB136"/>
            <w:bookmarkStart w:id="74" w:name="TAB137"/>
            <w:bookmarkEnd w:id="73"/>
            <w:bookmarkEnd w:id="74"/>
            <w:r>
              <w:rPr>
                <w:rStyle w:val="StrongEmphasis"/>
                <w:rFonts w:ascii="Times New Roman" w:hAnsi="Times New Roman"/>
                <w:sz w:val="20"/>
              </w:rPr>
              <w:t xml:space="preserve">23,000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5" w:name="TAB138"/>
            <w:bookmarkStart w:id="76" w:name="TAB139"/>
            <w:bookmarkEnd w:id="75"/>
            <w:bookmarkEnd w:id="76"/>
            <w:r>
              <w:rPr>
                <w:rFonts w:ascii="Times New Roman" w:hAnsi="Times New Roman"/>
                <w:sz w:val="20"/>
              </w:rPr>
              <w:t xml:space="preserve">27,080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31"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Deferred compensation</w:t>
            </w:r>
          </w:p>
        </w:tc>
        <w:tc>
          <w:tcPr>
            <w:tcW w:w="199"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pPr>
            <w:bookmarkStart w:id="77" w:name="TAB140"/>
            <w:bookmarkStart w:id="78" w:name="TAB141"/>
            <w:bookmarkEnd w:id="77"/>
            <w:bookmarkEnd w:id="78"/>
            <w:r>
              <w:rPr>
                <w:rStyle w:val="StrongEmphasis"/>
                <w:rFonts w:ascii="Times New Roman" w:hAnsi="Times New Roman"/>
                <w:sz w:val="20"/>
              </w:rPr>
              <w:t xml:space="preserve">4,958 </w:t>
            </w:r>
          </w:p>
        </w:tc>
        <w:tc>
          <w:tcPr>
            <w:tcW w:w="205"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9" w:name="TAB142"/>
            <w:bookmarkStart w:id="80" w:name="TAB143"/>
            <w:bookmarkEnd w:id="79"/>
            <w:bookmarkEnd w:id="80"/>
            <w:r>
              <w:rPr>
                <w:rFonts w:ascii="Times New Roman" w:hAnsi="Times New Roman"/>
                <w:sz w:val="20"/>
              </w:rPr>
              <w:t xml:space="preserve">4,756 </w:t>
            </w:r>
          </w:p>
        </w:tc>
        <w:tc>
          <w:tcPr>
            <w:tcW w:w="122" w:type="dxa"/>
            <w:tcBorders/>
            <w:shd w:fill="CCFFCC" w:val="clear"/>
            <w:tcMar>
              <w:bottom w:w="0" w:type="dxa"/>
            </w:tcMar>
            <w:vAlign w:val="bottom"/>
          </w:tcPr>
          <w:p>
            <w:pPr>
              <w:pStyle w:val="TableContents"/>
              <w:spacing w:before="0" w:after="283"/>
              <w:jc w:val="left"/>
              <w:rPr/>
            </w:pPr>
            <w:r>
              <w:rPr/>
              <w:t> </w:t>
            </w:r>
          </w:p>
        </w:tc>
      </w:tr>
      <w:tr>
        <w:trPr/>
        <w:tc>
          <w:tcPr>
            <w:tcW w:w="7031"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Other</w:t>
            </w:r>
          </w:p>
        </w:tc>
        <w:tc>
          <w:tcPr>
            <w:tcW w:w="199" w:type="dxa"/>
            <w:tcBorders>
              <w:bottom w:val="single" w:sz="4"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99"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81" w:name="TAB144"/>
            <w:bookmarkStart w:id="82" w:name="TAB145"/>
            <w:bookmarkEnd w:id="81"/>
            <w:bookmarkEnd w:id="82"/>
            <w:r>
              <w:rPr>
                <w:rStyle w:val="StrongEmphasis"/>
                <w:rFonts w:ascii="Times New Roman" w:hAnsi="Times New Roman"/>
                <w:sz w:val="20"/>
              </w:rPr>
              <w:t xml:space="preserve">3,043 </w:t>
            </w:r>
          </w:p>
        </w:tc>
        <w:tc>
          <w:tcPr>
            <w:tcW w:w="205"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9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83" w:name="TAB146"/>
            <w:bookmarkStart w:id="84" w:name="TAB147"/>
            <w:bookmarkEnd w:id="83"/>
            <w:bookmarkEnd w:id="84"/>
            <w:r>
              <w:rPr>
                <w:rFonts w:ascii="Times New Roman" w:hAnsi="Times New Roman"/>
                <w:sz w:val="20"/>
              </w:rPr>
              <w:t xml:space="preserve">2,604 </w:t>
            </w:r>
          </w:p>
        </w:tc>
        <w:tc>
          <w:tcPr>
            <w:tcW w:w="122" w:type="dxa"/>
            <w:tcBorders>
              <w:bottom w:val="single" w:sz="4" w:space="0" w:color="FFFFFF"/>
            </w:tcBorders>
            <w:shd w:fill="FFFFFF" w:val="clear"/>
            <w:vAlign w:val="bottom"/>
          </w:tcPr>
          <w:p>
            <w:pPr>
              <w:pStyle w:val="TableContents"/>
              <w:spacing w:before="0" w:after="283"/>
              <w:jc w:val="left"/>
              <w:rPr/>
            </w:pPr>
            <w:r>
              <w:rPr/>
              <w:t> </w:t>
            </w:r>
          </w:p>
        </w:tc>
      </w:tr>
      <w:tr>
        <w:trPr/>
        <w:tc>
          <w:tcPr>
            <w:tcW w:w="7031" w:type="dxa"/>
            <w:tcBorders>
              <w:bottom w:val="single" w:sz="4" w:space="0" w:color="CCFFCC"/>
            </w:tcBorders>
            <w:shd w:fill="CCFFCC" w:val="clear"/>
            <w:vAlign w:val="bottom"/>
          </w:tcPr>
          <w:p>
            <w:pPr>
              <w:pStyle w:val="TableContents"/>
              <w:spacing w:lineRule="auto" w:line="300" w:before="0" w:after="0"/>
              <w:ind w:left="360" w:right="0" w:hanging="0"/>
              <w:jc w:val="left"/>
              <w:rPr/>
            </w:pPr>
            <w:r>
              <w:rPr>
                <w:rStyle w:val="StrongEmphasis"/>
                <w:rFonts w:ascii="Times New Roman" w:hAnsi="Times New Roman"/>
                <w:sz w:val="20"/>
              </w:rPr>
              <w:t>Total Noncurrent Liabilities</w:t>
            </w:r>
          </w:p>
        </w:tc>
        <w:tc>
          <w:tcPr>
            <w:tcW w:w="199" w:type="dxa"/>
            <w:tcBorders>
              <w:bottom w:val="single" w:sz="4" w:space="0" w:color="CCFFCC"/>
            </w:tcBorders>
            <w:shd w:fill="CCFFCC" w:val="clear"/>
            <w:vAlign w:val="center"/>
          </w:tcPr>
          <w:p>
            <w:pPr>
              <w:pStyle w:val="TableContents"/>
              <w:spacing w:before="0" w:after="283"/>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199"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85" w:name="TAB148"/>
            <w:bookmarkStart w:id="86" w:name="TAB149"/>
            <w:bookmarkEnd w:id="85"/>
            <w:bookmarkEnd w:id="86"/>
            <w:r>
              <w:rPr>
                <w:rStyle w:val="StrongEmphasis"/>
                <w:rFonts w:ascii="Times New Roman" w:hAnsi="Times New Roman"/>
                <w:sz w:val="20"/>
              </w:rPr>
              <w:t xml:space="preserve">31,001 </w:t>
            </w:r>
          </w:p>
        </w:tc>
        <w:tc>
          <w:tcPr>
            <w:tcW w:w="205" w:type="dxa"/>
            <w:tcBorders>
              <w:bottom w:val="single" w:sz="4" w:space="0" w:color="CCFFCC"/>
            </w:tcBorders>
            <w:shd w:fill="CCFFCC" w:val="clear"/>
            <w:vAlign w:val="bottom"/>
          </w:tcPr>
          <w:p>
            <w:pPr>
              <w:pStyle w:val="TableContents"/>
              <w:spacing w:before="0" w:after="283"/>
              <w:jc w:val="left"/>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199"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bookmarkStart w:id="87" w:name="TAB150"/>
            <w:bookmarkStart w:id="88" w:name="TAB151"/>
            <w:bookmarkEnd w:id="87"/>
            <w:bookmarkEnd w:id="88"/>
            <w:r>
              <w:rPr>
                <w:rFonts w:ascii="Times New Roman" w:hAnsi="Times New Roman"/>
                <w:sz w:val="20"/>
              </w:rPr>
              <w:t xml:space="preserve">34,440 </w:t>
            </w:r>
          </w:p>
        </w:tc>
        <w:tc>
          <w:tcPr>
            <w:tcW w:w="122" w:type="dxa"/>
            <w:tcBorders>
              <w:bottom w:val="single" w:sz="4" w:space="0" w:color="CCFFCC"/>
            </w:tcBorders>
            <w:shd w:fill="CCFFCC" w:val="clear"/>
            <w:vAlign w:val="bottom"/>
          </w:tcPr>
          <w:p>
            <w:pPr>
              <w:pStyle w:val="TableContents"/>
              <w:spacing w:before="0" w:after="283"/>
              <w:jc w:val="left"/>
              <w:rPr/>
            </w:pPr>
            <w:r>
              <w:rPr/>
              <w:t> </w:t>
            </w:r>
          </w:p>
        </w:tc>
      </w:tr>
      <w:tr>
        <w:trPr/>
        <w:tc>
          <w:tcPr>
            <w:tcW w:w="7031" w:type="dxa"/>
            <w:tcBorders/>
            <w:shd w:fill="FFFFFF" w:val="clear"/>
            <w:tcMar>
              <w:bottom w:w="0" w:type="dxa"/>
            </w:tcMar>
            <w:vAlign w:val="bottom"/>
          </w:tcPr>
          <w:p>
            <w:pPr>
              <w:pStyle w:val="TableContents"/>
              <w:spacing w:before="0" w:after="283"/>
              <w:jc w:val="left"/>
              <w:rPr/>
            </w:pPr>
            <w:r>
              <w:rPr/>
              <w:t> </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31" w:type="dxa"/>
            <w:tcBorders>
              <w:bottom w:val="single" w:sz="4" w:space="0" w:color="CCFFCC"/>
            </w:tcBorders>
            <w:shd w:fill="CCFFCC" w:val="clear"/>
            <w:vAlign w:val="bottom"/>
          </w:tcPr>
          <w:p>
            <w:pPr>
              <w:pStyle w:val="TableContents"/>
              <w:spacing w:lineRule="auto" w:line="300" w:before="0" w:after="0"/>
              <w:ind w:left="360" w:right="0" w:hanging="0"/>
              <w:jc w:val="left"/>
              <w:rPr/>
            </w:pPr>
            <w:r>
              <w:rPr>
                <w:rStyle w:val="StrongEmphasis"/>
                <w:rFonts w:ascii="Times New Roman" w:hAnsi="Times New Roman"/>
                <w:sz w:val="20"/>
              </w:rPr>
              <w:t>Total Liabilities</w:t>
            </w:r>
          </w:p>
        </w:tc>
        <w:tc>
          <w:tcPr>
            <w:tcW w:w="199" w:type="dxa"/>
            <w:tcBorders>
              <w:bottom w:val="single" w:sz="4" w:space="0" w:color="CCFFCC"/>
            </w:tcBorders>
            <w:shd w:fill="CCFFCC" w:val="clear"/>
            <w:vAlign w:val="center"/>
          </w:tcPr>
          <w:p>
            <w:pPr>
              <w:pStyle w:val="TableContents"/>
              <w:spacing w:before="0" w:after="283"/>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199"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89" w:name="TAB152"/>
            <w:bookmarkStart w:id="90" w:name="TAB153"/>
            <w:bookmarkEnd w:id="89"/>
            <w:bookmarkEnd w:id="90"/>
            <w:r>
              <w:rPr>
                <w:rStyle w:val="StrongEmphasis"/>
                <w:rFonts w:ascii="Times New Roman" w:hAnsi="Times New Roman"/>
                <w:sz w:val="20"/>
              </w:rPr>
              <w:t xml:space="preserve">60,423 </w:t>
            </w:r>
          </w:p>
        </w:tc>
        <w:tc>
          <w:tcPr>
            <w:tcW w:w="205" w:type="dxa"/>
            <w:tcBorders>
              <w:bottom w:val="single" w:sz="4" w:space="0" w:color="CCFFCC"/>
            </w:tcBorders>
            <w:shd w:fill="CCFFCC" w:val="clear"/>
            <w:vAlign w:val="bottom"/>
          </w:tcPr>
          <w:p>
            <w:pPr>
              <w:pStyle w:val="TableContents"/>
              <w:spacing w:before="0" w:after="283"/>
              <w:jc w:val="left"/>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199"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bookmarkStart w:id="91" w:name="TAB154"/>
            <w:bookmarkStart w:id="92" w:name="TAB155"/>
            <w:bookmarkEnd w:id="91"/>
            <w:bookmarkEnd w:id="92"/>
            <w:r>
              <w:rPr>
                <w:rFonts w:ascii="Times New Roman" w:hAnsi="Times New Roman"/>
                <w:sz w:val="20"/>
              </w:rPr>
              <w:t xml:space="preserve">61,845 </w:t>
            </w:r>
          </w:p>
        </w:tc>
        <w:tc>
          <w:tcPr>
            <w:tcW w:w="122" w:type="dxa"/>
            <w:tcBorders>
              <w:bottom w:val="single" w:sz="4" w:space="0" w:color="CCFFCC"/>
            </w:tcBorders>
            <w:shd w:fill="CCFFCC" w:val="clear"/>
            <w:vAlign w:val="bottom"/>
          </w:tcPr>
          <w:p>
            <w:pPr>
              <w:pStyle w:val="TableContents"/>
              <w:spacing w:before="0" w:after="283"/>
              <w:jc w:val="left"/>
              <w:rPr/>
            </w:pPr>
            <w:r>
              <w:rPr/>
              <w:t> </w:t>
            </w:r>
          </w:p>
        </w:tc>
      </w:tr>
      <w:tr>
        <w:trPr/>
        <w:tc>
          <w:tcPr>
            <w:tcW w:w="7031" w:type="dxa"/>
            <w:tcBorders/>
            <w:shd w:fill="FFFFFF" w:val="clear"/>
            <w:tcMar>
              <w:bottom w:w="0" w:type="dxa"/>
            </w:tcMar>
            <w:vAlign w:val="bottom"/>
          </w:tcPr>
          <w:p>
            <w:pPr>
              <w:pStyle w:val="TableContents"/>
              <w:spacing w:before="0" w:after="283"/>
              <w:jc w:val="left"/>
              <w:rPr/>
            </w:pPr>
            <w:r>
              <w:rPr/>
              <w:t> </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31" w:type="dxa"/>
            <w:tcBorders>
              <w:bottom w:val="single" w:sz="2"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u w:val="single"/>
              </w:rPr>
              <w:t>Stockholders’ Equity</w:t>
            </w:r>
          </w:p>
        </w:tc>
        <w:tc>
          <w:tcPr>
            <w:tcW w:w="199" w:type="dxa"/>
            <w:tcBorders>
              <w:bottom w:val="single" w:sz="2" w:space="0" w:color="CCFFCC"/>
            </w:tcBorders>
            <w:shd w:fill="CCFFCC" w:val="cle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bottom w:val="single" w:sz="2" w:space="0" w:color="CCFFCC"/>
            </w:tcBorders>
            <w:shd w:fill="CCFFCC" w:val="clear"/>
            <w:vAlign w:val="bottom"/>
          </w:tcPr>
          <w:p>
            <w:pPr>
              <w:pStyle w:val="TableContents"/>
              <w:spacing w:before="0" w:after="283"/>
              <w:jc w:val="right"/>
              <w:rPr/>
            </w:pPr>
            <w:r>
              <w:rPr/>
              <w:t> </w:t>
            </w:r>
          </w:p>
        </w:tc>
        <w:tc>
          <w:tcPr>
            <w:tcW w:w="205" w:type="dxa"/>
            <w:tcBorders>
              <w:bottom w:val="single" w:sz="2" w:space="0" w:color="CCFFCC"/>
            </w:tcBorders>
            <w:shd w:fill="CCFFCC" w:val="cle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bottom w:val="single" w:sz="2" w:space="0" w:color="CCFFCC"/>
            </w:tcBorders>
            <w:shd w:fill="CCFFCC" w:val="clear"/>
            <w:vAlign w:val="bottom"/>
          </w:tcPr>
          <w:p>
            <w:pPr>
              <w:pStyle w:val="TableContents"/>
              <w:spacing w:before="0" w:after="283"/>
              <w:jc w:val="right"/>
              <w:rPr/>
            </w:pPr>
            <w:r>
              <w:rPr/>
              <w:t> </w:t>
            </w:r>
          </w:p>
        </w:tc>
        <w:tc>
          <w:tcPr>
            <w:tcW w:w="122" w:type="dxa"/>
            <w:tcBorders>
              <w:bottom w:val="single" w:sz="2" w:space="0" w:color="CCFFCC"/>
            </w:tcBorders>
            <w:shd w:fill="CCFFCC" w:val="clear"/>
            <w:vAlign w:val="bottom"/>
          </w:tcPr>
          <w:p>
            <w:pPr>
              <w:pStyle w:val="TableContents"/>
              <w:spacing w:before="0" w:after="283"/>
              <w:jc w:val="left"/>
              <w:rPr/>
            </w:pPr>
            <w:r>
              <w:rPr/>
              <w:t> </w:t>
            </w:r>
          </w:p>
        </w:tc>
      </w:tr>
      <w:tr>
        <w:trPr/>
        <w:tc>
          <w:tcPr>
            <w:tcW w:w="7031" w:type="dxa"/>
            <w:tcBorders/>
            <w:shd w:fill="FFFF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Common Stock, par value $.10 per share, issued 7,362,226 shares at January 31, 2008 and 7,270,167 shares at July 31, 2007</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300" w:before="0" w:after="0"/>
              <w:ind w:left="0" w:right="0" w:hanging="0"/>
              <w:jc w:val="right"/>
              <w:rPr/>
            </w:pPr>
            <w:bookmarkStart w:id="93" w:name="TAB156"/>
            <w:bookmarkStart w:id="94" w:name="TAB157"/>
            <w:bookmarkEnd w:id="93"/>
            <w:bookmarkEnd w:id="94"/>
            <w:r>
              <w:rPr>
                <w:rStyle w:val="StrongEmphasis"/>
                <w:rFonts w:ascii="Times New Roman" w:hAnsi="Times New Roman"/>
                <w:sz w:val="20"/>
              </w:rPr>
              <w:t xml:space="preserve">736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5" w:name="TAB158"/>
            <w:bookmarkStart w:id="96" w:name="TAB159"/>
            <w:bookmarkEnd w:id="95"/>
            <w:bookmarkEnd w:id="96"/>
            <w:r>
              <w:rPr>
                <w:rFonts w:ascii="Times New Roman" w:hAnsi="Times New Roman"/>
                <w:sz w:val="20"/>
              </w:rPr>
              <w:t xml:space="preserve">727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31" w:type="dxa"/>
            <w:tcBorders/>
            <w:shd w:fill="CCFFCC"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Class B Stock, par value $.10 per share, issued 2,239,538 shares at January 31, 2008 and 2,234,538 shares at July 31, 2007</w:t>
            </w:r>
          </w:p>
        </w:tc>
        <w:tc>
          <w:tcPr>
            <w:tcW w:w="199"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pPr>
            <w:bookmarkStart w:id="97" w:name="TAB160"/>
            <w:bookmarkStart w:id="98" w:name="TAB161"/>
            <w:bookmarkEnd w:id="97"/>
            <w:bookmarkEnd w:id="98"/>
            <w:r>
              <w:rPr>
                <w:rStyle w:val="StrongEmphasis"/>
                <w:rFonts w:ascii="Times New Roman" w:hAnsi="Times New Roman"/>
                <w:sz w:val="20"/>
              </w:rPr>
              <w:t>224</w:t>
            </w:r>
          </w:p>
        </w:tc>
        <w:tc>
          <w:tcPr>
            <w:tcW w:w="205"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9" w:name="TAB162"/>
            <w:bookmarkStart w:id="100" w:name="TAB163"/>
            <w:bookmarkEnd w:id="99"/>
            <w:bookmarkEnd w:id="100"/>
            <w:r>
              <w:rPr>
                <w:rFonts w:ascii="Times New Roman" w:hAnsi="Times New Roman"/>
                <w:sz w:val="20"/>
              </w:rPr>
              <w:t xml:space="preserve">223 </w:t>
            </w:r>
          </w:p>
        </w:tc>
        <w:tc>
          <w:tcPr>
            <w:tcW w:w="122" w:type="dxa"/>
            <w:tcBorders/>
            <w:shd w:fill="CCFFCC" w:val="clear"/>
            <w:tcMar>
              <w:bottom w:w="0" w:type="dxa"/>
            </w:tcMar>
            <w:vAlign w:val="bottom"/>
          </w:tcPr>
          <w:p>
            <w:pPr>
              <w:pStyle w:val="TableContents"/>
              <w:spacing w:before="0" w:after="283"/>
              <w:jc w:val="left"/>
              <w:rPr/>
            </w:pPr>
            <w:r>
              <w:rPr/>
              <w:t> </w:t>
            </w:r>
          </w:p>
        </w:tc>
      </w:tr>
      <w:tr>
        <w:trPr/>
        <w:tc>
          <w:tcPr>
            <w:tcW w:w="703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Additional paid-in capital</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300" w:before="0" w:after="0"/>
              <w:ind w:left="0" w:right="0" w:hanging="0"/>
              <w:jc w:val="right"/>
              <w:rPr/>
            </w:pPr>
            <w:bookmarkStart w:id="101" w:name="TAB164"/>
            <w:bookmarkStart w:id="102" w:name="TAB165"/>
            <w:bookmarkEnd w:id="101"/>
            <w:bookmarkEnd w:id="102"/>
            <w:r>
              <w:rPr>
                <w:rStyle w:val="StrongEmphasis"/>
                <w:rFonts w:ascii="Times New Roman" w:hAnsi="Times New Roman"/>
                <w:sz w:val="20"/>
              </w:rPr>
              <w:t>21,572</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20,150</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31"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Restricted unearned stock compensation</w:t>
            </w:r>
          </w:p>
        </w:tc>
        <w:tc>
          <w:tcPr>
            <w:tcW w:w="199"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pPr>
            <w:bookmarkStart w:id="103" w:name="TAB166"/>
            <w:bookmarkStart w:id="104" w:name="TAB167"/>
            <w:bookmarkEnd w:id="103"/>
            <w:bookmarkEnd w:id="104"/>
            <w:r>
              <w:rPr>
                <w:rStyle w:val="StrongEmphasis"/>
                <w:rFonts w:ascii="Times New Roman" w:hAnsi="Times New Roman"/>
                <w:sz w:val="20"/>
              </w:rPr>
              <w:t>(824</w:t>
            </w:r>
          </w:p>
        </w:tc>
        <w:tc>
          <w:tcPr>
            <w:tcW w:w="205" w:type="dxa"/>
            <w:tcBorders/>
            <w:shd w:fill="CCFFCC" w:val="clear"/>
            <w:tcMar>
              <w:bottom w:w="0" w:type="dxa"/>
            </w:tcMar>
            <w:vAlign w:val="bottom"/>
          </w:tcPr>
          <w:p>
            <w:pPr>
              <w:pStyle w:val="TableContents"/>
              <w:spacing w:lineRule="auto" w:line="300" w:before="0" w:after="0"/>
              <w:ind w:left="0" w:right="0" w:hanging="0"/>
              <w:jc w:val="left"/>
              <w:rPr/>
            </w:pPr>
            <w:bookmarkStart w:id="105" w:name="TAB168"/>
            <w:bookmarkStart w:id="106" w:name="TAB169"/>
            <w:bookmarkEnd w:id="105"/>
            <w:bookmarkEnd w:id="106"/>
            <w:r>
              <w:rPr>
                <w:rStyle w:val="StrongEmphasis"/>
                <w:rFonts w:ascii="Times New Roman" w:hAnsi="Times New Roman"/>
                <w:sz w:val="20"/>
              </w:rPr>
              <w:t>)</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07" w:name="TAB170"/>
            <w:bookmarkStart w:id="108" w:name="TAB171"/>
            <w:bookmarkEnd w:id="107"/>
            <w:bookmarkEnd w:id="108"/>
            <w:r>
              <w:rPr>
                <w:rFonts w:ascii="Times New Roman" w:hAnsi="Times New Roman"/>
                <w:sz w:val="20"/>
              </w:rPr>
              <w:t>(991</w:t>
            </w:r>
          </w:p>
        </w:tc>
        <w:tc>
          <w:tcPr>
            <w:tcW w:w="122"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09" w:name="TAB172"/>
            <w:bookmarkStart w:id="110" w:name="TAB173"/>
            <w:bookmarkEnd w:id="109"/>
            <w:bookmarkEnd w:id="110"/>
            <w:r>
              <w:rPr>
                <w:rFonts w:ascii="Times New Roman" w:hAnsi="Times New Roman"/>
                <w:sz w:val="20"/>
              </w:rPr>
              <w:t>)</w:t>
            </w:r>
          </w:p>
        </w:tc>
      </w:tr>
      <w:tr>
        <w:trPr/>
        <w:tc>
          <w:tcPr>
            <w:tcW w:w="703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Retained earnings</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300" w:before="0" w:after="0"/>
              <w:ind w:left="0" w:right="0" w:hanging="0"/>
              <w:jc w:val="right"/>
              <w:rPr/>
            </w:pPr>
            <w:bookmarkStart w:id="111" w:name="TAB174"/>
            <w:bookmarkStart w:id="112" w:name="TAB175"/>
            <w:bookmarkEnd w:id="111"/>
            <w:bookmarkEnd w:id="112"/>
            <w:r>
              <w:rPr>
                <w:rStyle w:val="StrongEmphasis"/>
                <w:rFonts w:ascii="Times New Roman" w:hAnsi="Times New Roman"/>
                <w:sz w:val="20"/>
              </w:rPr>
              <w:t xml:space="preserve">103,386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13" w:name="TAB176"/>
            <w:bookmarkStart w:id="114" w:name="TAB177"/>
            <w:bookmarkEnd w:id="113"/>
            <w:bookmarkEnd w:id="114"/>
            <w:r>
              <w:rPr>
                <w:rFonts w:ascii="Times New Roman" w:hAnsi="Times New Roman"/>
                <w:sz w:val="20"/>
              </w:rPr>
              <w:t>100,503</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31"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Accumulated Other Comprehensive Income</w:t>
            </w:r>
          </w:p>
        </w:tc>
        <w:tc>
          <w:tcPr>
            <w:tcW w:w="199"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before="0" w:after="283"/>
              <w:jc w:val="right"/>
              <w:rPr/>
            </w:pPr>
            <w:r>
              <w:rPr/>
              <w:t> </w:t>
            </w:r>
          </w:p>
        </w:tc>
        <w:tc>
          <w:tcPr>
            <w:tcW w:w="205"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before="0" w:after="283"/>
              <w:jc w:val="right"/>
              <w:rPr/>
            </w:pPr>
            <w:r>
              <w:rPr/>
              <w:t> </w:t>
            </w:r>
          </w:p>
        </w:tc>
        <w:tc>
          <w:tcPr>
            <w:tcW w:w="122" w:type="dxa"/>
            <w:tcBorders/>
            <w:shd w:fill="CCFFCC" w:val="clear"/>
            <w:tcMar>
              <w:bottom w:w="0" w:type="dxa"/>
            </w:tcMar>
            <w:vAlign w:val="bottom"/>
          </w:tcPr>
          <w:p>
            <w:pPr>
              <w:pStyle w:val="TableContents"/>
              <w:spacing w:before="0" w:after="283"/>
              <w:jc w:val="left"/>
              <w:rPr/>
            </w:pPr>
            <w:r>
              <w:rPr/>
              <w:t> </w:t>
            </w:r>
          </w:p>
        </w:tc>
      </w:tr>
      <w:tr>
        <w:trPr/>
        <w:tc>
          <w:tcPr>
            <w:tcW w:w="7031"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Unrealized gain on marketable securities</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50</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59</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31"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Pension and postretirement benefits</w:t>
            </w:r>
          </w:p>
        </w:tc>
        <w:tc>
          <w:tcPr>
            <w:tcW w:w="199"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869</w:t>
            </w:r>
          </w:p>
        </w:tc>
        <w:tc>
          <w:tcPr>
            <w:tcW w:w="205"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857</w:t>
            </w:r>
          </w:p>
        </w:tc>
        <w:tc>
          <w:tcPr>
            <w:tcW w:w="122" w:type="dxa"/>
            <w:tcBorders/>
            <w:shd w:fill="CCFFCC" w:val="clear"/>
            <w:tcMar>
              <w:bottom w:w="0" w:type="dxa"/>
            </w:tcMar>
            <w:vAlign w:val="bottom"/>
          </w:tcPr>
          <w:p>
            <w:pPr>
              <w:pStyle w:val="TableContents"/>
              <w:spacing w:before="0" w:after="283"/>
              <w:jc w:val="left"/>
              <w:rPr/>
            </w:pPr>
            <w:r>
              <w:rPr/>
              <w:t> </w:t>
            </w:r>
          </w:p>
        </w:tc>
      </w:tr>
      <w:tr>
        <w:trPr/>
        <w:tc>
          <w:tcPr>
            <w:tcW w:w="7031" w:type="dxa"/>
            <w:tcBorders>
              <w:bottom w:val="single" w:sz="4" w:space="0" w:color="FFFFFF"/>
            </w:tcBorders>
            <w:shd w:fill="FFFFFF" w:val="cle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Cumulative translation adjustment</w:t>
            </w:r>
          </w:p>
        </w:tc>
        <w:tc>
          <w:tcPr>
            <w:tcW w:w="199" w:type="dxa"/>
            <w:tcBorders>
              <w:bottom w:val="single" w:sz="4"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99"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115" w:name="TAB178"/>
            <w:bookmarkEnd w:id="115"/>
            <w:r>
              <w:rPr>
                <w:rStyle w:val="StrongEmphasis"/>
                <w:rFonts w:ascii="Times New Roman" w:hAnsi="Times New Roman"/>
                <w:sz w:val="20"/>
              </w:rPr>
              <w:t>718</w:t>
            </w:r>
          </w:p>
        </w:tc>
        <w:tc>
          <w:tcPr>
            <w:tcW w:w="205"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9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16" w:name="TAB179"/>
            <w:bookmarkEnd w:id="116"/>
            <w:r>
              <w:rPr>
                <w:rFonts w:ascii="Times New Roman" w:hAnsi="Times New Roman"/>
                <w:sz w:val="20"/>
              </w:rPr>
              <w:t>507</w:t>
            </w:r>
          </w:p>
        </w:tc>
        <w:tc>
          <w:tcPr>
            <w:tcW w:w="122" w:type="dxa"/>
            <w:tcBorders>
              <w:bottom w:val="single" w:sz="4" w:space="0" w:color="FFFFFF"/>
            </w:tcBorders>
            <w:shd w:fill="FFFFFF" w:val="clear"/>
            <w:vAlign w:val="bottom"/>
          </w:tcPr>
          <w:p>
            <w:pPr>
              <w:pStyle w:val="TableContents"/>
              <w:spacing w:before="0" w:after="283"/>
              <w:jc w:val="left"/>
              <w:rPr/>
            </w:pPr>
            <w:r>
              <w:rPr/>
              <w:t> </w:t>
            </w:r>
          </w:p>
        </w:tc>
      </w:tr>
      <w:tr>
        <w:trPr/>
        <w:tc>
          <w:tcPr>
            <w:tcW w:w="7031" w:type="dxa"/>
            <w:tcBorders/>
            <w:shd w:fill="CCFFCC" w:val="clear"/>
            <w:tcMar>
              <w:bottom w:w="0" w:type="dxa"/>
            </w:tcMar>
            <w:vAlign w:val="bottom"/>
          </w:tcPr>
          <w:p>
            <w:pPr>
              <w:pStyle w:val="TableContents"/>
              <w:spacing w:lineRule="auto" w:line="300" w:before="0" w:after="0"/>
              <w:ind w:left="0" w:right="0" w:hanging="0"/>
              <w:jc w:val="left"/>
              <w:rPr/>
            </w:pPr>
            <w:r>
              <w:rPr/>
              <w:t> </w:t>
            </w:r>
          </w:p>
        </w:tc>
        <w:tc>
          <w:tcPr>
            <w:tcW w:w="199"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pPr>
            <w:bookmarkStart w:id="117" w:name="TAB180"/>
            <w:bookmarkStart w:id="118" w:name="TAB181"/>
            <w:bookmarkEnd w:id="117"/>
            <w:bookmarkEnd w:id="118"/>
            <w:r>
              <w:rPr>
                <w:rStyle w:val="StrongEmphasis"/>
                <w:rFonts w:ascii="Times New Roman" w:hAnsi="Times New Roman"/>
                <w:sz w:val="20"/>
              </w:rPr>
              <w:t>126,731</w:t>
            </w:r>
          </w:p>
        </w:tc>
        <w:tc>
          <w:tcPr>
            <w:tcW w:w="205"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19" w:name="TAB182"/>
            <w:bookmarkStart w:id="120" w:name="TAB183"/>
            <w:bookmarkEnd w:id="119"/>
            <w:bookmarkEnd w:id="120"/>
            <w:r>
              <w:rPr>
                <w:rFonts w:ascii="Times New Roman" w:hAnsi="Times New Roman"/>
                <w:sz w:val="20"/>
              </w:rPr>
              <w:t>122,035</w:t>
            </w:r>
          </w:p>
        </w:tc>
        <w:tc>
          <w:tcPr>
            <w:tcW w:w="122" w:type="dxa"/>
            <w:tcBorders/>
            <w:shd w:fill="CCFFCC" w:val="clear"/>
            <w:tcMar>
              <w:bottom w:w="0" w:type="dxa"/>
            </w:tcMar>
            <w:vAlign w:val="bottom"/>
          </w:tcPr>
          <w:p>
            <w:pPr>
              <w:pStyle w:val="TableContents"/>
              <w:spacing w:before="0" w:after="283"/>
              <w:jc w:val="left"/>
              <w:rPr/>
            </w:pPr>
            <w:r>
              <w:rPr/>
              <w:t> </w:t>
            </w:r>
          </w:p>
        </w:tc>
      </w:tr>
      <w:tr>
        <w:trPr/>
        <w:tc>
          <w:tcPr>
            <w:tcW w:w="7031" w:type="dxa"/>
            <w:tcBorders>
              <w:bottom w:val="single" w:sz="4" w:space="0" w:color="FFFFFF"/>
            </w:tcBorders>
            <w:shd w:fill="FFFFFF" w:val="cle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Less Treasury Stock, at cost (2,286,226 Common and 324,741 Class B shares at January 31, 2008 and 2,286,226 Common and 324,741 Class B shares at July 31, 2007)</w:t>
            </w:r>
          </w:p>
        </w:tc>
        <w:tc>
          <w:tcPr>
            <w:tcW w:w="199" w:type="dxa"/>
            <w:tcBorders>
              <w:bottom w:val="single" w:sz="4"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99"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121" w:name="TAB184"/>
            <w:bookmarkStart w:id="122" w:name="TAB185"/>
            <w:bookmarkEnd w:id="121"/>
            <w:bookmarkEnd w:id="122"/>
            <w:r>
              <w:rPr>
                <w:rStyle w:val="StrongEmphasis"/>
                <w:rFonts w:ascii="Times New Roman" w:hAnsi="Times New Roman"/>
                <w:sz w:val="20"/>
              </w:rPr>
              <w:t>(41,793</w:t>
            </w:r>
          </w:p>
        </w:tc>
        <w:tc>
          <w:tcPr>
            <w:tcW w:w="205" w:type="dxa"/>
            <w:tcBorders>
              <w:bottom w:val="single" w:sz="4" w:space="0" w:color="FFFFFF"/>
            </w:tcBorders>
            <w:shd w:fill="FFFFFF" w:val="clear"/>
            <w:vAlign w:val="bottom"/>
          </w:tcPr>
          <w:p>
            <w:pPr>
              <w:pStyle w:val="TableContents"/>
              <w:spacing w:lineRule="auto" w:line="300" w:before="0" w:after="0"/>
              <w:ind w:left="0" w:right="0" w:hanging="0"/>
              <w:jc w:val="left"/>
              <w:rPr/>
            </w:pPr>
            <w:bookmarkStart w:id="123" w:name="TAB186"/>
            <w:bookmarkStart w:id="124" w:name="TAB187"/>
            <w:bookmarkEnd w:id="123"/>
            <w:bookmarkEnd w:id="124"/>
            <w:r>
              <w:rPr>
                <w:rStyle w:val="StrongEmphasis"/>
                <w:rFonts w:ascii="Times New Roman" w:hAnsi="Times New Roman"/>
                <w:sz w:val="20"/>
              </w:rPr>
              <w:t>)</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9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(41,793</w:t>
            </w:r>
          </w:p>
        </w:tc>
        <w:tc>
          <w:tcPr>
            <w:tcW w:w="122"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7031" w:type="dxa"/>
            <w:tcBorders>
              <w:bottom w:val="single" w:sz="4" w:space="0" w:color="CCFFCC"/>
            </w:tcBorders>
            <w:shd w:fill="CCFFCC" w:val="clear"/>
            <w:vAlign w:val="bottom"/>
          </w:tcPr>
          <w:p>
            <w:pPr>
              <w:pStyle w:val="TableContents"/>
              <w:spacing w:lineRule="auto" w:line="300" w:before="0" w:after="0"/>
              <w:ind w:left="360" w:right="0" w:hanging="0"/>
              <w:jc w:val="left"/>
              <w:rPr/>
            </w:pPr>
            <w:r>
              <w:rPr>
                <w:rStyle w:val="StrongEmphasis"/>
                <w:rFonts w:ascii="Times New Roman" w:hAnsi="Times New Roman"/>
                <w:sz w:val="20"/>
              </w:rPr>
              <w:t>Total Stockholders’ Equity</w:t>
            </w:r>
          </w:p>
        </w:tc>
        <w:tc>
          <w:tcPr>
            <w:tcW w:w="199" w:type="dxa"/>
            <w:tcBorders>
              <w:bottom w:val="single" w:sz="4" w:space="0" w:color="CCFFCC"/>
            </w:tcBorders>
            <w:shd w:fill="CCFFCC" w:val="clear"/>
            <w:vAlign w:val="center"/>
          </w:tcPr>
          <w:p>
            <w:pPr>
              <w:pStyle w:val="TableContents"/>
              <w:spacing w:before="0" w:after="283"/>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199"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125" w:name="TAB188"/>
            <w:bookmarkStart w:id="126" w:name="TAB189"/>
            <w:bookmarkEnd w:id="125"/>
            <w:bookmarkEnd w:id="126"/>
            <w:r>
              <w:rPr>
                <w:rStyle w:val="StrongEmphasis"/>
                <w:rFonts w:ascii="Times New Roman" w:hAnsi="Times New Roman"/>
                <w:sz w:val="20"/>
              </w:rPr>
              <w:t xml:space="preserve">84,938 </w:t>
            </w:r>
          </w:p>
        </w:tc>
        <w:tc>
          <w:tcPr>
            <w:tcW w:w="205" w:type="dxa"/>
            <w:tcBorders>
              <w:bottom w:val="single" w:sz="4" w:space="0" w:color="CCFFCC"/>
            </w:tcBorders>
            <w:shd w:fill="CCFFCC" w:val="clear"/>
            <w:vAlign w:val="bottom"/>
          </w:tcPr>
          <w:p>
            <w:pPr>
              <w:pStyle w:val="TableContents"/>
              <w:spacing w:before="0" w:after="283"/>
              <w:jc w:val="left"/>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199"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bookmarkStart w:id="127" w:name="TAB190"/>
            <w:bookmarkStart w:id="128" w:name="TAB191"/>
            <w:bookmarkEnd w:id="127"/>
            <w:bookmarkEnd w:id="128"/>
            <w:r>
              <w:rPr>
                <w:rFonts w:ascii="Times New Roman" w:hAnsi="Times New Roman"/>
                <w:sz w:val="20"/>
              </w:rPr>
              <w:t>80,242</w:t>
            </w:r>
          </w:p>
        </w:tc>
        <w:tc>
          <w:tcPr>
            <w:tcW w:w="122" w:type="dxa"/>
            <w:tcBorders>
              <w:bottom w:val="single" w:sz="4" w:space="0" w:color="CCFFCC"/>
            </w:tcBorders>
            <w:shd w:fill="CCFFCC" w:val="clear"/>
            <w:vAlign w:val="bottom"/>
          </w:tcPr>
          <w:p>
            <w:pPr>
              <w:pStyle w:val="TableContents"/>
              <w:spacing w:before="0" w:after="283"/>
              <w:jc w:val="left"/>
              <w:rPr/>
            </w:pPr>
            <w:r>
              <w:rPr/>
              <w:t> </w:t>
            </w:r>
          </w:p>
        </w:tc>
      </w:tr>
      <w:tr>
        <w:trPr/>
        <w:tc>
          <w:tcPr>
            <w:tcW w:w="7031" w:type="dxa"/>
            <w:tcBorders/>
            <w:shd w:fill="FFFFFF" w:val="clear"/>
            <w:tcMar>
              <w:bottom w:w="0" w:type="dxa"/>
            </w:tcMar>
            <w:vAlign w:val="bottom"/>
          </w:tcPr>
          <w:p>
            <w:pPr>
              <w:pStyle w:val="TableContents"/>
              <w:spacing w:before="0" w:after="283"/>
              <w:jc w:val="left"/>
              <w:rPr/>
            </w:pPr>
            <w:r>
              <w:rPr/>
              <w:t> </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31" w:type="dxa"/>
            <w:tcBorders>
              <w:bottom w:val="single" w:sz="4"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Total Liabilities &amp; Stockholders’ Equity</w:t>
            </w:r>
          </w:p>
        </w:tc>
        <w:tc>
          <w:tcPr>
            <w:tcW w:w="199" w:type="dxa"/>
            <w:tcBorders>
              <w:bottom w:val="single" w:sz="4" w:space="0" w:color="CCFFCC"/>
            </w:tcBorders>
            <w:shd w:fill="CCFFCC" w:val="clear"/>
            <w:vAlign w:val="center"/>
          </w:tcPr>
          <w:p>
            <w:pPr>
              <w:pStyle w:val="TableContents"/>
              <w:spacing w:before="0" w:after="283"/>
              <w:rPr/>
            </w:pPr>
            <w:r>
              <w:rPr/>
              <w:t> </w:t>
            </w:r>
          </w:p>
        </w:tc>
        <w:tc>
          <w:tcPr>
            <w:tcW w:w="125" w:type="dxa"/>
            <w:tcBorders>
              <w:bottom w:val="double" w:sz="2" w:space="0" w:color="000000"/>
            </w:tcBorders>
            <w:shd w:fill="CCFFCC" w:val="clear"/>
            <w:vAlign w:val="bottom"/>
          </w:tcPr>
          <w:p>
            <w:pPr>
              <w:pStyle w:val="TableContents"/>
              <w:spacing w:lineRule="auto" w:line="300" w:before="0" w:after="0"/>
              <w:ind w:left="0" w:right="0" w:hanging="0"/>
              <w:jc w:val="left"/>
              <w:rPr/>
            </w:pPr>
            <w:bookmarkStart w:id="129" w:name="TAB192"/>
            <w:bookmarkEnd w:id="129"/>
            <w:r>
              <w:rPr>
                <w:rStyle w:val="StrongEmphasis"/>
                <w:rFonts w:ascii="Times New Roman" w:hAnsi="Times New Roman"/>
                <w:sz w:val="20"/>
              </w:rPr>
              <w:t>$</w:t>
            </w:r>
            <w:bookmarkStart w:id="130" w:name="TAB28"/>
            <w:bookmarkEnd w:id="130"/>
          </w:p>
        </w:tc>
        <w:tc>
          <w:tcPr>
            <w:tcW w:w="1199" w:type="dxa"/>
            <w:tcBorders>
              <w:bottom w:val="double" w:sz="2" w:space="0" w:color="000000"/>
            </w:tcBorders>
            <w:shd w:fill="CCFFCC" w:val="clear"/>
            <w:vAlign w:val="bottom"/>
          </w:tcPr>
          <w:p>
            <w:pPr>
              <w:pStyle w:val="TableContents"/>
              <w:spacing w:lineRule="auto" w:line="300" w:before="0" w:after="0"/>
              <w:ind w:left="0" w:right="0" w:hanging="0"/>
              <w:jc w:val="right"/>
              <w:rPr/>
            </w:pPr>
            <w:bookmarkStart w:id="131" w:name="TAB29"/>
            <w:bookmarkStart w:id="132" w:name="TAB193"/>
            <w:bookmarkEnd w:id="131"/>
            <w:bookmarkEnd w:id="132"/>
            <w:r>
              <w:rPr>
                <w:rStyle w:val="StrongEmphasis"/>
                <w:rFonts w:ascii="Times New Roman" w:hAnsi="Times New Roman"/>
                <w:sz w:val="20"/>
              </w:rPr>
              <w:t xml:space="preserve">145,361 </w:t>
            </w:r>
          </w:p>
        </w:tc>
        <w:tc>
          <w:tcPr>
            <w:tcW w:w="205" w:type="dxa"/>
            <w:tcBorders>
              <w:bottom w:val="single" w:sz="4" w:space="0" w:color="CCFFCC"/>
            </w:tcBorders>
            <w:shd w:fill="CCFFCC" w:val="clear"/>
            <w:vAlign w:val="bottom"/>
          </w:tcPr>
          <w:p>
            <w:pPr>
              <w:pStyle w:val="TableContents"/>
              <w:spacing w:before="0" w:after="283"/>
              <w:jc w:val="left"/>
              <w:rPr/>
            </w:pPr>
            <w:r>
              <w:rPr/>
              <w:t> </w:t>
            </w:r>
          </w:p>
        </w:tc>
        <w:tc>
          <w:tcPr>
            <w:tcW w:w="125"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bookmarkStart w:id="133" w:name="TAB194"/>
            <w:bookmarkEnd w:id="133"/>
            <w:r>
              <w:rPr>
                <w:rFonts w:ascii="Times New Roman" w:hAnsi="Times New Roman"/>
                <w:sz w:val="20"/>
              </w:rPr>
              <w:t>$</w:t>
            </w:r>
            <w:bookmarkStart w:id="134" w:name="TAB210"/>
            <w:bookmarkEnd w:id="134"/>
          </w:p>
        </w:tc>
        <w:tc>
          <w:tcPr>
            <w:tcW w:w="1199"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bookmarkStart w:id="135" w:name="TAB211"/>
            <w:bookmarkStart w:id="136" w:name="TAB195"/>
            <w:bookmarkEnd w:id="135"/>
            <w:bookmarkEnd w:id="136"/>
            <w:r>
              <w:rPr>
                <w:rFonts w:ascii="Times New Roman" w:hAnsi="Times New Roman"/>
                <w:sz w:val="20"/>
              </w:rPr>
              <w:t xml:space="preserve">142,087 </w:t>
            </w:r>
          </w:p>
        </w:tc>
        <w:tc>
          <w:tcPr>
            <w:tcW w:w="122" w:type="dxa"/>
            <w:tcBorders>
              <w:bottom w:val="single" w:sz="4" w:space="0" w:color="CCFFCC"/>
            </w:tcBorders>
            <w:shd w:fill="CCFFCC"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accompanying notes are an integral part of the condensed consolidated financial statements.</w:t>
      </w:r>
    </w:p>
    <w:p>
      <w:pPr>
        <w:pStyle w:val="TextBody"/>
        <w:spacing w:lineRule="auto" w:line="30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7" w:name="PGBRK2"/>
      <w:bookmarkStart w:id="138" w:name="PGBRK2"/>
      <w:bookmarkEnd w:id="1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9" w:name="FTR2"/>
      <w:bookmarkStart w:id="140" w:name="FTR2"/>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1" w:name="GLFTR2"/>
      <w:bookmarkStart w:id="142" w:name="GLFTR2"/>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43" w:name="PN2"/>
      <w:bookmarkEnd w:id="143"/>
      <w:r>
        <w:rPr>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4" w:name="HDR2"/>
      <w:bookmarkStart w:id="145" w:name="HDR2"/>
      <w:bookmarkEnd w:id="1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6" w:name="GLHDR2"/>
      <w:bookmarkStart w:id="147" w:name="GLHDR2"/>
      <w:bookmarkEnd w:id="1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2160" w:right="0" w:hanging="0"/>
        <w:jc w:val="left"/>
        <w:rPr/>
      </w:pPr>
      <w:r>
        <w:rPr/>
      </w:r>
    </w:p>
    <w:p>
      <w:pPr>
        <w:pStyle w:val="TextBody"/>
        <w:spacing w:lineRule="auto" w:line="300" w:before="0" w:after="0"/>
        <w:ind w:left="0" w:right="0" w:hanging="0"/>
        <w:jc w:val="center"/>
        <w:rPr/>
      </w:pPr>
      <w:r>
        <w:rPr>
          <w:rStyle w:val="StrongEmphasis"/>
          <w:rFonts w:ascii="Times New Roman" w:hAnsi="Times New Roman"/>
          <w:sz w:val="20"/>
        </w:rPr>
        <w:t>OIL-DRI CORPORATION OF AMERICA &amp; SUBSIDIARIES</w:t>
      </w:r>
    </w:p>
    <w:p>
      <w:pPr>
        <w:pStyle w:val="TextBody"/>
        <w:spacing w:lineRule="auto" w:line="300" w:before="0" w:after="0"/>
        <w:ind w:left="0" w:right="0" w:hanging="0"/>
        <w:jc w:val="center"/>
        <w:rPr/>
      </w:pPr>
      <w:r>
        <w:rPr>
          <w:rStyle w:val="StrongEmphasis"/>
          <w:rFonts w:ascii="Times New Roman" w:hAnsi="Times New Roman"/>
          <w:sz w:val="20"/>
        </w:rPr>
        <w:t>Condensed Consolidated Statements of Income and Retained Earnings</w:t>
      </w:r>
    </w:p>
    <w:p>
      <w:pPr>
        <w:pStyle w:val="TextBody"/>
        <w:spacing w:lineRule="auto" w:line="300" w:before="0" w:after="0"/>
        <w:ind w:left="0" w:right="0" w:hanging="0"/>
        <w:jc w:val="center"/>
        <w:rPr/>
      </w:pPr>
      <w:r>
        <w:rPr>
          <w:rStyle w:val="StrongEmphasis"/>
          <w:rFonts w:ascii="Times New Roman" w:hAnsi="Times New Roman"/>
          <w:sz w:val="20"/>
        </w:rPr>
        <w:t>(in thousands, except for per share amounts)</w:t>
      </w:r>
    </w:p>
    <w:p>
      <w:pPr>
        <w:pStyle w:val="TextBody"/>
        <w:spacing w:lineRule="auto" w:line="300" w:before="0" w:after="0"/>
        <w:ind w:left="0" w:right="0" w:hanging="0"/>
        <w:jc w:val="center"/>
        <w:rPr/>
      </w:pPr>
      <w:r>
        <w:rPr>
          <w:rStyle w:val="StrongEmphasis"/>
          <w:rFonts w:ascii="Times New Roman" w:hAnsi="Times New Roman"/>
          <w:sz w:val="20"/>
        </w:rPr>
        <w:t>(unaudited)</w:t>
      </w:r>
    </w:p>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148" w:name="ftable2"/>
      <w:bookmarkStart w:id="149" w:name="ftable2"/>
      <w:bookmarkEnd w:id="149"/>
    </w:p>
    <w:tbl>
      <w:tblPr>
        <w:tblW w:w="5000" w:type="pct"/>
        <w:jc w:val="left"/>
        <w:tblInd w:w="0" w:type="dxa"/>
        <w:tblCellMar>
          <w:top w:w="0" w:type="dxa"/>
          <w:left w:w="0" w:type="dxa"/>
          <w:bottom w:w="28" w:type="dxa"/>
          <w:right w:w="0" w:type="dxa"/>
        </w:tblCellMar>
      </w:tblPr>
      <w:tblGrid>
        <w:gridCol w:w="7007"/>
        <w:gridCol w:w="203"/>
        <w:gridCol w:w="125"/>
        <w:gridCol w:w="1208"/>
        <w:gridCol w:w="208"/>
        <w:gridCol w:w="125"/>
        <w:gridCol w:w="1208"/>
        <w:gridCol w:w="121"/>
      </w:tblGrid>
      <w:tr>
        <w:trPr/>
        <w:tc>
          <w:tcPr>
            <w:tcW w:w="7007" w:type="dxa"/>
            <w:tcBorders>
              <w:bottom w:val="single" w:sz="4" w:space="0" w:color="FFFFFF"/>
            </w:tcBorders>
            <w:shd w:fill="auto" w:val="clear"/>
            <w:vAlign w:val="bottom"/>
          </w:tcPr>
          <w:p>
            <w:pPr>
              <w:pStyle w:val="TableContents"/>
              <w:spacing w:before="0" w:after="283"/>
              <w:jc w:val="left"/>
              <w:rPr/>
            </w:pPr>
            <w:r>
              <w:rPr/>
              <w:t> </w:t>
            </w:r>
          </w:p>
        </w:tc>
        <w:tc>
          <w:tcPr>
            <w:tcW w:w="203" w:type="dxa"/>
            <w:tcBorders>
              <w:bottom w:val="single" w:sz="4" w:space="0" w:color="FFFFFF"/>
            </w:tcBorders>
            <w:shd w:fill="auto" w:val="clear"/>
            <w:vAlign w:val="center"/>
          </w:tcPr>
          <w:p>
            <w:pPr>
              <w:pStyle w:val="TableContents"/>
              <w:spacing w:before="0" w:after="283"/>
              <w:rPr/>
            </w:pPr>
            <w:r>
              <w:rPr/>
              <w:t> </w:t>
            </w:r>
          </w:p>
        </w:tc>
        <w:tc>
          <w:tcPr>
            <w:tcW w:w="2874"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For The Six Months Ended </w:t>
            </w:r>
          </w:p>
          <w:p>
            <w:pPr>
              <w:pStyle w:val="TableContents"/>
              <w:spacing w:lineRule="auto" w:line="300" w:before="0" w:after="0"/>
              <w:ind w:left="0" w:right="0" w:hanging="0"/>
              <w:jc w:val="center"/>
              <w:rPr/>
            </w:pPr>
            <w:r>
              <w:rPr>
                <w:rStyle w:val="StrongEmphasis"/>
                <w:rFonts w:ascii="Times New Roman" w:hAnsi="Times New Roman"/>
                <w:sz w:val="20"/>
              </w:rPr>
              <w:t xml:space="preserve">January 31 </w:t>
            </w:r>
          </w:p>
        </w:tc>
        <w:tc>
          <w:tcPr>
            <w:tcW w:w="121" w:type="dxa"/>
            <w:tcBorders>
              <w:bottom w:val="single" w:sz="4" w:space="0" w:color="FFFFFF"/>
            </w:tcBorders>
            <w:shd w:fill="auto" w:val="clear"/>
            <w:vAlign w:val="bottom"/>
          </w:tcPr>
          <w:p>
            <w:pPr>
              <w:pStyle w:val="TableContents"/>
              <w:spacing w:before="0" w:after="283"/>
              <w:jc w:val="left"/>
              <w:rPr/>
            </w:pPr>
            <w:r>
              <w:rPr/>
              <w:t> </w:t>
            </w:r>
          </w:p>
        </w:tc>
      </w:tr>
      <w:tr>
        <w:trPr/>
        <w:tc>
          <w:tcPr>
            <w:tcW w:w="7007" w:type="dxa"/>
            <w:tcBorders>
              <w:bottom w:val="single" w:sz="4" w:space="0" w:color="FFFFFF"/>
            </w:tcBorders>
            <w:shd w:fill="auto" w:val="clear"/>
            <w:vAlign w:val="bottom"/>
          </w:tcPr>
          <w:p>
            <w:pPr>
              <w:pStyle w:val="TableContents"/>
              <w:spacing w:before="0" w:after="283"/>
              <w:jc w:val="left"/>
              <w:rPr/>
            </w:pPr>
            <w:r>
              <w:rPr/>
              <w:t> </w:t>
            </w:r>
          </w:p>
        </w:tc>
        <w:tc>
          <w:tcPr>
            <w:tcW w:w="203" w:type="dxa"/>
            <w:tcBorders>
              <w:bottom w:val="single" w:sz="4" w:space="0" w:color="FFFFFF"/>
            </w:tcBorders>
            <w:shd w:fill="auto" w:val="clear"/>
            <w:vAlign w:val="center"/>
          </w:tcPr>
          <w:p>
            <w:pPr>
              <w:pStyle w:val="TableContents"/>
              <w:spacing w:before="0" w:after="283"/>
              <w:rPr/>
            </w:pPr>
            <w:r>
              <w:rPr/>
              <w:t> </w:t>
            </w:r>
          </w:p>
        </w:tc>
        <w:tc>
          <w:tcPr>
            <w:tcW w:w="1333"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2008</w:t>
            </w:r>
          </w:p>
        </w:tc>
        <w:tc>
          <w:tcPr>
            <w:tcW w:w="208" w:type="dxa"/>
            <w:tcBorders>
              <w:bottom w:val="single" w:sz="4" w:space="0" w:color="FFFFFF"/>
            </w:tcBorders>
            <w:shd w:fill="auto" w:val="clear"/>
            <w:vAlign w:val="bottom"/>
          </w:tcPr>
          <w:p>
            <w:pPr>
              <w:pStyle w:val="TableContents"/>
              <w:spacing w:before="0" w:after="283"/>
              <w:jc w:val="left"/>
              <w:rPr/>
            </w:pPr>
            <w:r>
              <w:rPr/>
              <w:t> </w:t>
            </w:r>
          </w:p>
        </w:tc>
        <w:tc>
          <w:tcPr>
            <w:tcW w:w="1333"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2007</w:t>
            </w:r>
          </w:p>
        </w:tc>
        <w:tc>
          <w:tcPr>
            <w:tcW w:w="121" w:type="dxa"/>
            <w:tcBorders>
              <w:bottom w:val="single" w:sz="4" w:space="0" w:color="FFFFFF"/>
            </w:tcBorders>
            <w:shd w:fill="auto" w:val="clear"/>
            <w:vAlign w:val="bottom"/>
          </w:tcPr>
          <w:p>
            <w:pPr>
              <w:pStyle w:val="TableContents"/>
              <w:spacing w:before="0" w:after="283"/>
              <w:jc w:val="left"/>
              <w:rPr/>
            </w:pPr>
            <w:r>
              <w:rPr/>
              <w:t> </w:t>
            </w:r>
          </w:p>
        </w:tc>
      </w:tr>
      <w:tr>
        <w:trPr/>
        <w:tc>
          <w:tcPr>
            <w:tcW w:w="7007" w:type="dxa"/>
            <w:tcBorders/>
            <w:shd w:fill="auto" w:val="clear"/>
            <w:tcMar>
              <w:bottom w:w="0" w:type="dxa"/>
            </w:tcMar>
            <w:vAlign w:val="bottom"/>
          </w:tcPr>
          <w:p>
            <w:pPr>
              <w:pStyle w:val="TableContents"/>
              <w:spacing w:before="0" w:after="283"/>
              <w:jc w:val="left"/>
              <w:rPr/>
            </w:pPr>
            <w:r>
              <w:rPr/>
              <w:t> </w:t>
            </w:r>
          </w:p>
        </w:tc>
        <w:tc>
          <w:tcPr>
            <w:tcW w:w="203" w:type="dxa"/>
            <w:tcBorders/>
            <w:shd w:fill="auto" w:val="clear"/>
            <w:tcMar>
              <w:bottom w:w="0" w:type="dxa"/>
            </w:tcMar>
            <w:vAlign w:val="center"/>
          </w:tcPr>
          <w:p>
            <w:pPr>
              <w:pStyle w:val="TableContents"/>
              <w:spacing w:before="0" w:after="283"/>
              <w:rPr/>
            </w:pPr>
            <w:r>
              <w:rPr/>
              <w:t> </w:t>
            </w:r>
          </w:p>
        </w:tc>
        <w:tc>
          <w:tcPr>
            <w:tcW w:w="1333" w:type="dxa"/>
            <w:gridSpan w:val="2"/>
            <w:tcBorders/>
            <w:shd w:fill="auto" w:val="clear"/>
            <w:tcMar>
              <w:bottom w:w="0" w:type="dxa"/>
            </w:tcMar>
            <w:vAlign w:val="bottom"/>
          </w:tcPr>
          <w:p>
            <w:pPr>
              <w:pStyle w:val="TableContents"/>
              <w:spacing w:before="0" w:after="283"/>
              <w:jc w:val="left"/>
              <w:rPr/>
            </w:pPr>
            <w:r>
              <w:rPr/>
              <w:t> </w:t>
            </w:r>
          </w:p>
        </w:tc>
        <w:tc>
          <w:tcPr>
            <w:tcW w:w="208" w:type="dxa"/>
            <w:tcBorders/>
            <w:shd w:fill="auto" w:val="clear"/>
            <w:tcMar>
              <w:bottom w:w="0" w:type="dxa"/>
            </w:tcMar>
            <w:vAlign w:val="bottom"/>
          </w:tcPr>
          <w:p>
            <w:pPr>
              <w:pStyle w:val="TableContents"/>
              <w:spacing w:before="0" w:after="283"/>
              <w:jc w:val="left"/>
              <w:rPr/>
            </w:pPr>
            <w:r>
              <w:rPr/>
              <w:t> </w:t>
            </w:r>
          </w:p>
        </w:tc>
        <w:tc>
          <w:tcPr>
            <w:tcW w:w="1333" w:type="dxa"/>
            <w:gridSpan w:val="2"/>
            <w:tcBorders/>
            <w:shd w:fill="auto" w:val="clear"/>
            <w:tcMar>
              <w:bottom w:w="0" w:type="dxa"/>
            </w:tcMar>
            <w:vAlign w:val="bottom"/>
          </w:tcPr>
          <w:p>
            <w:pPr>
              <w:pStyle w:val="TableContents"/>
              <w:spacing w:before="0" w:after="283"/>
              <w:jc w:val="left"/>
              <w:rPr/>
            </w:pPr>
            <w:r>
              <w:rPr/>
              <w:t> </w:t>
            </w:r>
          </w:p>
        </w:tc>
        <w:tc>
          <w:tcPr>
            <w:tcW w:w="121" w:type="dxa"/>
            <w:tcBorders/>
            <w:shd w:fill="auto" w:val="clear"/>
            <w:tcMar>
              <w:bottom w:w="0" w:type="dxa"/>
            </w:tcMar>
            <w:vAlign w:val="bottom"/>
          </w:tcPr>
          <w:p>
            <w:pPr>
              <w:pStyle w:val="TableContents"/>
              <w:spacing w:before="0" w:after="283"/>
              <w:jc w:val="left"/>
              <w:rPr/>
            </w:pPr>
            <w:r>
              <w:rPr/>
              <w:t> </w:t>
            </w:r>
          </w:p>
        </w:tc>
      </w:tr>
      <w:tr>
        <w:trPr/>
        <w:tc>
          <w:tcPr>
            <w:tcW w:w="7007"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Net Sales</w:t>
            </w:r>
          </w:p>
        </w:tc>
        <w:tc>
          <w:tcPr>
            <w:tcW w:w="203"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208"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113,311</w:t>
            </w:r>
          </w:p>
        </w:tc>
        <w:tc>
          <w:tcPr>
            <w:tcW w:w="208"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08"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105,002</w:t>
            </w:r>
          </w:p>
        </w:tc>
        <w:tc>
          <w:tcPr>
            <w:tcW w:w="121" w:type="dxa"/>
            <w:tcBorders/>
            <w:shd w:fill="CCFFCC" w:val="clear"/>
            <w:tcMar>
              <w:bottom w:w="0" w:type="dxa"/>
            </w:tcMar>
            <w:vAlign w:val="bottom"/>
          </w:tcPr>
          <w:p>
            <w:pPr>
              <w:pStyle w:val="TableContents"/>
              <w:spacing w:before="0" w:after="283"/>
              <w:jc w:val="left"/>
              <w:rPr/>
            </w:pPr>
            <w:r>
              <w:rPr/>
              <w:t> </w:t>
            </w:r>
          </w:p>
        </w:tc>
      </w:tr>
      <w:tr>
        <w:trPr/>
        <w:tc>
          <w:tcPr>
            <w:tcW w:w="7007"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Cost of Sales</w:t>
            </w:r>
          </w:p>
        </w:tc>
        <w:tc>
          <w:tcPr>
            <w:tcW w:w="203" w:type="dxa"/>
            <w:tcBorders>
              <w:bottom w:val="single" w:sz="4"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208" w:type="dxa"/>
            <w:tcBorders>
              <w:bottom w:val="sing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(89,533</w:t>
            </w:r>
          </w:p>
        </w:tc>
        <w:tc>
          <w:tcPr>
            <w:tcW w:w="208" w:type="dxa"/>
            <w:tcBorders>
              <w:bottom w:val="single" w:sz="4"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20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(82,842</w:t>
            </w:r>
          </w:p>
        </w:tc>
        <w:tc>
          <w:tcPr>
            <w:tcW w:w="121"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7007"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Gross Profit</w:t>
            </w:r>
          </w:p>
        </w:tc>
        <w:tc>
          <w:tcPr>
            <w:tcW w:w="203"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208"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23,778</w:t>
            </w:r>
          </w:p>
        </w:tc>
        <w:tc>
          <w:tcPr>
            <w:tcW w:w="208"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208"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22,160 </w:t>
            </w:r>
          </w:p>
        </w:tc>
        <w:tc>
          <w:tcPr>
            <w:tcW w:w="121" w:type="dxa"/>
            <w:tcBorders/>
            <w:shd w:fill="CCFFCC" w:val="clear"/>
            <w:tcMar>
              <w:bottom w:w="0" w:type="dxa"/>
            </w:tcMar>
            <w:vAlign w:val="bottom"/>
          </w:tcPr>
          <w:p>
            <w:pPr>
              <w:pStyle w:val="TableContents"/>
              <w:spacing w:before="0" w:after="283"/>
              <w:jc w:val="left"/>
              <w:rPr/>
            </w:pPr>
            <w:r>
              <w:rPr/>
              <w:t> </w:t>
            </w:r>
          </w:p>
        </w:tc>
      </w:tr>
      <w:tr>
        <w:trPr/>
        <w:tc>
          <w:tcPr>
            <w:tcW w:w="7007"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Selling, General and Administrative Expenses</w:t>
            </w:r>
          </w:p>
        </w:tc>
        <w:tc>
          <w:tcPr>
            <w:tcW w:w="203" w:type="dxa"/>
            <w:tcBorders>
              <w:bottom w:val="single" w:sz="4"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208" w:type="dxa"/>
            <w:tcBorders>
              <w:bottom w:val="sing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(17,111</w:t>
            </w:r>
          </w:p>
        </w:tc>
        <w:tc>
          <w:tcPr>
            <w:tcW w:w="208" w:type="dxa"/>
            <w:tcBorders>
              <w:bottom w:val="single" w:sz="4"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20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(16,812</w:t>
            </w:r>
          </w:p>
        </w:tc>
        <w:tc>
          <w:tcPr>
            <w:tcW w:w="121"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7007" w:type="dxa"/>
            <w:tcBorders>
              <w:bottom w:val="single" w:sz="4"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Income from Operations</w:t>
            </w:r>
          </w:p>
        </w:tc>
        <w:tc>
          <w:tcPr>
            <w:tcW w:w="203" w:type="dxa"/>
            <w:tcBorders>
              <w:bottom w:val="single" w:sz="4" w:space="0" w:color="CCFFCC"/>
            </w:tcBorders>
            <w:shd w:fill="CCFFCC" w:val="clear"/>
            <w:vAlign w:val="center"/>
          </w:tcPr>
          <w:p>
            <w:pPr>
              <w:pStyle w:val="TableContents"/>
              <w:spacing w:before="0" w:after="283"/>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208" w:type="dxa"/>
            <w:tcBorders>
              <w:bottom w:val="single" w:sz="2" w:space="0" w:color="000000"/>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6,667</w:t>
            </w:r>
          </w:p>
        </w:tc>
        <w:tc>
          <w:tcPr>
            <w:tcW w:w="208" w:type="dxa"/>
            <w:tcBorders>
              <w:bottom w:val="single" w:sz="4" w:space="0" w:color="CCFFCC"/>
            </w:tcBorders>
            <w:shd w:fill="CCFFCC" w:val="clear"/>
            <w:vAlign w:val="bottom"/>
          </w:tcPr>
          <w:p>
            <w:pPr>
              <w:pStyle w:val="TableContents"/>
              <w:spacing w:before="0" w:after="283"/>
              <w:jc w:val="left"/>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208"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5,348 </w:t>
            </w:r>
          </w:p>
        </w:tc>
        <w:tc>
          <w:tcPr>
            <w:tcW w:w="121" w:type="dxa"/>
            <w:tcBorders>
              <w:bottom w:val="single" w:sz="4" w:space="0" w:color="CCFFCC"/>
            </w:tcBorders>
            <w:shd w:fill="CCFFCC" w:val="clear"/>
            <w:vAlign w:val="bottom"/>
          </w:tcPr>
          <w:p>
            <w:pPr>
              <w:pStyle w:val="TableContents"/>
              <w:spacing w:before="0" w:after="283"/>
              <w:jc w:val="left"/>
              <w:rPr/>
            </w:pPr>
            <w:r>
              <w:rPr/>
              <w:t> </w:t>
            </w:r>
          </w:p>
        </w:tc>
      </w:tr>
      <w:tr>
        <w:trPr/>
        <w:tc>
          <w:tcPr>
            <w:tcW w:w="7007" w:type="dxa"/>
            <w:tcBorders/>
            <w:shd w:fill="FFFFFF" w:val="clear"/>
            <w:tcMar>
              <w:bottom w:w="0" w:type="dxa"/>
            </w:tcMar>
            <w:vAlign w:val="bottom"/>
          </w:tcPr>
          <w:p>
            <w:pPr>
              <w:pStyle w:val="TableContents"/>
              <w:spacing w:before="0" w:after="283"/>
              <w:jc w:val="left"/>
              <w:rPr/>
            </w:pPr>
            <w:r>
              <w:rPr/>
              <w:t> </w:t>
            </w:r>
          </w:p>
        </w:tc>
        <w:tc>
          <w:tcPr>
            <w:tcW w:w="203"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8" w:type="dxa"/>
            <w:tcBorders/>
            <w:shd w:fill="FFFFFF" w:val="clear"/>
            <w:tcMar>
              <w:bottom w:w="0" w:type="dxa"/>
            </w:tcMar>
            <w:vAlign w:val="bottom"/>
          </w:tcPr>
          <w:p>
            <w:pPr>
              <w:pStyle w:val="TableContents"/>
              <w:spacing w:before="0" w:after="283"/>
              <w:jc w:val="right"/>
              <w:rPr/>
            </w:pPr>
            <w:r>
              <w:rPr/>
              <w:t> </w:t>
            </w:r>
          </w:p>
        </w:tc>
        <w:tc>
          <w:tcPr>
            <w:tcW w:w="208"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8" w:type="dxa"/>
            <w:tcBorders/>
            <w:shd w:fill="FFFFFF" w:val="clear"/>
            <w:tcMar>
              <w:bottom w:w="0" w:type="dxa"/>
            </w:tcMar>
            <w:vAlign w:val="bottom"/>
          </w:tcPr>
          <w:p>
            <w:pPr>
              <w:pStyle w:val="TableContents"/>
              <w:spacing w:before="0" w:after="283"/>
              <w:jc w:val="right"/>
              <w:rPr/>
            </w:pPr>
            <w:r>
              <w:rPr/>
              <w:t> </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7007"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Other Income (Expense)</w:t>
            </w:r>
          </w:p>
        </w:tc>
        <w:tc>
          <w:tcPr>
            <w:tcW w:w="203"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208" w:type="dxa"/>
            <w:tcBorders/>
            <w:shd w:fill="CCFFCC" w:val="clear"/>
            <w:tcMar>
              <w:bottom w:w="0" w:type="dxa"/>
            </w:tcMar>
            <w:vAlign w:val="bottom"/>
          </w:tcPr>
          <w:p>
            <w:pPr>
              <w:pStyle w:val="TableContents"/>
              <w:spacing w:before="0" w:after="283"/>
              <w:jc w:val="right"/>
              <w:rPr/>
            </w:pPr>
            <w:r>
              <w:rPr/>
              <w:t> </w:t>
            </w:r>
          </w:p>
        </w:tc>
        <w:tc>
          <w:tcPr>
            <w:tcW w:w="208"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208" w:type="dxa"/>
            <w:tcBorders/>
            <w:shd w:fill="CCFFCC" w:val="clear"/>
            <w:tcMar>
              <w:bottom w:w="0" w:type="dxa"/>
            </w:tcMar>
            <w:vAlign w:val="bottom"/>
          </w:tcPr>
          <w:p>
            <w:pPr>
              <w:pStyle w:val="TableContents"/>
              <w:spacing w:before="0" w:after="283"/>
              <w:jc w:val="right"/>
              <w:rPr/>
            </w:pPr>
            <w:r>
              <w:rPr/>
              <w:t> </w:t>
            </w:r>
          </w:p>
        </w:tc>
        <w:tc>
          <w:tcPr>
            <w:tcW w:w="121" w:type="dxa"/>
            <w:tcBorders/>
            <w:shd w:fill="CCFFCC" w:val="clear"/>
            <w:tcMar>
              <w:bottom w:w="0" w:type="dxa"/>
            </w:tcMar>
            <w:vAlign w:val="bottom"/>
          </w:tcPr>
          <w:p>
            <w:pPr>
              <w:pStyle w:val="TableContents"/>
              <w:spacing w:before="0" w:after="283"/>
              <w:jc w:val="left"/>
              <w:rPr/>
            </w:pPr>
            <w:r>
              <w:rPr/>
              <w:t> </w:t>
            </w:r>
          </w:p>
        </w:tc>
      </w:tr>
      <w:tr>
        <w:trPr/>
        <w:tc>
          <w:tcPr>
            <w:tcW w:w="7007"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Interest expense</w:t>
            </w:r>
          </w:p>
        </w:tc>
        <w:tc>
          <w:tcPr>
            <w:tcW w:w="203"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8"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(1,144</w:t>
            </w:r>
          </w:p>
        </w:tc>
        <w:tc>
          <w:tcPr>
            <w:tcW w:w="208"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25" w:type="dxa"/>
            <w:tcBorders/>
            <w:shd w:fill="FFFFFF" w:val="clear"/>
            <w:tcMar>
              <w:bottom w:w="0" w:type="dxa"/>
            </w:tcMar>
            <w:vAlign w:val="bottom"/>
          </w:tcPr>
          <w:p>
            <w:pPr>
              <w:pStyle w:val="TableContents"/>
              <w:spacing w:before="0" w:after="283"/>
              <w:jc w:val="left"/>
              <w:rPr/>
            </w:pPr>
            <w:r>
              <w:rPr/>
              <w:t> </w:t>
            </w:r>
          </w:p>
        </w:tc>
        <w:tc>
          <w:tcPr>
            <w:tcW w:w="120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(1,258</w:t>
            </w:r>
          </w:p>
        </w:tc>
        <w:tc>
          <w:tcPr>
            <w:tcW w:w="12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7007"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Interest income</w:t>
            </w:r>
          </w:p>
        </w:tc>
        <w:tc>
          <w:tcPr>
            <w:tcW w:w="203"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208"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652</w:t>
            </w:r>
          </w:p>
        </w:tc>
        <w:tc>
          <w:tcPr>
            <w:tcW w:w="208"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208"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691</w:t>
            </w:r>
          </w:p>
        </w:tc>
        <w:tc>
          <w:tcPr>
            <w:tcW w:w="121" w:type="dxa"/>
            <w:tcBorders/>
            <w:shd w:fill="CCFFCC" w:val="clear"/>
            <w:tcMar>
              <w:bottom w:w="0" w:type="dxa"/>
            </w:tcMar>
            <w:vAlign w:val="bottom"/>
          </w:tcPr>
          <w:p>
            <w:pPr>
              <w:pStyle w:val="TableContents"/>
              <w:spacing w:before="0" w:after="283"/>
              <w:jc w:val="left"/>
              <w:rPr/>
            </w:pPr>
            <w:r>
              <w:rPr/>
              <w:t> </w:t>
            </w:r>
          </w:p>
        </w:tc>
      </w:tr>
      <w:tr>
        <w:trPr/>
        <w:tc>
          <w:tcPr>
            <w:tcW w:w="7007" w:type="dxa"/>
            <w:tcBorders>
              <w:bottom w:val="single" w:sz="4" w:space="0" w:color="FFFFFF"/>
            </w:tcBorders>
            <w:shd w:fill="FFFFFF" w:val="cle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Other, net</w:t>
            </w:r>
          </w:p>
        </w:tc>
        <w:tc>
          <w:tcPr>
            <w:tcW w:w="203" w:type="dxa"/>
            <w:tcBorders>
              <w:bottom w:val="single" w:sz="4"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208" w:type="dxa"/>
            <w:tcBorders>
              <w:bottom w:val="sing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133</w:t>
            </w:r>
          </w:p>
        </w:tc>
        <w:tc>
          <w:tcPr>
            <w:tcW w:w="208"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20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147</w:t>
            </w:r>
          </w:p>
        </w:tc>
        <w:tc>
          <w:tcPr>
            <w:tcW w:w="121" w:type="dxa"/>
            <w:tcBorders>
              <w:bottom w:val="single" w:sz="4" w:space="0" w:color="FFFFFF"/>
            </w:tcBorders>
            <w:shd w:fill="FFFFFF" w:val="clear"/>
            <w:vAlign w:val="bottom"/>
          </w:tcPr>
          <w:p>
            <w:pPr>
              <w:pStyle w:val="TableContents"/>
              <w:spacing w:before="0" w:after="283"/>
              <w:jc w:val="left"/>
              <w:rPr/>
            </w:pPr>
            <w:r>
              <w:rPr/>
              <w:t> </w:t>
            </w:r>
          </w:p>
        </w:tc>
      </w:tr>
      <w:tr>
        <w:trPr/>
        <w:tc>
          <w:tcPr>
            <w:tcW w:w="7007" w:type="dxa"/>
            <w:tcBorders>
              <w:bottom w:val="single" w:sz="4" w:space="0" w:color="CCFFCC"/>
            </w:tcBorders>
            <w:shd w:fill="CCFFCC" w:val="clear"/>
            <w:vAlign w:val="bottom"/>
          </w:tcPr>
          <w:p>
            <w:pPr>
              <w:pStyle w:val="TableContents"/>
              <w:spacing w:lineRule="auto" w:line="300" w:before="0" w:after="0"/>
              <w:ind w:left="360" w:right="0" w:hanging="0"/>
              <w:jc w:val="left"/>
              <w:rPr/>
            </w:pPr>
            <w:r>
              <w:rPr>
                <w:rStyle w:val="StrongEmphasis"/>
                <w:rFonts w:ascii="Times New Roman" w:hAnsi="Times New Roman"/>
                <w:sz w:val="20"/>
              </w:rPr>
              <w:t>Total Other Income (Expense), Net</w:t>
            </w:r>
          </w:p>
        </w:tc>
        <w:tc>
          <w:tcPr>
            <w:tcW w:w="203" w:type="dxa"/>
            <w:tcBorders>
              <w:bottom w:val="single" w:sz="4" w:space="0" w:color="CCFFCC"/>
            </w:tcBorders>
            <w:shd w:fill="CCFFCC" w:val="clear"/>
            <w:vAlign w:val="center"/>
          </w:tcPr>
          <w:p>
            <w:pPr>
              <w:pStyle w:val="TableContents"/>
              <w:spacing w:before="0" w:after="283"/>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208" w:type="dxa"/>
            <w:tcBorders>
              <w:bottom w:val="single" w:sz="2" w:space="0" w:color="000000"/>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(359</w:t>
            </w:r>
          </w:p>
        </w:tc>
        <w:tc>
          <w:tcPr>
            <w:tcW w:w="208" w:type="dxa"/>
            <w:tcBorders>
              <w:bottom w:val="single" w:sz="4"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208"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(420</w:t>
            </w:r>
          </w:p>
        </w:tc>
        <w:tc>
          <w:tcPr>
            <w:tcW w:w="121"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7007" w:type="dxa"/>
            <w:tcBorders/>
            <w:shd w:fill="FFFFFF" w:val="clear"/>
            <w:tcMar>
              <w:bottom w:w="0" w:type="dxa"/>
            </w:tcMar>
            <w:vAlign w:val="bottom"/>
          </w:tcPr>
          <w:p>
            <w:pPr>
              <w:pStyle w:val="TableContents"/>
              <w:spacing w:before="0" w:after="283"/>
              <w:jc w:val="left"/>
              <w:rPr/>
            </w:pPr>
            <w:r>
              <w:rPr/>
              <w:t> </w:t>
            </w:r>
          </w:p>
        </w:tc>
        <w:tc>
          <w:tcPr>
            <w:tcW w:w="203"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8" w:type="dxa"/>
            <w:tcBorders/>
            <w:shd w:fill="FFFFFF" w:val="clear"/>
            <w:tcMar>
              <w:bottom w:w="0" w:type="dxa"/>
            </w:tcMar>
            <w:vAlign w:val="bottom"/>
          </w:tcPr>
          <w:p>
            <w:pPr>
              <w:pStyle w:val="TableContents"/>
              <w:spacing w:before="0" w:after="283"/>
              <w:jc w:val="right"/>
              <w:rPr/>
            </w:pPr>
            <w:r>
              <w:rPr/>
              <w:t> </w:t>
            </w:r>
          </w:p>
        </w:tc>
        <w:tc>
          <w:tcPr>
            <w:tcW w:w="208"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8" w:type="dxa"/>
            <w:tcBorders/>
            <w:shd w:fill="FFFFFF" w:val="clear"/>
            <w:tcMar>
              <w:bottom w:w="0" w:type="dxa"/>
            </w:tcMar>
            <w:vAlign w:val="bottom"/>
          </w:tcPr>
          <w:p>
            <w:pPr>
              <w:pStyle w:val="TableContents"/>
              <w:spacing w:before="0" w:after="283"/>
              <w:jc w:val="right"/>
              <w:rPr/>
            </w:pPr>
            <w:r>
              <w:rPr/>
              <w:t> </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7007"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Income Before Income Taxes </w:t>
            </w:r>
          </w:p>
        </w:tc>
        <w:tc>
          <w:tcPr>
            <w:tcW w:w="203"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208"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6,308</w:t>
            </w:r>
          </w:p>
        </w:tc>
        <w:tc>
          <w:tcPr>
            <w:tcW w:w="208"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208"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4,928 </w:t>
            </w:r>
          </w:p>
        </w:tc>
        <w:tc>
          <w:tcPr>
            <w:tcW w:w="121" w:type="dxa"/>
            <w:tcBorders/>
            <w:shd w:fill="CCFFCC" w:val="clear"/>
            <w:tcMar>
              <w:bottom w:w="0" w:type="dxa"/>
            </w:tcMar>
            <w:vAlign w:val="bottom"/>
          </w:tcPr>
          <w:p>
            <w:pPr>
              <w:pStyle w:val="TableContents"/>
              <w:spacing w:before="0" w:after="283"/>
              <w:jc w:val="left"/>
              <w:rPr/>
            </w:pPr>
            <w:r>
              <w:rPr/>
              <w:t> </w:t>
            </w:r>
          </w:p>
        </w:tc>
      </w:tr>
      <w:tr>
        <w:trPr/>
        <w:tc>
          <w:tcPr>
            <w:tcW w:w="7007"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Income taxes</w:t>
            </w:r>
          </w:p>
        </w:tc>
        <w:tc>
          <w:tcPr>
            <w:tcW w:w="203" w:type="dxa"/>
            <w:tcBorders>
              <w:bottom w:val="single" w:sz="4"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208" w:type="dxa"/>
            <w:tcBorders>
              <w:bottom w:val="sing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(1,735</w:t>
            </w:r>
          </w:p>
        </w:tc>
        <w:tc>
          <w:tcPr>
            <w:tcW w:w="208" w:type="dxa"/>
            <w:tcBorders>
              <w:bottom w:val="single" w:sz="4"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20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(1,318</w:t>
            </w:r>
          </w:p>
        </w:tc>
        <w:tc>
          <w:tcPr>
            <w:tcW w:w="121"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7007"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Net Income </w:t>
            </w:r>
          </w:p>
        </w:tc>
        <w:tc>
          <w:tcPr>
            <w:tcW w:w="203"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208"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4,573</w:t>
            </w:r>
          </w:p>
        </w:tc>
        <w:tc>
          <w:tcPr>
            <w:tcW w:w="208"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208"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3,610</w:t>
            </w:r>
          </w:p>
        </w:tc>
        <w:tc>
          <w:tcPr>
            <w:tcW w:w="121" w:type="dxa"/>
            <w:tcBorders/>
            <w:shd w:fill="CCFFCC" w:val="clear"/>
            <w:tcMar>
              <w:bottom w:w="0" w:type="dxa"/>
            </w:tcMar>
            <w:vAlign w:val="bottom"/>
          </w:tcPr>
          <w:p>
            <w:pPr>
              <w:pStyle w:val="TableContents"/>
              <w:spacing w:before="0" w:after="283"/>
              <w:jc w:val="left"/>
              <w:rPr/>
            </w:pPr>
            <w:r>
              <w:rPr/>
              <w:t> </w:t>
            </w:r>
          </w:p>
        </w:tc>
      </w:tr>
      <w:tr>
        <w:trPr/>
        <w:tc>
          <w:tcPr>
            <w:tcW w:w="7007" w:type="dxa"/>
            <w:tcBorders/>
            <w:shd w:fill="FFFFFF" w:val="clear"/>
            <w:tcMar>
              <w:bottom w:w="0" w:type="dxa"/>
            </w:tcMar>
            <w:vAlign w:val="bottom"/>
          </w:tcPr>
          <w:p>
            <w:pPr>
              <w:pStyle w:val="TableContents"/>
              <w:spacing w:before="0" w:after="283"/>
              <w:jc w:val="left"/>
              <w:rPr/>
            </w:pPr>
            <w:r>
              <w:rPr/>
              <w:t> </w:t>
            </w:r>
          </w:p>
        </w:tc>
        <w:tc>
          <w:tcPr>
            <w:tcW w:w="203"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8" w:type="dxa"/>
            <w:tcBorders/>
            <w:shd w:fill="FFFFFF" w:val="clear"/>
            <w:tcMar>
              <w:bottom w:w="0" w:type="dxa"/>
            </w:tcMar>
            <w:vAlign w:val="bottom"/>
          </w:tcPr>
          <w:p>
            <w:pPr>
              <w:pStyle w:val="TableContents"/>
              <w:spacing w:before="0" w:after="283"/>
              <w:jc w:val="right"/>
              <w:rPr/>
            </w:pPr>
            <w:r>
              <w:rPr/>
              <w:t> </w:t>
            </w:r>
          </w:p>
        </w:tc>
        <w:tc>
          <w:tcPr>
            <w:tcW w:w="208"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8" w:type="dxa"/>
            <w:tcBorders/>
            <w:shd w:fill="FFFFFF" w:val="clear"/>
            <w:tcMar>
              <w:bottom w:w="0" w:type="dxa"/>
            </w:tcMar>
            <w:vAlign w:val="bottom"/>
          </w:tcPr>
          <w:p>
            <w:pPr>
              <w:pStyle w:val="TableContents"/>
              <w:spacing w:before="0" w:after="283"/>
              <w:jc w:val="right"/>
              <w:rPr/>
            </w:pPr>
            <w:r>
              <w:rPr/>
              <w:t> </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7007"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Retained Earnings</w:t>
            </w:r>
          </w:p>
        </w:tc>
        <w:tc>
          <w:tcPr>
            <w:tcW w:w="203"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208" w:type="dxa"/>
            <w:tcBorders/>
            <w:shd w:fill="CCFFCC" w:val="clear"/>
            <w:tcMar>
              <w:bottom w:w="0" w:type="dxa"/>
            </w:tcMar>
            <w:vAlign w:val="bottom"/>
          </w:tcPr>
          <w:p>
            <w:pPr>
              <w:pStyle w:val="TableContents"/>
              <w:spacing w:before="0" w:after="283"/>
              <w:jc w:val="right"/>
              <w:rPr/>
            </w:pPr>
            <w:r>
              <w:rPr/>
              <w:t> </w:t>
            </w:r>
          </w:p>
        </w:tc>
        <w:tc>
          <w:tcPr>
            <w:tcW w:w="208"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208" w:type="dxa"/>
            <w:tcBorders/>
            <w:shd w:fill="CCFFCC" w:val="clear"/>
            <w:tcMar>
              <w:bottom w:w="0" w:type="dxa"/>
            </w:tcMar>
            <w:vAlign w:val="bottom"/>
          </w:tcPr>
          <w:p>
            <w:pPr>
              <w:pStyle w:val="TableContents"/>
              <w:spacing w:before="0" w:after="283"/>
              <w:jc w:val="right"/>
              <w:rPr/>
            </w:pPr>
            <w:r>
              <w:rPr/>
              <w:t> </w:t>
            </w:r>
          </w:p>
        </w:tc>
        <w:tc>
          <w:tcPr>
            <w:tcW w:w="121" w:type="dxa"/>
            <w:tcBorders/>
            <w:shd w:fill="CCFFCC" w:val="clear"/>
            <w:tcMar>
              <w:bottom w:w="0" w:type="dxa"/>
            </w:tcMar>
            <w:vAlign w:val="bottom"/>
          </w:tcPr>
          <w:p>
            <w:pPr>
              <w:pStyle w:val="TableContents"/>
              <w:spacing w:before="0" w:after="283"/>
              <w:jc w:val="left"/>
              <w:rPr/>
            </w:pPr>
            <w:r>
              <w:rPr/>
              <w:t> </w:t>
            </w:r>
          </w:p>
        </w:tc>
      </w:tr>
      <w:tr>
        <w:trPr/>
        <w:tc>
          <w:tcPr>
            <w:tcW w:w="700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Balance at beginning of year</w:t>
            </w:r>
          </w:p>
        </w:tc>
        <w:tc>
          <w:tcPr>
            <w:tcW w:w="203"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8"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100,503</w:t>
            </w:r>
          </w:p>
        </w:tc>
        <w:tc>
          <w:tcPr>
            <w:tcW w:w="208"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97,390 </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7007"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Cumulative effect of change in accounting principle, net of tax*</w:t>
            </w:r>
          </w:p>
        </w:tc>
        <w:tc>
          <w:tcPr>
            <w:tcW w:w="203"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208"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Pr>
              <w:t>—</w:t>
            </w:r>
          </w:p>
        </w:tc>
        <w:tc>
          <w:tcPr>
            <w:tcW w:w="208"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208"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(1,235</w:t>
            </w:r>
          </w:p>
        </w:tc>
        <w:tc>
          <w:tcPr>
            <w:tcW w:w="121"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7007"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 xml:space="preserve">Cash dividends declared </w:t>
            </w:r>
          </w:p>
        </w:tc>
        <w:tc>
          <w:tcPr>
            <w:tcW w:w="203" w:type="dxa"/>
            <w:tcBorders>
              <w:bottom w:val="single" w:sz="4"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208" w:type="dxa"/>
            <w:tcBorders>
              <w:bottom w:val="sing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(1,690</w:t>
            </w:r>
          </w:p>
        </w:tc>
        <w:tc>
          <w:tcPr>
            <w:tcW w:w="208" w:type="dxa"/>
            <w:tcBorders>
              <w:bottom w:val="single" w:sz="4"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20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(1,513)</w:t>
            </w:r>
          </w:p>
        </w:tc>
        <w:tc>
          <w:tcPr>
            <w:tcW w:w="121" w:type="dxa"/>
            <w:tcBorders>
              <w:bottom w:val="single" w:sz="4" w:space="0" w:color="FFFFFF"/>
            </w:tcBorders>
            <w:shd w:fill="FFFFFF" w:val="clear"/>
            <w:vAlign w:val="bottom"/>
          </w:tcPr>
          <w:p>
            <w:pPr>
              <w:pStyle w:val="TableContents"/>
              <w:spacing w:before="0" w:after="283"/>
              <w:jc w:val="left"/>
              <w:rPr/>
            </w:pPr>
            <w:r>
              <w:rPr/>
              <w:t> </w:t>
            </w:r>
          </w:p>
        </w:tc>
      </w:tr>
      <w:tr>
        <w:trPr/>
        <w:tc>
          <w:tcPr>
            <w:tcW w:w="7007" w:type="dxa"/>
            <w:tcBorders>
              <w:bottom w:val="single" w:sz="4"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Retained Earnings – January 31</w:t>
            </w:r>
          </w:p>
        </w:tc>
        <w:tc>
          <w:tcPr>
            <w:tcW w:w="203" w:type="dxa"/>
            <w:tcBorders>
              <w:bottom w:val="single" w:sz="4" w:space="0" w:color="CCFFCC"/>
            </w:tcBorders>
            <w:shd w:fill="CCFFCC" w:val="clear"/>
            <w:vAlign w:val="center"/>
          </w:tcPr>
          <w:p>
            <w:pPr>
              <w:pStyle w:val="TableContents"/>
              <w:spacing w:before="0" w:after="283"/>
              <w:rPr/>
            </w:pPr>
            <w:r>
              <w:rPr/>
              <w:t> </w:t>
            </w:r>
          </w:p>
        </w:tc>
        <w:tc>
          <w:tcPr>
            <w:tcW w:w="125" w:type="dxa"/>
            <w:tcBorders>
              <w:bottom w:val="double" w:sz="2" w:space="0" w:color="000000"/>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208" w:type="dxa"/>
            <w:tcBorders>
              <w:bottom w:val="double" w:sz="2" w:space="0" w:color="000000"/>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103,386</w:t>
            </w:r>
          </w:p>
        </w:tc>
        <w:tc>
          <w:tcPr>
            <w:tcW w:w="208" w:type="dxa"/>
            <w:tcBorders>
              <w:bottom w:val="single" w:sz="4" w:space="0" w:color="CCFFCC"/>
            </w:tcBorders>
            <w:shd w:fill="CCFFCC" w:val="clear"/>
            <w:vAlign w:val="bottom"/>
          </w:tcPr>
          <w:p>
            <w:pPr>
              <w:pStyle w:val="TableContents"/>
              <w:spacing w:before="0" w:after="283"/>
              <w:jc w:val="left"/>
              <w:rPr/>
            </w:pPr>
            <w:r>
              <w:rPr/>
              <w:t> </w:t>
            </w:r>
          </w:p>
        </w:tc>
        <w:tc>
          <w:tcPr>
            <w:tcW w:w="125"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08"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98,252</w:t>
            </w:r>
          </w:p>
        </w:tc>
        <w:tc>
          <w:tcPr>
            <w:tcW w:w="121" w:type="dxa"/>
            <w:tcBorders>
              <w:bottom w:val="single" w:sz="4" w:space="0" w:color="CCFFCC"/>
            </w:tcBorders>
            <w:shd w:fill="CCFFCC" w:val="clear"/>
            <w:vAlign w:val="bottom"/>
          </w:tcPr>
          <w:p>
            <w:pPr>
              <w:pStyle w:val="TableContents"/>
              <w:spacing w:before="0" w:after="283"/>
              <w:jc w:val="left"/>
              <w:rPr/>
            </w:pPr>
            <w:r>
              <w:rPr/>
              <w:t> </w:t>
            </w:r>
          </w:p>
        </w:tc>
      </w:tr>
      <w:tr>
        <w:trPr/>
        <w:tc>
          <w:tcPr>
            <w:tcW w:w="7007" w:type="dxa"/>
            <w:tcBorders/>
            <w:shd w:fill="FFFFFF" w:val="clear"/>
            <w:tcMar>
              <w:bottom w:w="0" w:type="dxa"/>
            </w:tcMar>
            <w:vAlign w:val="bottom"/>
          </w:tcPr>
          <w:p>
            <w:pPr>
              <w:pStyle w:val="TableContents"/>
              <w:spacing w:before="0" w:after="283"/>
              <w:jc w:val="left"/>
              <w:rPr/>
            </w:pPr>
            <w:r>
              <w:rPr/>
              <w:t> </w:t>
            </w:r>
          </w:p>
        </w:tc>
        <w:tc>
          <w:tcPr>
            <w:tcW w:w="203"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8" w:type="dxa"/>
            <w:tcBorders/>
            <w:shd w:fill="FFFFFF" w:val="clear"/>
            <w:tcMar>
              <w:bottom w:w="0" w:type="dxa"/>
            </w:tcMar>
            <w:vAlign w:val="bottom"/>
          </w:tcPr>
          <w:p>
            <w:pPr>
              <w:pStyle w:val="TableContents"/>
              <w:spacing w:before="0" w:after="283"/>
              <w:jc w:val="right"/>
              <w:rPr/>
            </w:pPr>
            <w:r>
              <w:rPr/>
              <w:t> </w:t>
            </w:r>
          </w:p>
        </w:tc>
        <w:tc>
          <w:tcPr>
            <w:tcW w:w="208"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8" w:type="dxa"/>
            <w:tcBorders/>
            <w:shd w:fill="FFFFFF" w:val="clear"/>
            <w:tcMar>
              <w:bottom w:w="0" w:type="dxa"/>
            </w:tcMar>
            <w:vAlign w:val="bottom"/>
          </w:tcPr>
          <w:p>
            <w:pPr>
              <w:pStyle w:val="TableContents"/>
              <w:spacing w:before="0" w:after="283"/>
              <w:jc w:val="right"/>
              <w:rPr/>
            </w:pPr>
            <w:r>
              <w:rPr/>
              <w:t> </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7007"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Net Income Per Share </w:t>
            </w:r>
          </w:p>
        </w:tc>
        <w:tc>
          <w:tcPr>
            <w:tcW w:w="203"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208" w:type="dxa"/>
            <w:tcBorders/>
            <w:shd w:fill="CCFFCC" w:val="clear"/>
            <w:tcMar>
              <w:bottom w:w="0" w:type="dxa"/>
            </w:tcMar>
            <w:vAlign w:val="bottom"/>
          </w:tcPr>
          <w:p>
            <w:pPr>
              <w:pStyle w:val="TableContents"/>
              <w:spacing w:before="0" w:after="283"/>
              <w:jc w:val="right"/>
              <w:rPr/>
            </w:pPr>
            <w:r>
              <w:rPr/>
              <w:t> </w:t>
            </w:r>
          </w:p>
        </w:tc>
        <w:tc>
          <w:tcPr>
            <w:tcW w:w="208"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208" w:type="dxa"/>
            <w:tcBorders/>
            <w:shd w:fill="CCFFCC" w:val="clear"/>
            <w:tcMar>
              <w:bottom w:w="0" w:type="dxa"/>
            </w:tcMar>
            <w:vAlign w:val="bottom"/>
          </w:tcPr>
          <w:p>
            <w:pPr>
              <w:pStyle w:val="TableContents"/>
              <w:spacing w:before="0" w:after="283"/>
              <w:jc w:val="right"/>
              <w:rPr/>
            </w:pPr>
            <w:r>
              <w:rPr/>
              <w:t> </w:t>
            </w:r>
          </w:p>
        </w:tc>
        <w:tc>
          <w:tcPr>
            <w:tcW w:w="121" w:type="dxa"/>
            <w:tcBorders/>
            <w:shd w:fill="CCFFCC" w:val="clear"/>
            <w:tcMar>
              <w:bottom w:w="0" w:type="dxa"/>
            </w:tcMar>
            <w:vAlign w:val="bottom"/>
          </w:tcPr>
          <w:p>
            <w:pPr>
              <w:pStyle w:val="TableContents"/>
              <w:spacing w:before="0" w:after="283"/>
              <w:jc w:val="left"/>
              <w:rPr/>
            </w:pPr>
            <w:r>
              <w:rPr/>
              <w:t> </w:t>
            </w:r>
          </w:p>
        </w:tc>
      </w:tr>
      <w:tr>
        <w:trPr/>
        <w:tc>
          <w:tcPr>
            <w:tcW w:w="7007" w:type="dxa"/>
            <w:tcBorders/>
            <w:shd w:fill="FFFFFF" w:val="clear"/>
            <w:tcMar>
              <w:bottom w:w="0" w:type="dxa"/>
            </w:tcMar>
            <w:vAlign w:val="bottom"/>
          </w:tcPr>
          <w:p>
            <w:pPr>
              <w:pStyle w:val="TableContents"/>
              <w:spacing w:lineRule="auto" w:line="300" w:before="0" w:after="0"/>
              <w:ind w:left="180" w:right="0" w:hanging="0"/>
              <w:jc w:val="left"/>
              <w:rPr/>
            </w:pPr>
            <w:r>
              <w:rPr>
                <w:rStyle w:val="StrongEmphasis"/>
                <w:rFonts w:ascii="Times New Roman" w:hAnsi="Times New Roman"/>
                <w:sz w:val="20"/>
              </w:rPr>
              <w:t>Basic Common</w:t>
            </w:r>
          </w:p>
        </w:tc>
        <w:tc>
          <w:tcPr>
            <w:tcW w:w="203"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208"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0.70</w:t>
            </w:r>
          </w:p>
        </w:tc>
        <w:tc>
          <w:tcPr>
            <w:tcW w:w="208"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0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0.58</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7007" w:type="dxa"/>
            <w:tcBorders/>
            <w:shd w:fill="CCFFCC" w:val="clear"/>
            <w:tcMar>
              <w:bottom w:w="0" w:type="dxa"/>
            </w:tcMar>
            <w:vAlign w:val="bottom"/>
          </w:tcPr>
          <w:p>
            <w:pPr>
              <w:pStyle w:val="TableContents"/>
              <w:spacing w:lineRule="auto" w:line="300" w:before="0" w:after="0"/>
              <w:ind w:left="180" w:right="0" w:hanging="0"/>
              <w:jc w:val="left"/>
              <w:rPr/>
            </w:pPr>
            <w:r>
              <w:rPr>
                <w:rStyle w:val="StrongEmphasis"/>
                <w:rFonts w:ascii="Times New Roman" w:hAnsi="Times New Roman"/>
                <w:sz w:val="20"/>
              </w:rPr>
              <w:t>Basic Class B</w:t>
            </w:r>
          </w:p>
        </w:tc>
        <w:tc>
          <w:tcPr>
            <w:tcW w:w="203"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208"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0.57</w:t>
            </w:r>
          </w:p>
        </w:tc>
        <w:tc>
          <w:tcPr>
            <w:tcW w:w="208"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08"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0.43</w:t>
            </w:r>
          </w:p>
        </w:tc>
        <w:tc>
          <w:tcPr>
            <w:tcW w:w="121" w:type="dxa"/>
            <w:tcBorders/>
            <w:shd w:fill="CCFFCC" w:val="clear"/>
            <w:tcMar>
              <w:bottom w:w="0" w:type="dxa"/>
            </w:tcMar>
            <w:vAlign w:val="bottom"/>
          </w:tcPr>
          <w:p>
            <w:pPr>
              <w:pStyle w:val="TableContents"/>
              <w:spacing w:before="0" w:after="283"/>
              <w:jc w:val="left"/>
              <w:rPr/>
            </w:pPr>
            <w:r>
              <w:rPr/>
              <w:t> </w:t>
            </w:r>
          </w:p>
        </w:tc>
      </w:tr>
      <w:tr>
        <w:trPr/>
        <w:tc>
          <w:tcPr>
            <w:tcW w:w="7007" w:type="dxa"/>
            <w:tcBorders/>
            <w:shd w:fill="FFFFFF" w:val="clear"/>
            <w:tcMar>
              <w:bottom w:w="0" w:type="dxa"/>
            </w:tcMar>
            <w:vAlign w:val="bottom"/>
          </w:tcPr>
          <w:p>
            <w:pPr>
              <w:pStyle w:val="TableContents"/>
              <w:spacing w:lineRule="auto" w:line="300" w:before="0" w:after="0"/>
              <w:ind w:left="180" w:right="0" w:hanging="0"/>
              <w:jc w:val="left"/>
              <w:rPr/>
            </w:pPr>
            <w:r>
              <w:rPr>
                <w:rStyle w:val="StrongEmphasis"/>
                <w:rFonts w:ascii="Times New Roman" w:hAnsi="Times New Roman"/>
                <w:sz w:val="20"/>
              </w:rPr>
              <w:t>Diluted</w:t>
            </w:r>
          </w:p>
        </w:tc>
        <w:tc>
          <w:tcPr>
            <w:tcW w:w="203"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208"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0.64</w:t>
            </w:r>
          </w:p>
        </w:tc>
        <w:tc>
          <w:tcPr>
            <w:tcW w:w="208"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0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0.52</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7007" w:type="dxa"/>
            <w:tcBorders/>
            <w:shd w:fill="CCFFCC" w:val="clear"/>
            <w:tcMar>
              <w:bottom w:w="0" w:type="dxa"/>
            </w:tcMar>
            <w:vAlign w:val="bottom"/>
          </w:tcPr>
          <w:p>
            <w:pPr>
              <w:pStyle w:val="TableContents"/>
              <w:spacing w:before="0" w:after="283"/>
              <w:jc w:val="left"/>
              <w:rPr/>
            </w:pPr>
            <w:r>
              <w:rPr/>
              <w:t> </w:t>
            </w:r>
          </w:p>
        </w:tc>
        <w:tc>
          <w:tcPr>
            <w:tcW w:w="203"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208" w:type="dxa"/>
            <w:tcBorders/>
            <w:shd w:fill="CCFFCC" w:val="clear"/>
            <w:tcMar>
              <w:bottom w:w="0" w:type="dxa"/>
            </w:tcMar>
            <w:vAlign w:val="bottom"/>
          </w:tcPr>
          <w:p>
            <w:pPr>
              <w:pStyle w:val="TableContents"/>
              <w:spacing w:before="0" w:after="283"/>
              <w:jc w:val="right"/>
              <w:rPr/>
            </w:pPr>
            <w:r>
              <w:rPr/>
              <w:t> </w:t>
            </w:r>
          </w:p>
        </w:tc>
        <w:tc>
          <w:tcPr>
            <w:tcW w:w="208"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208" w:type="dxa"/>
            <w:tcBorders/>
            <w:shd w:fill="CCFFCC" w:val="clear"/>
            <w:tcMar>
              <w:bottom w:w="0" w:type="dxa"/>
            </w:tcMar>
            <w:vAlign w:val="bottom"/>
          </w:tcPr>
          <w:p>
            <w:pPr>
              <w:pStyle w:val="TableContents"/>
              <w:spacing w:before="0" w:after="283"/>
              <w:jc w:val="right"/>
              <w:rPr/>
            </w:pPr>
            <w:r>
              <w:rPr/>
              <w:t> </w:t>
            </w:r>
          </w:p>
        </w:tc>
        <w:tc>
          <w:tcPr>
            <w:tcW w:w="121" w:type="dxa"/>
            <w:tcBorders/>
            <w:shd w:fill="CCFFCC" w:val="clear"/>
            <w:tcMar>
              <w:bottom w:w="0" w:type="dxa"/>
            </w:tcMar>
            <w:vAlign w:val="bottom"/>
          </w:tcPr>
          <w:p>
            <w:pPr>
              <w:pStyle w:val="TableContents"/>
              <w:spacing w:before="0" w:after="283"/>
              <w:jc w:val="left"/>
              <w:rPr/>
            </w:pPr>
            <w:r>
              <w:rPr/>
              <w:t> </w:t>
            </w:r>
          </w:p>
        </w:tc>
      </w:tr>
      <w:tr>
        <w:trPr/>
        <w:tc>
          <w:tcPr>
            <w:tcW w:w="7007"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Average Shares Outstanding</w:t>
            </w:r>
          </w:p>
        </w:tc>
        <w:tc>
          <w:tcPr>
            <w:tcW w:w="203"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8" w:type="dxa"/>
            <w:tcBorders/>
            <w:shd w:fill="FFFFFF" w:val="clear"/>
            <w:tcMar>
              <w:bottom w:w="0" w:type="dxa"/>
            </w:tcMar>
            <w:vAlign w:val="bottom"/>
          </w:tcPr>
          <w:p>
            <w:pPr>
              <w:pStyle w:val="TableContents"/>
              <w:spacing w:before="0" w:after="283"/>
              <w:jc w:val="right"/>
              <w:rPr/>
            </w:pPr>
            <w:r>
              <w:rPr/>
              <w:t> </w:t>
            </w:r>
          </w:p>
        </w:tc>
        <w:tc>
          <w:tcPr>
            <w:tcW w:w="208"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8" w:type="dxa"/>
            <w:tcBorders/>
            <w:shd w:fill="FFFFFF" w:val="clear"/>
            <w:tcMar>
              <w:bottom w:w="0" w:type="dxa"/>
            </w:tcMar>
            <w:vAlign w:val="bottom"/>
          </w:tcPr>
          <w:p>
            <w:pPr>
              <w:pStyle w:val="TableContents"/>
              <w:spacing w:before="0" w:after="283"/>
              <w:jc w:val="right"/>
              <w:rPr/>
            </w:pPr>
            <w:r>
              <w:rPr/>
              <w:t> </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7007" w:type="dxa"/>
            <w:tcBorders>
              <w:bottom w:val="single" w:sz="4" w:space="0" w:color="CCFFCC"/>
            </w:tcBorders>
            <w:shd w:fill="CCFFCC" w:val="clear"/>
            <w:vAlign w:val="bottom"/>
          </w:tcPr>
          <w:p>
            <w:pPr>
              <w:pStyle w:val="TableContents"/>
              <w:spacing w:lineRule="auto" w:line="300" w:before="0" w:after="0"/>
              <w:ind w:left="180" w:right="0" w:hanging="0"/>
              <w:jc w:val="left"/>
              <w:rPr/>
            </w:pPr>
            <w:r>
              <w:rPr>
                <w:rStyle w:val="StrongEmphasis"/>
                <w:rFonts w:ascii="Times New Roman" w:hAnsi="Times New Roman"/>
                <w:sz w:val="20"/>
              </w:rPr>
              <w:t>Basic Common</w:t>
            </w:r>
          </w:p>
        </w:tc>
        <w:tc>
          <w:tcPr>
            <w:tcW w:w="203" w:type="dxa"/>
            <w:tcBorders>
              <w:bottom w:val="single" w:sz="4" w:space="0" w:color="CCFFCC"/>
            </w:tcBorders>
            <w:shd w:fill="CCFFCC" w:val="clear"/>
            <w:vAlign w:val="center"/>
          </w:tcPr>
          <w:p>
            <w:pPr>
              <w:pStyle w:val="TableContents"/>
              <w:spacing w:before="0" w:after="283"/>
              <w:rPr/>
            </w:pPr>
            <w:r>
              <w:rPr/>
              <w:t> </w:t>
            </w:r>
          </w:p>
        </w:tc>
        <w:tc>
          <w:tcPr>
            <w:tcW w:w="125" w:type="dxa"/>
            <w:tcBorders>
              <w:bottom w:val="double" w:sz="2" w:space="0" w:color="000000"/>
            </w:tcBorders>
            <w:shd w:fill="CCFFCC" w:val="clear"/>
            <w:vAlign w:val="bottom"/>
          </w:tcPr>
          <w:p>
            <w:pPr>
              <w:pStyle w:val="TableContents"/>
              <w:spacing w:before="0" w:after="283"/>
              <w:jc w:val="left"/>
              <w:rPr/>
            </w:pPr>
            <w:r>
              <w:rPr/>
              <w:t> </w:t>
            </w:r>
          </w:p>
        </w:tc>
        <w:tc>
          <w:tcPr>
            <w:tcW w:w="1208" w:type="dxa"/>
            <w:tcBorders>
              <w:bottom w:val="double" w:sz="2" w:space="0" w:color="000000"/>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5,033</w:t>
            </w:r>
          </w:p>
        </w:tc>
        <w:tc>
          <w:tcPr>
            <w:tcW w:w="208" w:type="dxa"/>
            <w:tcBorders>
              <w:bottom w:val="single" w:sz="4" w:space="0" w:color="CCFFCC"/>
            </w:tcBorders>
            <w:shd w:fill="CCFFCC" w:val="clear"/>
            <w:vAlign w:val="bottom"/>
          </w:tcPr>
          <w:p>
            <w:pPr>
              <w:pStyle w:val="TableContents"/>
              <w:spacing w:before="0" w:after="283"/>
              <w:jc w:val="left"/>
              <w:rPr/>
            </w:pPr>
            <w:r>
              <w:rPr/>
              <w:t> </w:t>
            </w:r>
          </w:p>
        </w:tc>
        <w:tc>
          <w:tcPr>
            <w:tcW w:w="125" w:type="dxa"/>
            <w:tcBorders>
              <w:bottom w:val="double" w:sz="2" w:space="0" w:color="000000"/>
            </w:tcBorders>
            <w:shd w:fill="CCFFCC" w:val="clear"/>
            <w:vAlign w:val="bottom"/>
          </w:tcPr>
          <w:p>
            <w:pPr>
              <w:pStyle w:val="TableContents"/>
              <w:spacing w:before="0" w:after="283"/>
              <w:jc w:val="left"/>
              <w:rPr/>
            </w:pPr>
            <w:r>
              <w:rPr/>
              <w:t> </w:t>
            </w:r>
          </w:p>
        </w:tc>
        <w:tc>
          <w:tcPr>
            <w:tcW w:w="1208"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4,861 </w:t>
            </w:r>
          </w:p>
        </w:tc>
        <w:tc>
          <w:tcPr>
            <w:tcW w:w="121" w:type="dxa"/>
            <w:tcBorders>
              <w:bottom w:val="single" w:sz="4" w:space="0" w:color="CCFFCC"/>
            </w:tcBorders>
            <w:shd w:fill="CCFFCC" w:val="clear"/>
            <w:vAlign w:val="bottom"/>
          </w:tcPr>
          <w:p>
            <w:pPr>
              <w:pStyle w:val="TableContents"/>
              <w:spacing w:before="0" w:after="283"/>
              <w:jc w:val="left"/>
              <w:rPr/>
            </w:pPr>
            <w:r>
              <w:rPr/>
              <w:t> </w:t>
            </w:r>
          </w:p>
        </w:tc>
      </w:tr>
      <w:tr>
        <w:trPr/>
        <w:tc>
          <w:tcPr>
            <w:tcW w:w="7007" w:type="dxa"/>
            <w:tcBorders>
              <w:bottom w:val="single" w:sz="4" w:space="0" w:color="FFFFFF"/>
            </w:tcBorders>
            <w:shd w:fill="FFFFFF" w:val="clear"/>
            <w:vAlign w:val="bottom"/>
          </w:tcPr>
          <w:p>
            <w:pPr>
              <w:pStyle w:val="TableContents"/>
              <w:spacing w:lineRule="auto" w:line="300" w:before="0" w:after="0"/>
              <w:ind w:left="180" w:right="0" w:hanging="0"/>
              <w:jc w:val="left"/>
              <w:rPr/>
            </w:pPr>
            <w:r>
              <w:rPr>
                <w:rStyle w:val="StrongEmphasis"/>
                <w:rFonts w:ascii="Times New Roman" w:hAnsi="Times New Roman"/>
                <w:sz w:val="20"/>
              </w:rPr>
              <w:t>Basic Class B</w:t>
            </w:r>
          </w:p>
        </w:tc>
        <w:tc>
          <w:tcPr>
            <w:tcW w:w="203" w:type="dxa"/>
            <w:tcBorders>
              <w:bottom w:val="single" w:sz="4" w:space="0" w:color="FFFFFF"/>
            </w:tcBorders>
            <w:shd w:fill="FFFFFF" w:val="clear"/>
            <w:vAlign w:val="center"/>
          </w:tcPr>
          <w:p>
            <w:pPr>
              <w:pStyle w:val="TableContents"/>
              <w:spacing w:before="0" w:after="283"/>
              <w:rPr/>
            </w:pPr>
            <w:r>
              <w:rPr/>
              <w:t> </w:t>
            </w:r>
          </w:p>
        </w:tc>
        <w:tc>
          <w:tcPr>
            <w:tcW w:w="125" w:type="dxa"/>
            <w:tcBorders>
              <w:bottom w:val="double" w:sz="2" w:space="0" w:color="000000"/>
            </w:tcBorders>
            <w:shd w:fill="FFFFFF" w:val="clear"/>
            <w:vAlign w:val="bottom"/>
          </w:tcPr>
          <w:p>
            <w:pPr>
              <w:pStyle w:val="TableContents"/>
              <w:spacing w:before="0" w:after="283"/>
              <w:jc w:val="left"/>
              <w:rPr/>
            </w:pPr>
            <w:r>
              <w:rPr/>
              <w:t> </w:t>
            </w:r>
          </w:p>
        </w:tc>
        <w:tc>
          <w:tcPr>
            <w:tcW w:w="1208" w:type="dxa"/>
            <w:tcBorders>
              <w:bottom w:val="doub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1,846</w:t>
            </w:r>
          </w:p>
        </w:tc>
        <w:tc>
          <w:tcPr>
            <w:tcW w:w="208"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before="0" w:after="283"/>
              <w:jc w:val="left"/>
              <w:rPr/>
            </w:pPr>
            <w:r>
              <w:rPr/>
              <w:t> </w:t>
            </w:r>
          </w:p>
        </w:tc>
        <w:tc>
          <w:tcPr>
            <w:tcW w:w="1208"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1,810 </w:t>
            </w:r>
          </w:p>
        </w:tc>
        <w:tc>
          <w:tcPr>
            <w:tcW w:w="121" w:type="dxa"/>
            <w:tcBorders>
              <w:bottom w:val="single" w:sz="4" w:space="0" w:color="FFFFFF"/>
            </w:tcBorders>
            <w:shd w:fill="FFFFFF" w:val="clear"/>
            <w:vAlign w:val="bottom"/>
          </w:tcPr>
          <w:p>
            <w:pPr>
              <w:pStyle w:val="TableContents"/>
              <w:spacing w:before="0" w:after="283"/>
              <w:jc w:val="left"/>
              <w:rPr/>
            </w:pPr>
            <w:r>
              <w:rPr/>
              <w:t> </w:t>
            </w:r>
          </w:p>
        </w:tc>
      </w:tr>
      <w:tr>
        <w:trPr/>
        <w:tc>
          <w:tcPr>
            <w:tcW w:w="7007" w:type="dxa"/>
            <w:tcBorders>
              <w:bottom w:val="single" w:sz="4" w:space="0" w:color="CCFFCC"/>
            </w:tcBorders>
            <w:shd w:fill="CCFFCC" w:val="clear"/>
            <w:vAlign w:val="bottom"/>
          </w:tcPr>
          <w:p>
            <w:pPr>
              <w:pStyle w:val="TableContents"/>
              <w:spacing w:lineRule="auto" w:line="300" w:before="0" w:after="0"/>
              <w:ind w:left="180" w:right="0" w:hanging="0"/>
              <w:jc w:val="left"/>
              <w:rPr/>
            </w:pPr>
            <w:r>
              <w:rPr>
                <w:rStyle w:val="StrongEmphasis"/>
                <w:rFonts w:ascii="Times New Roman" w:hAnsi="Times New Roman"/>
                <w:sz w:val="20"/>
              </w:rPr>
              <w:t>Diluted</w:t>
            </w:r>
          </w:p>
        </w:tc>
        <w:tc>
          <w:tcPr>
            <w:tcW w:w="203" w:type="dxa"/>
            <w:tcBorders>
              <w:bottom w:val="single" w:sz="4" w:space="0" w:color="CCFFCC"/>
            </w:tcBorders>
            <w:shd w:fill="CCFFCC" w:val="clear"/>
            <w:vAlign w:val="center"/>
          </w:tcPr>
          <w:p>
            <w:pPr>
              <w:pStyle w:val="TableContents"/>
              <w:spacing w:before="0" w:after="283"/>
              <w:rPr/>
            </w:pPr>
            <w:r>
              <w:rPr/>
              <w:t> </w:t>
            </w:r>
          </w:p>
        </w:tc>
        <w:tc>
          <w:tcPr>
            <w:tcW w:w="125" w:type="dxa"/>
            <w:tcBorders>
              <w:bottom w:val="double" w:sz="2" w:space="0" w:color="000000"/>
            </w:tcBorders>
            <w:shd w:fill="CCFFCC" w:val="clear"/>
            <w:vAlign w:val="bottom"/>
          </w:tcPr>
          <w:p>
            <w:pPr>
              <w:pStyle w:val="TableContents"/>
              <w:spacing w:before="0" w:after="283"/>
              <w:jc w:val="left"/>
              <w:rPr/>
            </w:pPr>
            <w:r>
              <w:rPr/>
              <w:t> </w:t>
            </w:r>
          </w:p>
        </w:tc>
        <w:tc>
          <w:tcPr>
            <w:tcW w:w="1208" w:type="dxa"/>
            <w:tcBorders>
              <w:bottom w:val="double" w:sz="2" w:space="0" w:color="000000"/>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7,196</w:t>
            </w:r>
          </w:p>
        </w:tc>
        <w:tc>
          <w:tcPr>
            <w:tcW w:w="208" w:type="dxa"/>
            <w:tcBorders>
              <w:bottom w:val="single" w:sz="4" w:space="0" w:color="CCFFCC"/>
            </w:tcBorders>
            <w:shd w:fill="CCFFCC" w:val="clear"/>
            <w:vAlign w:val="bottom"/>
          </w:tcPr>
          <w:p>
            <w:pPr>
              <w:pStyle w:val="TableContents"/>
              <w:spacing w:before="0" w:after="283"/>
              <w:jc w:val="left"/>
              <w:rPr/>
            </w:pPr>
            <w:r>
              <w:rPr/>
              <w:t> </w:t>
            </w:r>
          </w:p>
        </w:tc>
        <w:tc>
          <w:tcPr>
            <w:tcW w:w="125" w:type="dxa"/>
            <w:tcBorders>
              <w:bottom w:val="double" w:sz="2" w:space="0" w:color="000000"/>
            </w:tcBorders>
            <w:shd w:fill="CCFFCC" w:val="clear"/>
            <w:vAlign w:val="bottom"/>
          </w:tcPr>
          <w:p>
            <w:pPr>
              <w:pStyle w:val="TableContents"/>
              <w:spacing w:before="0" w:after="283"/>
              <w:jc w:val="left"/>
              <w:rPr/>
            </w:pPr>
            <w:r>
              <w:rPr/>
              <w:t> </w:t>
            </w:r>
          </w:p>
        </w:tc>
        <w:tc>
          <w:tcPr>
            <w:tcW w:w="1208"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6,952</w:t>
            </w:r>
          </w:p>
        </w:tc>
        <w:tc>
          <w:tcPr>
            <w:tcW w:w="121" w:type="dxa"/>
            <w:tcBorders>
              <w:bottom w:val="single" w:sz="4" w:space="0" w:color="CCFFCC"/>
            </w:tcBorders>
            <w:shd w:fill="CCFFCC"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t> </w:t>
      </w:r>
    </w:p>
    <w:p>
      <w:pPr>
        <w:pStyle w:val="TextBody"/>
        <w:spacing w:lineRule="auto" w:line="312" w:before="0" w:after="0"/>
        <w:ind w:left="0" w:right="0" w:hanging="0"/>
        <w:jc w:val="left"/>
        <w:rPr>
          <w:rFonts w:ascii="Times New Roman" w:hAnsi="Times New Roman"/>
          <w:sz w:val="20"/>
        </w:rPr>
      </w:pPr>
      <w:r>
        <w:rPr>
          <w:rFonts w:ascii="Times New Roman" w:hAnsi="Times New Roman"/>
          <w:sz w:val="20"/>
        </w:rPr>
        <w:t>*See Note 8 of the notes to the condensed consolidated financial statements for a description of the change in accounting for stripping costs incurred during production.</w:t>
      </w:r>
    </w:p>
    <w:p>
      <w:pPr>
        <w:pStyle w:val="TextBody"/>
        <w:spacing w:lineRule="auto" w:line="300" w:before="0" w:after="0"/>
        <w:ind w:left="0" w:right="0" w:hanging="0"/>
        <w:jc w:val="left"/>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accompanying notes are an integral part of the condensed consolidated financial statements.</w:t>
      </w:r>
    </w:p>
    <w:p>
      <w:pPr>
        <w:pStyle w:val="TextBody"/>
        <w:spacing w:lineRule="auto" w:line="300" w:before="0" w:after="0"/>
        <w:ind w:left="216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0" w:name="PGBRK3"/>
      <w:bookmarkStart w:id="151" w:name="PGBRK3"/>
      <w:bookmarkEnd w:id="1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2" w:name="FTR3"/>
      <w:bookmarkStart w:id="153" w:name="FTR3"/>
      <w:bookmarkEnd w:id="1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4" w:name="GLFTR3"/>
      <w:bookmarkStart w:id="155" w:name="GLFTR3"/>
      <w:bookmarkEnd w:id="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56" w:name="PN3"/>
      <w:bookmarkEnd w:id="156"/>
      <w:r>
        <w:rPr>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7" w:name="HDR3"/>
      <w:bookmarkStart w:id="158" w:name="HDR3"/>
      <w:bookmarkEnd w:id="1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9" w:name="GLHDR3"/>
      <w:bookmarkStart w:id="160" w:name="GLHDR3"/>
      <w:bookmarkEnd w:id="1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2160" w:right="0" w:hanging="0"/>
        <w:jc w:val="left"/>
        <w:rPr/>
      </w:pPr>
      <w:r>
        <w:rPr/>
      </w:r>
    </w:p>
    <w:p>
      <w:pPr>
        <w:pStyle w:val="TextBody"/>
        <w:spacing w:lineRule="auto" w:line="300" w:before="0" w:after="0"/>
        <w:ind w:left="900" w:right="0" w:hanging="0"/>
        <w:jc w:val="center"/>
        <w:rPr/>
      </w:pPr>
      <w:r>
        <w:rPr>
          <w:rStyle w:val="StrongEmphasis"/>
          <w:rFonts w:ascii="Times New Roman" w:hAnsi="Times New Roman"/>
          <w:sz w:val="20"/>
        </w:rPr>
        <w:t>OIL-DRI CORPORATION OF AMERICA &amp; SUBSIDIARIES</w:t>
      </w:r>
    </w:p>
    <w:p>
      <w:pPr>
        <w:pStyle w:val="TextBody"/>
        <w:spacing w:lineRule="auto" w:line="300" w:before="0" w:after="0"/>
        <w:ind w:left="900" w:right="0" w:hanging="0"/>
        <w:jc w:val="center"/>
        <w:rPr/>
      </w:pPr>
      <w:r>
        <w:rPr>
          <w:rStyle w:val="StrongEmphasis"/>
          <w:rFonts w:ascii="Times New Roman" w:hAnsi="Times New Roman"/>
          <w:sz w:val="20"/>
        </w:rPr>
        <w:t>Condensed Consolidated Statements of Comprehensive Income</w:t>
      </w:r>
    </w:p>
    <w:p>
      <w:pPr>
        <w:pStyle w:val="TextBody"/>
        <w:spacing w:lineRule="auto" w:line="300" w:before="0" w:after="0"/>
        <w:ind w:left="900" w:right="0" w:hanging="0"/>
        <w:jc w:val="center"/>
        <w:rPr/>
      </w:pPr>
      <w:r>
        <w:rPr>
          <w:rStyle w:val="StrongEmphasis"/>
          <w:rFonts w:ascii="Times New Roman" w:hAnsi="Times New Roman"/>
          <w:sz w:val="20"/>
        </w:rPr>
        <w:t>(in thousands of dollars)</w:t>
      </w:r>
    </w:p>
    <w:p>
      <w:pPr>
        <w:pStyle w:val="TextBody"/>
        <w:spacing w:lineRule="auto" w:line="300" w:before="0" w:after="0"/>
        <w:ind w:left="900" w:right="0" w:hanging="0"/>
        <w:jc w:val="center"/>
        <w:rPr/>
      </w:pPr>
      <w:r>
        <w:rPr>
          <w:rStyle w:val="StrongEmphasis"/>
          <w:rFonts w:ascii="Times New Roman" w:hAnsi="Times New Roman"/>
          <w:sz w:val="20"/>
        </w:rPr>
        <w:t>(unaudited)</w:t>
      </w:r>
    </w:p>
    <w:p>
      <w:pPr>
        <w:pStyle w:val="TextBody"/>
        <w:spacing w:lineRule="auto" w:line="300" w:before="0" w:after="0"/>
        <w:ind w:left="900" w:right="0" w:hanging="0"/>
        <w:jc w:val="center"/>
        <w:rPr/>
      </w:pPr>
      <w:r>
        <w:rPr/>
        <w:t> </w:t>
      </w:r>
    </w:p>
    <w:p>
      <w:pPr>
        <w:pStyle w:val="Normal"/>
        <w:spacing w:before="0" w:after="0"/>
        <w:rPr>
          <w:sz w:val="4"/>
          <w:szCs w:val="4"/>
        </w:rPr>
      </w:pPr>
      <w:r>
        <w:rPr>
          <w:sz w:val="4"/>
          <w:szCs w:val="4"/>
        </w:rPr>
      </w:r>
      <w:bookmarkStart w:id="161" w:name="ftable3"/>
      <w:bookmarkStart w:id="162" w:name="ftable3"/>
      <w:bookmarkEnd w:id="162"/>
    </w:p>
    <w:tbl>
      <w:tblPr>
        <w:tblW w:w="5000" w:type="pct"/>
        <w:jc w:val="left"/>
        <w:tblInd w:w="0" w:type="dxa"/>
        <w:tblCellMar>
          <w:top w:w="0" w:type="dxa"/>
          <w:left w:w="0" w:type="dxa"/>
          <w:bottom w:w="28" w:type="dxa"/>
          <w:right w:w="0" w:type="dxa"/>
        </w:tblCellMar>
      </w:tblPr>
      <w:tblGrid>
        <w:gridCol w:w="7081"/>
        <w:gridCol w:w="204"/>
        <w:gridCol w:w="126"/>
        <w:gridCol w:w="1168"/>
        <w:gridCol w:w="209"/>
        <w:gridCol w:w="126"/>
        <w:gridCol w:w="1168"/>
        <w:gridCol w:w="123"/>
      </w:tblGrid>
      <w:tr>
        <w:trPr/>
        <w:tc>
          <w:tcPr>
            <w:tcW w:w="7081" w:type="dxa"/>
            <w:tcBorders>
              <w:bottom w:val="single" w:sz="4" w:space="0" w:color="FFFFFF"/>
            </w:tcBorders>
            <w:shd w:fill="auto" w:val="clear"/>
            <w:vAlign w:val="bottom"/>
          </w:tcPr>
          <w:p>
            <w:pPr>
              <w:pStyle w:val="TableContents"/>
              <w:spacing w:before="0" w:after="283"/>
              <w:jc w:val="left"/>
              <w:rPr/>
            </w:pPr>
            <w:r>
              <w:rPr/>
              <w:t> </w:t>
            </w:r>
          </w:p>
        </w:tc>
        <w:tc>
          <w:tcPr>
            <w:tcW w:w="204" w:type="dxa"/>
            <w:tcBorders>
              <w:bottom w:val="single" w:sz="4" w:space="0" w:color="FFFFFF"/>
            </w:tcBorders>
            <w:shd w:fill="auto" w:val="clear"/>
            <w:vAlign w:val="center"/>
          </w:tcPr>
          <w:p>
            <w:pPr>
              <w:pStyle w:val="TableContents"/>
              <w:spacing w:before="0" w:after="283"/>
              <w:rPr/>
            </w:pPr>
            <w:r>
              <w:rPr/>
              <w:t> </w:t>
            </w:r>
          </w:p>
        </w:tc>
        <w:tc>
          <w:tcPr>
            <w:tcW w:w="2797"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For The Six Months Ended </w:t>
            </w:r>
          </w:p>
          <w:p>
            <w:pPr>
              <w:pStyle w:val="TableContents"/>
              <w:spacing w:lineRule="auto" w:line="300" w:before="0" w:after="0"/>
              <w:ind w:left="0" w:right="0" w:hanging="0"/>
              <w:jc w:val="center"/>
              <w:rPr/>
            </w:pPr>
            <w:r>
              <w:rPr>
                <w:rStyle w:val="StrongEmphasis"/>
                <w:rFonts w:ascii="Times New Roman" w:hAnsi="Times New Roman"/>
                <w:sz w:val="20"/>
              </w:rPr>
              <w:t>January 31</w:t>
            </w:r>
          </w:p>
        </w:tc>
        <w:tc>
          <w:tcPr>
            <w:tcW w:w="123" w:type="dxa"/>
            <w:tcBorders>
              <w:bottom w:val="single" w:sz="4" w:space="0" w:color="FFFFFF"/>
            </w:tcBorders>
            <w:shd w:fill="auto" w:val="clear"/>
            <w:vAlign w:val="bottom"/>
          </w:tcPr>
          <w:p>
            <w:pPr>
              <w:pStyle w:val="TableContents"/>
              <w:spacing w:before="0" w:after="283"/>
              <w:jc w:val="left"/>
              <w:rPr/>
            </w:pPr>
            <w:r>
              <w:rPr/>
              <w:t> </w:t>
            </w:r>
          </w:p>
        </w:tc>
      </w:tr>
      <w:tr>
        <w:trPr/>
        <w:tc>
          <w:tcPr>
            <w:tcW w:w="7081" w:type="dxa"/>
            <w:tcBorders>
              <w:bottom w:val="single" w:sz="4" w:space="0" w:color="FFFFFF"/>
            </w:tcBorders>
            <w:shd w:fill="auto" w:val="clear"/>
            <w:vAlign w:val="bottom"/>
          </w:tcPr>
          <w:p>
            <w:pPr>
              <w:pStyle w:val="TableContents"/>
              <w:spacing w:before="0" w:after="283"/>
              <w:jc w:val="left"/>
              <w:rPr/>
            </w:pPr>
            <w:r>
              <w:rPr/>
              <w:t> </w:t>
            </w:r>
          </w:p>
        </w:tc>
        <w:tc>
          <w:tcPr>
            <w:tcW w:w="204" w:type="dxa"/>
            <w:tcBorders>
              <w:bottom w:val="single" w:sz="4" w:space="0" w:color="FFFFFF"/>
            </w:tcBorders>
            <w:shd w:fill="auto" w:val="clear"/>
            <w:vAlign w:val="center"/>
          </w:tcPr>
          <w:p>
            <w:pPr>
              <w:pStyle w:val="TableContents"/>
              <w:spacing w:before="0" w:after="283"/>
              <w:rPr/>
            </w:pPr>
            <w:r>
              <w:rPr/>
              <w:t> </w:t>
            </w:r>
          </w:p>
        </w:tc>
        <w:tc>
          <w:tcPr>
            <w:tcW w:w="1294"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2008</w:t>
            </w:r>
          </w:p>
        </w:tc>
        <w:tc>
          <w:tcPr>
            <w:tcW w:w="209" w:type="dxa"/>
            <w:tcBorders>
              <w:bottom w:val="single" w:sz="4" w:space="0" w:color="FFFFFF"/>
            </w:tcBorders>
            <w:shd w:fill="auto" w:val="clear"/>
            <w:vAlign w:val="bottom"/>
          </w:tcPr>
          <w:p>
            <w:pPr>
              <w:pStyle w:val="TableContents"/>
              <w:spacing w:before="0" w:after="283"/>
              <w:jc w:val="left"/>
              <w:rPr/>
            </w:pPr>
            <w:r>
              <w:rPr/>
              <w:t> </w:t>
            </w:r>
          </w:p>
        </w:tc>
        <w:tc>
          <w:tcPr>
            <w:tcW w:w="1294"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2007</w:t>
            </w:r>
          </w:p>
        </w:tc>
        <w:tc>
          <w:tcPr>
            <w:tcW w:w="123" w:type="dxa"/>
            <w:tcBorders>
              <w:bottom w:val="single" w:sz="4" w:space="0" w:color="FFFFFF"/>
            </w:tcBorders>
            <w:shd w:fill="auto" w:val="clear"/>
            <w:vAlign w:val="bottom"/>
          </w:tcPr>
          <w:p>
            <w:pPr>
              <w:pStyle w:val="TableContents"/>
              <w:spacing w:before="0" w:after="283"/>
              <w:jc w:val="left"/>
              <w:rPr/>
            </w:pPr>
            <w:r>
              <w:rPr/>
              <w:t> </w:t>
            </w:r>
          </w:p>
        </w:tc>
      </w:tr>
      <w:tr>
        <w:trPr/>
        <w:tc>
          <w:tcPr>
            <w:tcW w:w="7081" w:type="dxa"/>
            <w:tcBorders/>
            <w:shd w:fill="auto" w:val="clear"/>
            <w:tcMar>
              <w:bottom w:w="0" w:type="dxa"/>
            </w:tcMar>
            <w:vAlign w:val="bottom"/>
          </w:tcPr>
          <w:p>
            <w:pPr>
              <w:pStyle w:val="TableContents"/>
              <w:spacing w:before="0" w:after="283"/>
              <w:jc w:val="left"/>
              <w:rPr/>
            </w:pPr>
            <w:r>
              <w:rPr/>
              <w:t> </w:t>
            </w:r>
          </w:p>
        </w:tc>
        <w:tc>
          <w:tcPr>
            <w:tcW w:w="204" w:type="dxa"/>
            <w:tcBorders/>
            <w:shd w:fill="auto" w:val="clear"/>
            <w:tcMar>
              <w:bottom w:w="0" w:type="dxa"/>
            </w:tcMar>
            <w:vAlign w:val="center"/>
          </w:tcPr>
          <w:p>
            <w:pPr>
              <w:pStyle w:val="TableContents"/>
              <w:spacing w:before="0" w:after="283"/>
              <w:rPr/>
            </w:pPr>
            <w:r>
              <w:rPr/>
              <w:t> </w:t>
            </w:r>
          </w:p>
        </w:tc>
        <w:tc>
          <w:tcPr>
            <w:tcW w:w="1294" w:type="dxa"/>
            <w:gridSpan w:val="2"/>
            <w:tcBorders/>
            <w:shd w:fill="auto" w:val="clear"/>
            <w:tcMar>
              <w:bottom w:w="0" w:type="dxa"/>
            </w:tcMar>
            <w:vAlign w:val="bottom"/>
          </w:tcPr>
          <w:p>
            <w:pPr>
              <w:pStyle w:val="TableContents"/>
              <w:spacing w:before="0" w:after="283"/>
              <w:jc w:val="left"/>
              <w:rPr/>
            </w:pPr>
            <w:r>
              <w:rPr/>
              <w:t> </w:t>
            </w:r>
          </w:p>
        </w:tc>
        <w:tc>
          <w:tcPr>
            <w:tcW w:w="209" w:type="dxa"/>
            <w:tcBorders/>
            <w:shd w:fill="auto" w:val="clear"/>
            <w:tcMar>
              <w:bottom w:w="0" w:type="dxa"/>
            </w:tcMar>
            <w:vAlign w:val="bottom"/>
          </w:tcPr>
          <w:p>
            <w:pPr>
              <w:pStyle w:val="TableContents"/>
              <w:spacing w:before="0" w:after="283"/>
              <w:jc w:val="left"/>
              <w:rPr/>
            </w:pPr>
            <w:r>
              <w:rPr/>
              <w:t> </w:t>
            </w:r>
          </w:p>
        </w:tc>
        <w:tc>
          <w:tcPr>
            <w:tcW w:w="1294" w:type="dxa"/>
            <w:gridSpan w:val="2"/>
            <w:tcBorders/>
            <w:shd w:fill="auto" w:val="clear"/>
            <w:tcMar>
              <w:bottom w:w="0" w:type="dxa"/>
            </w:tcMar>
            <w:vAlign w:val="bottom"/>
          </w:tcPr>
          <w:p>
            <w:pPr>
              <w:pStyle w:val="TableContents"/>
              <w:spacing w:before="0" w:after="283"/>
              <w:jc w:val="left"/>
              <w:rPr/>
            </w:pPr>
            <w:r>
              <w:rPr/>
              <w:t> </w:t>
            </w:r>
          </w:p>
        </w:tc>
        <w:tc>
          <w:tcPr>
            <w:tcW w:w="123" w:type="dxa"/>
            <w:tcBorders/>
            <w:shd w:fill="auto" w:val="clear"/>
            <w:tcMar>
              <w:bottom w:w="0" w:type="dxa"/>
            </w:tcMar>
            <w:vAlign w:val="bottom"/>
          </w:tcPr>
          <w:p>
            <w:pPr>
              <w:pStyle w:val="TableContents"/>
              <w:spacing w:before="0" w:after="283"/>
              <w:jc w:val="left"/>
              <w:rPr/>
            </w:pPr>
            <w:r>
              <w:rPr/>
              <w:t> </w:t>
            </w:r>
          </w:p>
        </w:tc>
      </w:tr>
      <w:tr>
        <w:trPr/>
        <w:tc>
          <w:tcPr>
            <w:tcW w:w="7081"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Net Income</w:t>
            </w:r>
          </w:p>
        </w:tc>
        <w:tc>
          <w:tcPr>
            <w:tcW w:w="204" w:type="dxa"/>
            <w:tcBorders/>
            <w:shd w:fill="CCFFCC" w:val="clear"/>
            <w:tcMar>
              <w:bottom w:w="0" w:type="dxa"/>
            </w:tcMar>
            <w:vAlign w:val="center"/>
          </w:tcPr>
          <w:p>
            <w:pPr>
              <w:pStyle w:val="TableContents"/>
              <w:spacing w:before="0" w:after="283"/>
              <w:rPr/>
            </w:pPr>
            <w:r>
              <w:rPr/>
              <w:t> </w:t>
            </w:r>
          </w:p>
        </w:tc>
        <w:tc>
          <w:tcPr>
            <w:tcW w:w="126"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168"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4,573</w:t>
            </w:r>
          </w:p>
        </w:tc>
        <w:tc>
          <w:tcPr>
            <w:tcW w:w="209"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68"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3,610</w:t>
            </w:r>
          </w:p>
        </w:tc>
        <w:tc>
          <w:tcPr>
            <w:tcW w:w="123" w:type="dxa"/>
            <w:tcBorders/>
            <w:shd w:fill="CCFFCC" w:val="clear"/>
            <w:tcMar>
              <w:bottom w:w="0" w:type="dxa"/>
            </w:tcMar>
            <w:vAlign w:val="bottom"/>
          </w:tcPr>
          <w:p>
            <w:pPr>
              <w:pStyle w:val="TableContents"/>
              <w:spacing w:before="0" w:after="283"/>
              <w:jc w:val="left"/>
              <w:rPr/>
            </w:pPr>
            <w:r>
              <w:rPr/>
              <w:t> </w:t>
            </w:r>
          </w:p>
        </w:tc>
      </w:tr>
      <w:tr>
        <w:trPr/>
        <w:tc>
          <w:tcPr>
            <w:tcW w:w="7081" w:type="dxa"/>
            <w:tcBorders/>
            <w:shd w:fill="FFFFFF" w:val="clear"/>
            <w:tcMar>
              <w:bottom w:w="0" w:type="dxa"/>
            </w:tcMar>
            <w:vAlign w:val="bottom"/>
          </w:tcPr>
          <w:p>
            <w:pPr>
              <w:pStyle w:val="TableContents"/>
              <w:spacing w:before="0" w:after="283"/>
              <w:jc w:val="left"/>
              <w:rPr/>
            </w:pPr>
            <w:r>
              <w:rPr/>
              <w:t> </w:t>
            </w:r>
          </w:p>
        </w:tc>
        <w:tc>
          <w:tcPr>
            <w:tcW w:w="204"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68" w:type="dxa"/>
            <w:tcBorders/>
            <w:shd w:fill="FFFFFF" w:val="clear"/>
            <w:tcMar>
              <w:bottom w:w="0" w:type="dxa"/>
            </w:tcMar>
            <w:vAlign w:val="bottom"/>
          </w:tcPr>
          <w:p>
            <w:pPr>
              <w:pStyle w:val="TableContents"/>
              <w:spacing w:before="0" w:after="283"/>
              <w:jc w:val="right"/>
              <w:rPr/>
            </w:pPr>
            <w:r>
              <w:rPr/>
              <w:t> </w:t>
            </w:r>
          </w:p>
        </w:tc>
        <w:tc>
          <w:tcPr>
            <w:tcW w:w="209"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68" w:type="dxa"/>
            <w:tcBorders/>
            <w:shd w:fill="FFFFFF" w:val="clear"/>
            <w:tcMar>
              <w:bottom w:w="0" w:type="dxa"/>
            </w:tcMar>
            <w:vAlign w:val="bottom"/>
          </w:tcPr>
          <w:p>
            <w:pPr>
              <w:pStyle w:val="TableContents"/>
              <w:spacing w:before="0" w:after="283"/>
              <w:jc w:val="right"/>
              <w:rPr/>
            </w:pPr>
            <w:r>
              <w:rPr/>
              <w:t> </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7081"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Other Comprehensive Income:</w:t>
            </w:r>
          </w:p>
        </w:tc>
        <w:tc>
          <w:tcPr>
            <w:tcW w:w="204" w:type="dxa"/>
            <w:tcBorders/>
            <w:shd w:fill="CCFFCC" w:val="clear"/>
            <w:tcMar>
              <w:bottom w:w="0" w:type="dxa"/>
            </w:tcMar>
            <w:vAlign w:val="center"/>
          </w:tcPr>
          <w:p>
            <w:pPr>
              <w:pStyle w:val="TableContents"/>
              <w:spacing w:before="0" w:after="283"/>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168" w:type="dxa"/>
            <w:tcBorders/>
            <w:shd w:fill="CCFFCC" w:val="clear"/>
            <w:tcMar>
              <w:bottom w:w="0" w:type="dxa"/>
            </w:tcMar>
            <w:vAlign w:val="bottom"/>
          </w:tcPr>
          <w:p>
            <w:pPr>
              <w:pStyle w:val="TableContents"/>
              <w:spacing w:before="0" w:after="283"/>
              <w:jc w:val="right"/>
              <w:rPr/>
            </w:pPr>
            <w:r>
              <w:rPr/>
              <w:t> </w:t>
            </w:r>
          </w:p>
        </w:tc>
        <w:tc>
          <w:tcPr>
            <w:tcW w:w="209"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168" w:type="dxa"/>
            <w:tcBorders/>
            <w:shd w:fill="CCFFCC" w:val="clear"/>
            <w:tcMar>
              <w:bottom w:w="0" w:type="dxa"/>
            </w:tcMar>
            <w:vAlign w:val="bottom"/>
          </w:tcPr>
          <w:p>
            <w:pPr>
              <w:pStyle w:val="TableContents"/>
              <w:spacing w:before="0" w:after="283"/>
              <w:jc w:val="right"/>
              <w:rPr/>
            </w:pPr>
            <w:r>
              <w:rPr/>
              <w:t> </w:t>
            </w:r>
          </w:p>
        </w:tc>
        <w:tc>
          <w:tcPr>
            <w:tcW w:w="123" w:type="dxa"/>
            <w:tcBorders/>
            <w:shd w:fill="CCFFCC" w:val="clear"/>
            <w:tcMar>
              <w:bottom w:w="0" w:type="dxa"/>
            </w:tcMar>
            <w:vAlign w:val="bottom"/>
          </w:tcPr>
          <w:p>
            <w:pPr>
              <w:pStyle w:val="TableContents"/>
              <w:spacing w:before="0" w:after="283"/>
              <w:jc w:val="left"/>
              <w:rPr/>
            </w:pPr>
            <w:r>
              <w:rPr/>
              <w:t> </w:t>
            </w:r>
          </w:p>
        </w:tc>
      </w:tr>
      <w:tr>
        <w:trPr/>
        <w:tc>
          <w:tcPr>
            <w:tcW w:w="7081"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 xml:space="preserve">Unrealized (loss) gain on marketable securities </w:t>
            </w:r>
          </w:p>
        </w:tc>
        <w:tc>
          <w:tcPr>
            <w:tcW w:w="204"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68"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(9</w:t>
            </w:r>
          </w:p>
        </w:tc>
        <w:tc>
          <w:tcPr>
            <w:tcW w:w="209"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26" w:type="dxa"/>
            <w:tcBorders/>
            <w:shd w:fill="FFFFFF" w:val="clear"/>
            <w:tcMar>
              <w:bottom w:w="0" w:type="dxa"/>
            </w:tcMar>
            <w:vAlign w:val="bottom"/>
          </w:tcPr>
          <w:p>
            <w:pPr>
              <w:pStyle w:val="TableContents"/>
              <w:spacing w:before="0" w:after="283"/>
              <w:jc w:val="left"/>
              <w:rPr/>
            </w:pPr>
            <w:r>
              <w:rPr/>
              <w:t> </w:t>
            </w:r>
          </w:p>
        </w:tc>
        <w:tc>
          <w:tcPr>
            <w:tcW w:w="116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7081"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Pension and postretirement benefits</w:t>
            </w:r>
          </w:p>
        </w:tc>
        <w:tc>
          <w:tcPr>
            <w:tcW w:w="204" w:type="dxa"/>
            <w:tcBorders/>
            <w:shd w:fill="CCFFCC" w:val="clear"/>
            <w:tcMar>
              <w:bottom w:w="0" w:type="dxa"/>
            </w:tcMar>
            <w:vAlign w:val="center"/>
          </w:tcPr>
          <w:p>
            <w:pPr>
              <w:pStyle w:val="TableContents"/>
              <w:spacing w:before="0" w:after="283"/>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168"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12</w:t>
            </w:r>
          </w:p>
        </w:tc>
        <w:tc>
          <w:tcPr>
            <w:tcW w:w="209"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168" w:type="dxa"/>
            <w:tcBorders/>
            <w:shd w:fill="CCFFCC" w:val="clear"/>
            <w:tcMar>
              <w:bottom w:w="0" w:type="dxa"/>
            </w:tcMar>
            <w:vAlign w:val="bottom"/>
          </w:tcPr>
          <w:p>
            <w:pPr>
              <w:pStyle w:val="TableContents"/>
              <w:spacing w:before="0" w:after="283"/>
              <w:jc w:val="right"/>
              <w:rPr/>
            </w:pPr>
            <w:r>
              <w:rPr/>
              <w:t> </w:t>
            </w:r>
          </w:p>
        </w:tc>
        <w:tc>
          <w:tcPr>
            <w:tcW w:w="123" w:type="dxa"/>
            <w:tcBorders/>
            <w:shd w:fill="CCFFCC" w:val="clear"/>
            <w:tcMar>
              <w:bottom w:w="0" w:type="dxa"/>
            </w:tcMar>
            <w:vAlign w:val="bottom"/>
          </w:tcPr>
          <w:p>
            <w:pPr>
              <w:pStyle w:val="TableContents"/>
              <w:spacing w:before="0" w:after="283"/>
              <w:jc w:val="left"/>
              <w:rPr/>
            </w:pPr>
            <w:r>
              <w:rPr/>
              <w:t> </w:t>
            </w:r>
          </w:p>
        </w:tc>
      </w:tr>
      <w:tr>
        <w:trPr/>
        <w:tc>
          <w:tcPr>
            <w:tcW w:w="7081" w:type="dxa"/>
            <w:tcBorders>
              <w:bottom w:val="single" w:sz="4" w:space="0" w:color="FFFFFF"/>
            </w:tcBorders>
            <w:shd w:fill="FFFFFF" w:val="cle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Cumulative Translation Adjustments</w:t>
            </w:r>
          </w:p>
        </w:tc>
        <w:tc>
          <w:tcPr>
            <w:tcW w:w="204" w:type="dxa"/>
            <w:tcBorders>
              <w:bottom w:val="single" w:sz="4" w:space="0" w:color="FFFFFF"/>
            </w:tcBorders>
            <w:shd w:fill="FFFFFF" w:val="clear"/>
            <w:vAlign w:val="center"/>
          </w:tcPr>
          <w:p>
            <w:pPr>
              <w:pStyle w:val="TableContents"/>
              <w:spacing w:before="0" w:after="283"/>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68"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163" w:name="TAB196"/>
            <w:bookmarkStart w:id="164" w:name="TAB197"/>
            <w:bookmarkEnd w:id="163"/>
            <w:bookmarkEnd w:id="164"/>
            <w:r>
              <w:rPr>
                <w:rStyle w:val="StrongEmphasis"/>
                <w:rFonts w:ascii="Times New Roman" w:hAnsi="Times New Roman"/>
                <w:sz w:val="20"/>
              </w:rPr>
              <w:t>211</w:t>
            </w:r>
          </w:p>
        </w:tc>
        <w:tc>
          <w:tcPr>
            <w:tcW w:w="209"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6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65" w:name="TAB198"/>
            <w:bookmarkStart w:id="166" w:name="TAB199"/>
            <w:bookmarkEnd w:id="165"/>
            <w:bookmarkEnd w:id="166"/>
            <w:r>
              <w:rPr>
                <w:rFonts w:ascii="Times New Roman" w:hAnsi="Times New Roman"/>
                <w:sz w:val="20"/>
              </w:rPr>
              <w:t>(28</w:t>
            </w:r>
          </w:p>
        </w:tc>
        <w:tc>
          <w:tcPr>
            <w:tcW w:w="123"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67" w:name="TAB1100"/>
            <w:bookmarkStart w:id="168" w:name="TAB1101"/>
            <w:bookmarkEnd w:id="167"/>
            <w:bookmarkEnd w:id="168"/>
            <w:r>
              <w:rPr>
                <w:rFonts w:ascii="Times New Roman" w:hAnsi="Times New Roman"/>
                <w:sz w:val="20"/>
              </w:rPr>
              <w:t>)</w:t>
            </w:r>
          </w:p>
        </w:tc>
      </w:tr>
      <w:tr>
        <w:trPr/>
        <w:tc>
          <w:tcPr>
            <w:tcW w:w="7081" w:type="dxa"/>
            <w:tcBorders/>
            <w:shd w:fill="CCFFCC" w:val="clear"/>
            <w:tcMar>
              <w:bottom w:w="0" w:type="dxa"/>
            </w:tcMar>
            <w:vAlign w:val="bottom"/>
          </w:tcPr>
          <w:p>
            <w:pPr>
              <w:pStyle w:val="TableContents"/>
              <w:spacing w:before="0" w:after="283"/>
              <w:jc w:val="left"/>
              <w:rPr/>
            </w:pPr>
            <w:r>
              <w:rPr/>
              <w:t> </w:t>
            </w:r>
          </w:p>
        </w:tc>
        <w:tc>
          <w:tcPr>
            <w:tcW w:w="204" w:type="dxa"/>
            <w:tcBorders/>
            <w:shd w:fill="CCFFCC" w:val="clear"/>
            <w:tcMar>
              <w:bottom w:w="0" w:type="dxa"/>
            </w:tcMar>
            <w:vAlign w:val="center"/>
          </w:tcPr>
          <w:p>
            <w:pPr>
              <w:pStyle w:val="TableContents"/>
              <w:spacing w:before="0" w:after="283"/>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168" w:type="dxa"/>
            <w:tcBorders/>
            <w:shd w:fill="CCFFCC" w:val="clear"/>
            <w:tcMar>
              <w:bottom w:w="0" w:type="dxa"/>
            </w:tcMar>
            <w:vAlign w:val="bottom"/>
          </w:tcPr>
          <w:p>
            <w:pPr>
              <w:pStyle w:val="TableContents"/>
              <w:spacing w:before="0" w:after="283"/>
              <w:jc w:val="right"/>
              <w:rPr/>
            </w:pPr>
            <w:r>
              <w:rPr/>
              <w:t> </w:t>
            </w:r>
          </w:p>
        </w:tc>
        <w:tc>
          <w:tcPr>
            <w:tcW w:w="209"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168" w:type="dxa"/>
            <w:tcBorders/>
            <w:shd w:fill="CCFFCC" w:val="clear"/>
            <w:tcMar>
              <w:bottom w:w="0" w:type="dxa"/>
            </w:tcMar>
            <w:vAlign w:val="bottom"/>
          </w:tcPr>
          <w:p>
            <w:pPr>
              <w:pStyle w:val="TableContents"/>
              <w:spacing w:before="0" w:after="283"/>
              <w:jc w:val="right"/>
              <w:rPr/>
            </w:pPr>
            <w:r>
              <w:rPr/>
              <w:t> </w:t>
            </w:r>
          </w:p>
        </w:tc>
        <w:tc>
          <w:tcPr>
            <w:tcW w:w="123" w:type="dxa"/>
            <w:tcBorders/>
            <w:shd w:fill="CCFFCC" w:val="clear"/>
            <w:tcMar>
              <w:bottom w:w="0" w:type="dxa"/>
            </w:tcMar>
            <w:vAlign w:val="bottom"/>
          </w:tcPr>
          <w:p>
            <w:pPr>
              <w:pStyle w:val="TableContents"/>
              <w:spacing w:before="0" w:after="283"/>
              <w:jc w:val="left"/>
              <w:rPr/>
            </w:pPr>
            <w:r>
              <w:rPr/>
              <w:t> </w:t>
            </w:r>
          </w:p>
        </w:tc>
      </w:tr>
      <w:tr>
        <w:trPr/>
        <w:tc>
          <w:tcPr>
            <w:tcW w:w="7081" w:type="dxa"/>
            <w:tcBorders>
              <w:bottom w:val="single" w:sz="4"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Total Comprehensive Income</w:t>
            </w:r>
          </w:p>
        </w:tc>
        <w:tc>
          <w:tcPr>
            <w:tcW w:w="204" w:type="dxa"/>
            <w:tcBorders>
              <w:bottom w:val="single" w:sz="4" w:space="0" w:color="FFFFFF"/>
            </w:tcBorders>
            <w:shd w:fill="FFFFFF" w:val="clear"/>
            <w:vAlign w:val="center"/>
          </w:tcPr>
          <w:p>
            <w:pPr>
              <w:pStyle w:val="TableContents"/>
              <w:spacing w:before="0" w:after="283"/>
              <w:rPr/>
            </w:pPr>
            <w:r>
              <w:rPr/>
              <w:t> </w:t>
            </w:r>
          </w:p>
        </w:tc>
        <w:tc>
          <w:tcPr>
            <w:tcW w:w="126" w:type="dxa"/>
            <w:tcBorders>
              <w:bottom w:val="double" w:sz="2" w:space="0" w:color="000000"/>
            </w:tcBorders>
            <w:shd w:fill="FFFFFF" w:val="clear"/>
            <w:vAlign w:val="bottom"/>
          </w:tcPr>
          <w:p>
            <w:pPr>
              <w:pStyle w:val="TableContents"/>
              <w:spacing w:lineRule="auto" w:line="300" w:before="0" w:after="0"/>
              <w:ind w:left="0" w:right="0" w:hanging="0"/>
              <w:jc w:val="left"/>
              <w:rPr/>
            </w:pPr>
            <w:bookmarkStart w:id="169" w:name="TAB1102"/>
            <w:bookmarkEnd w:id="169"/>
            <w:r>
              <w:rPr>
                <w:rStyle w:val="StrongEmphasis"/>
                <w:rFonts w:ascii="Times New Roman" w:hAnsi="Times New Roman"/>
                <w:sz w:val="20"/>
              </w:rPr>
              <w:t>$</w:t>
            </w:r>
            <w:bookmarkStart w:id="170" w:name="TAB212"/>
            <w:bookmarkEnd w:id="170"/>
          </w:p>
        </w:tc>
        <w:tc>
          <w:tcPr>
            <w:tcW w:w="1168" w:type="dxa"/>
            <w:tcBorders>
              <w:bottom w:val="double" w:sz="2" w:space="0" w:color="000000"/>
            </w:tcBorders>
            <w:shd w:fill="FFFFFF" w:val="clear"/>
            <w:vAlign w:val="bottom"/>
          </w:tcPr>
          <w:p>
            <w:pPr>
              <w:pStyle w:val="TableContents"/>
              <w:spacing w:lineRule="auto" w:line="300" w:before="0" w:after="0"/>
              <w:ind w:left="0" w:right="0" w:hanging="0"/>
              <w:jc w:val="right"/>
              <w:rPr/>
            </w:pPr>
            <w:bookmarkStart w:id="171" w:name="TAB213"/>
            <w:bookmarkStart w:id="172" w:name="TAB1103"/>
            <w:bookmarkEnd w:id="171"/>
            <w:bookmarkEnd w:id="172"/>
            <w:r>
              <w:rPr>
                <w:rStyle w:val="StrongEmphasis"/>
                <w:rFonts w:ascii="Times New Roman" w:hAnsi="Times New Roman"/>
                <w:sz w:val="20"/>
              </w:rPr>
              <w:t>4,787</w:t>
            </w:r>
          </w:p>
        </w:tc>
        <w:tc>
          <w:tcPr>
            <w:tcW w:w="209"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73" w:name="TAB1104"/>
            <w:bookmarkEnd w:id="173"/>
            <w:r>
              <w:rPr>
                <w:rFonts w:ascii="Times New Roman" w:hAnsi="Times New Roman"/>
                <w:sz w:val="20"/>
              </w:rPr>
              <w:t>$</w:t>
            </w:r>
            <w:bookmarkStart w:id="174" w:name="TAB214"/>
            <w:bookmarkEnd w:id="174"/>
          </w:p>
        </w:tc>
        <w:tc>
          <w:tcPr>
            <w:tcW w:w="1168"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75" w:name="TAB215"/>
            <w:bookmarkStart w:id="176" w:name="TAB1105"/>
            <w:bookmarkEnd w:id="175"/>
            <w:bookmarkEnd w:id="176"/>
            <w:r>
              <w:rPr>
                <w:rFonts w:ascii="Times New Roman" w:hAnsi="Times New Roman"/>
                <w:sz w:val="20"/>
              </w:rPr>
              <w:t>3,597</w:t>
            </w:r>
          </w:p>
        </w:tc>
        <w:tc>
          <w:tcPr>
            <w:tcW w:w="123"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2160" w:right="0" w:hanging="0"/>
        <w:jc w:val="left"/>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accompanying notes are an integral part of the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7" w:name="PGBRK4"/>
      <w:bookmarkStart w:id="178" w:name="PGBRK4"/>
      <w:bookmarkEnd w:id="1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9" w:name="FTR4"/>
      <w:bookmarkStart w:id="180" w:name="FTR4"/>
      <w:bookmarkEnd w:id="1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1" w:name="GLFTR4"/>
      <w:bookmarkStart w:id="182" w:name="GLFTR4"/>
      <w:bookmarkEnd w:id="1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83" w:name="PN4"/>
      <w:bookmarkEnd w:id="183"/>
      <w:r>
        <w:rPr>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4" w:name="HDR4"/>
      <w:bookmarkStart w:id="185" w:name="HDR4"/>
      <w:bookmarkEnd w:id="1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6" w:name="GLHDR4"/>
      <w:bookmarkStart w:id="187" w:name="GLHDR4"/>
      <w:bookmarkEnd w:id="1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t> </w:t>
      </w:r>
    </w:p>
    <w:p>
      <w:pPr>
        <w:pStyle w:val="TextBody"/>
        <w:spacing w:lineRule="auto" w:line="300" w:before="0" w:after="0"/>
        <w:ind w:left="0" w:right="0" w:hanging="0"/>
        <w:jc w:val="center"/>
        <w:rPr/>
      </w:pPr>
      <w:r>
        <w:rPr>
          <w:rStyle w:val="StrongEmphasis"/>
          <w:rFonts w:ascii="Times New Roman" w:hAnsi="Times New Roman"/>
          <w:sz w:val="20"/>
        </w:rPr>
        <w:t>OIL-DRI CORPORATION OF AMERICA &amp; SUBSIDIARIES</w:t>
      </w:r>
    </w:p>
    <w:p>
      <w:pPr>
        <w:pStyle w:val="TextBody"/>
        <w:spacing w:lineRule="auto" w:line="300" w:before="0" w:after="0"/>
        <w:ind w:left="0" w:right="0" w:hanging="0"/>
        <w:jc w:val="center"/>
        <w:rPr/>
      </w:pPr>
      <w:r>
        <w:rPr>
          <w:rStyle w:val="StrongEmphasis"/>
          <w:rFonts w:ascii="Times New Roman" w:hAnsi="Times New Roman"/>
          <w:sz w:val="20"/>
        </w:rPr>
        <w:t>Condensed Consolidated Statements of Income</w:t>
      </w:r>
    </w:p>
    <w:p>
      <w:pPr>
        <w:pStyle w:val="TextBody"/>
        <w:spacing w:lineRule="auto" w:line="300" w:before="0" w:after="0"/>
        <w:ind w:left="0" w:right="0" w:hanging="0"/>
        <w:jc w:val="center"/>
        <w:rPr/>
      </w:pPr>
      <w:r>
        <w:rPr>
          <w:rStyle w:val="StrongEmphasis"/>
          <w:rFonts w:ascii="Times New Roman" w:hAnsi="Times New Roman"/>
          <w:sz w:val="20"/>
        </w:rPr>
        <w:t>(in thousands, except for per share amounts)</w:t>
      </w:r>
    </w:p>
    <w:p>
      <w:pPr>
        <w:pStyle w:val="TextBody"/>
        <w:spacing w:lineRule="auto" w:line="300" w:before="0" w:after="0"/>
        <w:ind w:left="0" w:right="0" w:hanging="0"/>
        <w:jc w:val="center"/>
        <w:rPr/>
      </w:pPr>
      <w:r>
        <w:rPr>
          <w:rStyle w:val="StrongEmphasis"/>
          <w:rFonts w:ascii="Times New Roman" w:hAnsi="Times New Roman"/>
          <w:sz w:val="20"/>
        </w:rPr>
        <w:t>(unaudited)</w:t>
      </w:r>
    </w:p>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188" w:name="ftable4"/>
      <w:bookmarkStart w:id="189" w:name="ftable4"/>
      <w:bookmarkEnd w:id="189"/>
    </w:p>
    <w:tbl>
      <w:tblPr>
        <w:tblW w:w="5000" w:type="pct"/>
        <w:jc w:val="left"/>
        <w:tblInd w:w="0" w:type="dxa"/>
        <w:tblCellMar>
          <w:top w:w="0" w:type="dxa"/>
          <w:left w:w="0" w:type="dxa"/>
          <w:bottom w:w="28" w:type="dxa"/>
          <w:right w:w="0" w:type="dxa"/>
        </w:tblCellMar>
      </w:tblPr>
      <w:tblGrid>
        <w:gridCol w:w="6319"/>
        <w:gridCol w:w="192"/>
        <w:gridCol w:w="194"/>
        <w:gridCol w:w="1467"/>
        <w:gridCol w:w="230"/>
        <w:gridCol w:w="194"/>
        <w:gridCol w:w="1469"/>
        <w:gridCol w:w="140"/>
      </w:tblGrid>
      <w:tr>
        <w:trPr/>
        <w:tc>
          <w:tcPr>
            <w:tcW w:w="6319" w:type="dxa"/>
            <w:tcBorders>
              <w:bottom w:val="single" w:sz="4" w:space="0" w:color="FFFFFF"/>
            </w:tcBorders>
            <w:shd w:fill="auto" w:val="clear"/>
            <w:vAlign w:val="bottom"/>
          </w:tcPr>
          <w:p>
            <w:pPr>
              <w:pStyle w:val="TableContents"/>
              <w:spacing w:before="0" w:after="283"/>
              <w:jc w:val="left"/>
              <w:rPr/>
            </w:pPr>
            <w:r>
              <w:rPr/>
              <w:t> </w:t>
            </w:r>
          </w:p>
        </w:tc>
        <w:tc>
          <w:tcPr>
            <w:tcW w:w="192" w:type="dxa"/>
            <w:tcBorders>
              <w:bottom w:val="single" w:sz="4" w:space="0" w:color="FFFFFF"/>
            </w:tcBorders>
            <w:shd w:fill="auto" w:val="clear"/>
            <w:vAlign w:val="center"/>
          </w:tcPr>
          <w:p>
            <w:pPr>
              <w:pStyle w:val="TableContents"/>
              <w:spacing w:before="0" w:after="283"/>
              <w:rPr/>
            </w:pPr>
            <w:r>
              <w:rPr/>
              <w:t> </w:t>
            </w:r>
          </w:p>
        </w:tc>
        <w:tc>
          <w:tcPr>
            <w:tcW w:w="3554"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For The Three Months Ended</w:t>
            </w:r>
          </w:p>
          <w:p>
            <w:pPr>
              <w:pStyle w:val="TableContents"/>
              <w:spacing w:lineRule="auto" w:line="300" w:before="0" w:after="0"/>
              <w:ind w:left="0" w:right="0" w:hanging="0"/>
              <w:jc w:val="center"/>
              <w:rPr/>
            </w:pPr>
            <w:r>
              <w:rPr>
                <w:rStyle w:val="StrongEmphasis"/>
                <w:rFonts w:ascii="Times New Roman" w:hAnsi="Times New Roman"/>
                <w:sz w:val="20"/>
              </w:rPr>
              <w:t>January 31</w:t>
            </w:r>
          </w:p>
        </w:tc>
        <w:tc>
          <w:tcPr>
            <w:tcW w:w="140" w:type="dxa"/>
            <w:tcBorders>
              <w:bottom w:val="single" w:sz="4" w:space="0" w:color="FFFFFF"/>
            </w:tcBorders>
            <w:shd w:fill="auto" w:val="clear"/>
            <w:vAlign w:val="bottom"/>
          </w:tcPr>
          <w:p>
            <w:pPr>
              <w:pStyle w:val="TableContents"/>
              <w:spacing w:before="0" w:after="283"/>
              <w:jc w:val="left"/>
              <w:rPr/>
            </w:pPr>
            <w:r>
              <w:rPr/>
              <w:t> </w:t>
            </w:r>
          </w:p>
        </w:tc>
      </w:tr>
      <w:tr>
        <w:trPr/>
        <w:tc>
          <w:tcPr>
            <w:tcW w:w="6319" w:type="dxa"/>
            <w:tcBorders>
              <w:bottom w:val="single" w:sz="4" w:space="0" w:color="FFFFFF"/>
            </w:tcBorders>
            <w:shd w:fill="auto" w:val="clear"/>
            <w:vAlign w:val="bottom"/>
          </w:tcPr>
          <w:p>
            <w:pPr>
              <w:pStyle w:val="TableContents"/>
              <w:spacing w:before="0" w:after="283"/>
              <w:jc w:val="left"/>
              <w:rPr/>
            </w:pPr>
            <w:r>
              <w:rPr/>
              <w:t> </w:t>
            </w:r>
          </w:p>
        </w:tc>
        <w:tc>
          <w:tcPr>
            <w:tcW w:w="192" w:type="dxa"/>
            <w:tcBorders>
              <w:bottom w:val="single" w:sz="4" w:space="0" w:color="FFFFFF"/>
            </w:tcBorders>
            <w:shd w:fill="auto" w:val="clear"/>
            <w:vAlign w:val="center"/>
          </w:tcPr>
          <w:p>
            <w:pPr>
              <w:pStyle w:val="TableContents"/>
              <w:spacing w:before="0" w:after="283"/>
              <w:rPr/>
            </w:pPr>
            <w:r>
              <w:rPr/>
              <w:t> </w:t>
            </w:r>
          </w:p>
        </w:tc>
        <w:tc>
          <w:tcPr>
            <w:tcW w:w="1661"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2008</w:t>
            </w:r>
          </w:p>
        </w:tc>
        <w:tc>
          <w:tcPr>
            <w:tcW w:w="230" w:type="dxa"/>
            <w:tcBorders>
              <w:bottom w:val="single" w:sz="4" w:space="0" w:color="FFFFFF"/>
            </w:tcBorders>
            <w:shd w:fill="auto" w:val="clear"/>
            <w:vAlign w:val="bottom"/>
          </w:tcPr>
          <w:p>
            <w:pPr>
              <w:pStyle w:val="TableContents"/>
              <w:spacing w:before="0" w:after="283"/>
              <w:jc w:val="left"/>
              <w:rPr/>
            </w:pPr>
            <w:r>
              <w:rPr/>
              <w:t> </w:t>
            </w:r>
          </w:p>
        </w:tc>
        <w:tc>
          <w:tcPr>
            <w:tcW w:w="1663"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2007</w:t>
            </w:r>
          </w:p>
        </w:tc>
        <w:tc>
          <w:tcPr>
            <w:tcW w:w="140" w:type="dxa"/>
            <w:tcBorders>
              <w:bottom w:val="single" w:sz="4" w:space="0" w:color="FFFFFF"/>
            </w:tcBorders>
            <w:shd w:fill="auto" w:val="clear"/>
            <w:vAlign w:val="bottom"/>
          </w:tcPr>
          <w:p>
            <w:pPr>
              <w:pStyle w:val="TableContents"/>
              <w:spacing w:before="0" w:after="283"/>
              <w:jc w:val="left"/>
              <w:rPr/>
            </w:pPr>
            <w:r>
              <w:rPr/>
              <w:t> </w:t>
            </w:r>
          </w:p>
        </w:tc>
      </w:tr>
      <w:tr>
        <w:trPr/>
        <w:tc>
          <w:tcPr>
            <w:tcW w:w="6319" w:type="dxa"/>
            <w:tcBorders/>
            <w:shd w:fill="auto" w:val="clear"/>
            <w:tcMar>
              <w:bottom w:w="0" w:type="dxa"/>
            </w:tcMar>
            <w:vAlign w:val="bottom"/>
          </w:tcPr>
          <w:p>
            <w:pPr>
              <w:pStyle w:val="TableContents"/>
              <w:spacing w:before="0" w:after="283"/>
              <w:jc w:val="left"/>
              <w:rPr/>
            </w:pPr>
            <w:r>
              <w:rPr/>
              <w:t> </w:t>
            </w:r>
          </w:p>
        </w:tc>
        <w:tc>
          <w:tcPr>
            <w:tcW w:w="192" w:type="dxa"/>
            <w:tcBorders/>
            <w:shd w:fill="auto" w:val="clear"/>
            <w:tcMar>
              <w:bottom w:w="0" w:type="dxa"/>
            </w:tcMar>
            <w:vAlign w:val="center"/>
          </w:tcPr>
          <w:p>
            <w:pPr>
              <w:pStyle w:val="TableContents"/>
              <w:spacing w:before="0" w:after="283"/>
              <w:rPr/>
            </w:pPr>
            <w:r>
              <w:rPr/>
              <w:t> </w:t>
            </w:r>
          </w:p>
        </w:tc>
        <w:tc>
          <w:tcPr>
            <w:tcW w:w="1661" w:type="dxa"/>
            <w:gridSpan w:val="2"/>
            <w:tcBorders/>
            <w:shd w:fill="auto" w:val="clear"/>
            <w:tcMar>
              <w:bottom w:w="0" w:type="dxa"/>
            </w:tcMar>
            <w:vAlign w:val="bottom"/>
          </w:tcPr>
          <w:p>
            <w:pPr>
              <w:pStyle w:val="TableContents"/>
              <w:spacing w:before="0" w:after="283"/>
              <w:jc w:val="left"/>
              <w:rPr/>
            </w:pPr>
            <w:r>
              <w:rPr/>
              <w:t> </w:t>
            </w:r>
          </w:p>
        </w:tc>
        <w:tc>
          <w:tcPr>
            <w:tcW w:w="230" w:type="dxa"/>
            <w:tcBorders/>
            <w:shd w:fill="auto" w:val="clear"/>
            <w:tcMar>
              <w:bottom w:w="0" w:type="dxa"/>
            </w:tcMar>
            <w:vAlign w:val="bottom"/>
          </w:tcPr>
          <w:p>
            <w:pPr>
              <w:pStyle w:val="TableContents"/>
              <w:spacing w:before="0" w:after="283"/>
              <w:jc w:val="left"/>
              <w:rPr/>
            </w:pPr>
            <w:r>
              <w:rPr/>
              <w:t> </w:t>
            </w:r>
          </w:p>
        </w:tc>
        <w:tc>
          <w:tcPr>
            <w:tcW w:w="1663" w:type="dxa"/>
            <w:gridSpan w:val="2"/>
            <w:tcBorders/>
            <w:shd w:fill="auto" w:val="clear"/>
            <w:tcMar>
              <w:bottom w:w="0" w:type="dxa"/>
            </w:tcMar>
            <w:vAlign w:val="bottom"/>
          </w:tcPr>
          <w:p>
            <w:pPr>
              <w:pStyle w:val="TableContents"/>
              <w:spacing w:before="0" w:after="283"/>
              <w:jc w:val="left"/>
              <w:rPr/>
            </w:pPr>
            <w:r>
              <w:rPr/>
              <w:t> </w:t>
            </w:r>
          </w:p>
        </w:tc>
        <w:tc>
          <w:tcPr>
            <w:tcW w:w="140" w:type="dxa"/>
            <w:tcBorders/>
            <w:shd w:fill="auto" w:val="clear"/>
            <w:tcMar>
              <w:bottom w:w="0" w:type="dxa"/>
            </w:tcMar>
            <w:vAlign w:val="bottom"/>
          </w:tcPr>
          <w:p>
            <w:pPr>
              <w:pStyle w:val="TableContents"/>
              <w:spacing w:before="0" w:after="283"/>
              <w:jc w:val="left"/>
              <w:rPr/>
            </w:pPr>
            <w:r>
              <w:rPr/>
              <w:t> </w:t>
            </w:r>
          </w:p>
        </w:tc>
      </w:tr>
      <w:tr>
        <w:trPr/>
        <w:tc>
          <w:tcPr>
            <w:tcW w:w="6319"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Net Sales</w:t>
            </w:r>
          </w:p>
        </w:tc>
        <w:tc>
          <w:tcPr>
            <w:tcW w:w="192" w:type="dxa"/>
            <w:tcBorders/>
            <w:shd w:fill="CCFFCC" w:val="clear"/>
            <w:tcMar>
              <w:bottom w:w="0" w:type="dxa"/>
            </w:tcMar>
            <w:vAlign w:val="center"/>
          </w:tcPr>
          <w:p>
            <w:pPr>
              <w:pStyle w:val="TableContents"/>
              <w:spacing w:before="0" w:after="283"/>
              <w:rPr/>
            </w:pPr>
            <w:r>
              <w:rPr/>
              <w:t> </w:t>
            </w:r>
          </w:p>
        </w:tc>
        <w:tc>
          <w:tcPr>
            <w:tcW w:w="194"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467"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58,026</w:t>
            </w:r>
          </w:p>
        </w:tc>
        <w:tc>
          <w:tcPr>
            <w:tcW w:w="230" w:type="dxa"/>
            <w:tcBorders/>
            <w:shd w:fill="CCFFCC" w:val="clear"/>
            <w:tcMar>
              <w:bottom w:w="0" w:type="dxa"/>
            </w:tcMar>
            <w:vAlign w:val="bottom"/>
          </w:tcPr>
          <w:p>
            <w:pPr>
              <w:pStyle w:val="TableContents"/>
              <w:spacing w:before="0" w:after="283"/>
              <w:jc w:val="left"/>
              <w:rPr/>
            </w:pPr>
            <w:r>
              <w:rPr/>
              <w:t> </w:t>
            </w:r>
          </w:p>
        </w:tc>
        <w:tc>
          <w:tcPr>
            <w:tcW w:w="194"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46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52,873</w:t>
            </w:r>
          </w:p>
        </w:tc>
        <w:tc>
          <w:tcPr>
            <w:tcW w:w="140" w:type="dxa"/>
            <w:tcBorders/>
            <w:shd w:fill="CCFFCC" w:val="clear"/>
            <w:tcMar>
              <w:bottom w:w="0" w:type="dxa"/>
            </w:tcMar>
            <w:vAlign w:val="bottom"/>
          </w:tcPr>
          <w:p>
            <w:pPr>
              <w:pStyle w:val="TableContents"/>
              <w:spacing w:before="0" w:after="283"/>
              <w:jc w:val="left"/>
              <w:rPr/>
            </w:pPr>
            <w:r>
              <w:rPr/>
              <w:t> </w:t>
            </w:r>
          </w:p>
        </w:tc>
      </w:tr>
      <w:tr>
        <w:trPr/>
        <w:tc>
          <w:tcPr>
            <w:tcW w:w="6319"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Cost of Sales</w:t>
            </w:r>
          </w:p>
        </w:tc>
        <w:tc>
          <w:tcPr>
            <w:tcW w:w="192" w:type="dxa"/>
            <w:tcBorders>
              <w:bottom w:val="single" w:sz="4" w:space="0" w:color="FFFFFF"/>
            </w:tcBorders>
            <w:shd w:fill="FFFFFF" w:val="clear"/>
            <w:vAlign w:val="center"/>
          </w:tcPr>
          <w:p>
            <w:pPr>
              <w:pStyle w:val="TableContents"/>
              <w:spacing w:before="0" w:after="283"/>
              <w:rPr/>
            </w:pPr>
            <w:r>
              <w:rPr/>
              <w:t> </w:t>
            </w:r>
          </w:p>
        </w:tc>
        <w:tc>
          <w:tcPr>
            <w:tcW w:w="194" w:type="dxa"/>
            <w:tcBorders>
              <w:bottom w:val="single" w:sz="2" w:space="0" w:color="000000"/>
            </w:tcBorders>
            <w:shd w:fill="FFFFFF" w:val="clear"/>
            <w:vAlign w:val="bottom"/>
          </w:tcPr>
          <w:p>
            <w:pPr>
              <w:pStyle w:val="TableContents"/>
              <w:spacing w:before="0" w:after="283"/>
              <w:jc w:val="left"/>
              <w:rPr/>
            </w:pPr>
            <w:r>
              <w:rPr/>
              <w:t> </w:t>
            </w:r>
          </w:p>
        </w:tc>
        <w:tc>
          <w:tcPr>
            <w:tcW w:w="1467" w:type="dxa"/>
            <w:tcBorders>
              <w:bottom w:val="sing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(46,678</w:t>
            </w:r>
          </w:p>
        </w:tc>
        <w:tc>
          <w:tcPr>
            <w:tcW w:w="230" w:type="dxa"/>
            <w:tcBorders>
              <w:bottom w:val="single" w:sz="4"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94" w:type="dxa"/>
            <w:tcBorders>
              <w:bottom w:val="single" w:sz="2" w:space="0" w:color="000000"/>
            </w:tcBorders>
            <w:shd w:fill="FFFFFF" w:val="clear"/>
            <w:vAlign w:val="bottom"/>
          </w:tcPr>
          <w:p>
            <w:pPr>
              <w:pStyle w:val="TableContents"/>
              <w:spacing w:before="0" w:after="283"/>
              <w:jc w:val="left"/>
              <w:rPr/>
            </w:pPr>
            <w:r>
              <w:rPr/>
              <w:t> </w:t>
            </w:r>
          </w:p>
        </w:tc>
        <w:tc>
          <w:tcPr>
            <w:tcW w:w="146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(41,376</w:t>
            </w:r>
          </w:p>
        </w:tc>
        <w:tc>
          <w:tcPr>
            <w:tcW w:w="140"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6319"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Gross Profit</w:t>
            </w:r>
          </w:p>
        </w:tc>
        <w:tc>
          <w:tcPr>
            <w:tcW w:w="192" w:type="dxa"/>
            <w:tcBorders/>
            <w:shd w:fill="CCFFCC" w:val="clear"/>
            <w:tcMar>
              <w:bottom w:w="0" w:type="dxa"/>
            </w:tcMar>
            <w:vAlign w:val="center"/>
          </w:tcPr>
          <w:p>
            <w:pPr>
              <w:pStyle w:val="TableContents"/>
              <w:spacing w:before="0" w:after="283"/>
              <w:rPr/>
            </w:pPr>
            <w:r>
              <w:rPr/>
              <w:t> </w:t>
            </w:r>
          </w:p>
        </w:tc>
        <w:tc>
          <w:tcPr>
            <w:tcW w:w="194" w:type="dxa"/>
            <w:tcBorders/>
            <w:shd w:fill="CCFFCC" w:val="clear"/>
            <w:tcMar>
              <w:bottom w:w="0" w:type="dxa"/>
            </w:tcMar>
            <w:vAlign w:val="bottom"/>
          </w:tcPr>
          <w:p>
            <w:pPr>
              <w:pStyle w:val="TableContents"/>
              <w:spacing w:before="0" w:after="283"/>
              <w:jc w:val="left"/>
              <w:rPr/>
            </w:pPr>
            <w:r>
              <w:rPr/>
              <w:t> </w:t>
            </w:r>
          </w:p>
        </w:tc>
        <w:tc>
          <w:tcPr>
            <w:tcW w:w="1467"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11,348</w:t>
            </w:r>
          </w:p>
        </w:tc>
        <w:tc>
          <w:tcPr>
            <w:tcW w:w="230" w:type="dxa"/>
            <w:tcBorders/>
            <w:shd w:fill="CCFFCC" w:val="clear"/>
            <w:tcMar>
              <w:bottom w:w="0" w:type="dxa"/>
            </w:tcMar>
            <w:vAlign w:val="bottom"/>
          </w:tcPr>
          <w:p>
            <w:pPr>
              <w:pStyle w:val="TableContents"/>
              <w:spacing w:before="0" w:after="283"/>
              <w:jc w:val="left"/>
              <w:rPr/>
            </w:pPr>
            <w:r>
              <w:rPr/>
              <w:t> </w:t>
            </w:r>
          </w:p>
        </w:tc>
        <w:tc>
          <w:tcPr>
            <w:tcW w:w="194" w:type="dxa"/>
            <w:tcBorders/>
            <w:shd w:fill="CCFFCC" w:val="clear"/>
            <w:tcMar>
              <w:bottom w:w="0" w:type="dxa"/>
            </w:tcMar>
            <w:vAlign w:val="bottom"/>
          </w:tcPr>
          <w:p>
            <w:pPr>
              <w:pStyle w:val="TableContents"/>
              <w:spacing w:before="0" w:after="283"/>
              <w:jc w:val="left"/>
              <w:rPr/>
            </w:pPr>
            <w:r>
              <w:rPr/>
              <w:t> </w:t>
            </w:r>
          </w:p>
        </w:tc>
        <w:tc>
          <w:tcPr>
            <w:tcW w:w="146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11,497 </w:t>
            </w:r>
          </w:p>
        </w:tc>
        <w:tc>
          <w:tcPr>
            <w:tcW w:w="140" w:type="dxa"/>
            <w:tcBorders/>
            <w:shd w:fill="CCFFCC" w:val="clear"/>
            <w:tcMar>
              <w:bottom w:w="0" w:type="dxa"/>
            </w:tcMar>
            <w:vAlign w:val="bottom"/>
          </w:tcPr>
          <w:p>
            <w:pPr>
              <w:pStyle w:val="TableContents"/>
              <w:spacing w:before="0" w:after="283"/>
              <w:jc w:val="left"/>
              <w:rPr/>
            </w:pPr>
            <w:r>
              <w:rPr/>
              <w:t> </w:t>
            </w:r>
          </w:p>
        </w:tc>
      </w:tr>
      <w:tr>
        <w:trPr/>
        <w:tc>
          <w:tcPr>
            <w:tcW w:w="6319"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Selling, General and Administrative Expenses</w:t>
            </w:r>
          </w:p>
        </w:tc>
        <w:tc>
          <w:tcPr>
            <w:tcW w:w="192" w:type="dxa"/>
            <w:tcBorders>
              <w:bottom w:val="single" w:sz="4" w:space="0" w:color="FFFFFF"/>
            </w:tcBorders>
            <w:shd w:fill="FFFFFF" w:val="clear"/>
            <w:vAlign w:val="center"/>
          </w:tcPr>
          <w:p>
            <w:pPr>
              <w:pStyle w:val="TableContents"/>
              <w:spacing w:before="0" w:after="283"/>
              <w:rPr/>
            </w:pPr>
            <w:r>
              <w:rPr/>
              <w:t> </w:t>
            </w:r>
          </w:p>
        </w:tc>
        <w:tc>
          <w:tcPr>
            <w:tcW w:w="194" w:type="dxa"/>
            <w:tcBorders>
              <w:bottom w:val="single" w:sz="2" w:space="0" w:color="000000"/>
            </w:tcBorders>
            <w:shd w:fill="FFFFFF" w:val="clear"/>
            <w:vAlign w:val="bottom"/>
          </w:tcPr>
          <w:p>
            <w:pPr>
              <w:pStyle w:val="TableContents"/>
              <w:spacing w:before="0" w:after="283"/>
              <w:jc w:val="left"/>
              <w:rPr/>
            </w:pPr>
            <w:r>
              <w:rPr/>
              <w:t> </w:t>
            </w:r>
          </w:p>
        </w:tc>
        <w:tc>
          <w:tcPr>
            <w:tcW w:w="1467" w:type="dxa"/>
            <w:tcBorders>
              <w:bottom w:val="sing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(8,251</w:t>
            </w:r>
          </w:p>
        </w:tc>
        <w:tc>
          <w:tcPr>
            <w:tcW w:w="230" w:type="dxa"/>
            <w:tcBorders>
              <w:bottom w:val="single" w:sz="4"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94" w:type="dxa"/>
            <w:tcBorders>
              <w:bottom w:val="single" w:sz="2" w:space="0" w:color="000000"/>
            </w:tcBorders>
            <w:shd w:fill="FFFFFF" w:val="clear"/>
            <w:vAlign w:val="bottom"/>
          </w:tcPr>
          <w:p>
            <w:pPr>
              <w:pStyle w:val="TableContents"/>
              <w:spacing w:before="0" w:after="283"/>
              <w:jc w:val="left"/>
              <w:rPr/>
            </w:pPr>
            <w:r>
              <w:rPr/>
              <w:t> </w:t>
            </w:r>
          </w:p>
        </w:tc>
        <w:tc>
          <w:tcPr>
            <w:tcW w:w="146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(8,651</w:t>
            </w:r>
          </w:p>
        </w:tc>
        <w:tc>
          <w:tcPr>
            <w:tcW w:w="140"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6319" w:type="dxa"/>
            <w:tcBorders>
              <w:bottom w:val="single" w:sz="4"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Income from Operations</w:t>
            </w:r>
          </w:p>
        </w:tc>
        <w:tc>
          <w:tcPr>
            <w:tcW w:w="192" w:type="dxa"/>
            <w:tcBorders>
              <w:bottom w:val="single" w:sz="4" w:space="0" w:color="CCFFCC"/>
            </w:tcBorders>
            <w:shd w:fill="CCFFCC" w:val="clear"/>
            <w:vAlign w:val="center"/>
          </w:tcPr>
          <w:p>
            <w:pPr>
              <w:pStyle w:val="TableContents"/>
              <w:spacing w:before="0" w:after="283"/>
              <w:rPr/>
            </w:pPr>
            <w:r>
              <w:rPr/>
              <w:t> </w:t>
            </w:r>
          </w:p>
        </w:tc>
        <w:tc>
          <w:tcPr>
            <w:tcW w:w="194" w:type="dxa"/>
            <w:tcBorders>
              <w:bottom w:val="single" w:sz="2" w:space="0" w:color="000000"/>
            </w:tcBorders>
            <w:shd w:fill="CCFFCC" w:val="clear"/>
            <w:vAlign w:val="bottom"/>
          </w:tcPr>
          <w:p>
            <w:pPr>
              <w:pStyle w:val="TableContents"/>
              <w:spacing w:before="0" w:after="283"/>
              <w:jc w:val="left"/>
              <w:rPr/>
            </w:pPr>
            <w:r>
              <w:rPr/>
              <w:t> </w:t>
            </w:r>
          </w:p>
        </w:tc>
        <w:tc>
          <w:tcPr>
            <w:tcW w:w="1467" w:type="dxa"/>
            <w:tcBorders>
              <w:bottom w:val="single" w:sz="2" w:space="0" w:color="000000"/>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3,097</w:t>
            </w:r>
          </w:p>
        </w:tc>
        <w:tc>
          <w:tcPr>
            <w:tcW w:w="230" w:type="dxa"/>
            <w:tcBorders>
              <w:bottom w:val="single" w:sz="4" w:space="0" w:color="CCFFCC"/>
            </w:tcBorders>
            <w:shd w:fill="CCFFCC" w:val="clear"/>
            <w:vAlign w:val="bottom"/>
          </w:tcPr>
          <w:p>
            <w:pPr>
              <w:pStyle w:val="TableContents"/>
              <w:spacing w:before="0" w:after="283"/>
              <w:jc w:val="left"/>
              <w:rPr/>
            </w:pPr>
            <w:r>
              <w:rPr/>
              <w:t> </w:t>
            </w:r>
          </w:p>
        </w:tc>
        <w:tc>
          <w:tcPr>
            <w:tcW w:w="194" w:type="dxa"/>
            <w:tcBorders>
              <w:bottom w:val="single" w:sz="2" w:space="0" w:color="000000"/>
            </w:tcBorders>
            <w:shd w:fill="CCFFCC" w:val="clear"/>
            <w:vAlign w:val="bottom"/>
          </w:tcPr>
          <w:p>
            <w:pPr>
              <w:pStyle w:val="TableContents"/>
              <w:spacing w:before="0" w:after="283"/>
              <w:jc w:val="left"/>
              <w:rPr/>
            </w:pPr>
            <w:r>
              <w:rPr/>
              <w:t> </w:t>
            </w:r>
          </w:p>
        </w:tc>
        <w:tc>
          <w:tcPr>
            <w:tcW w:w="1469"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2,846 </w:t>
            </w:r>
          </w:p>
        </w:tc>
        <w:tc>
          <w:tcPr>
            <w:tcW w:w="140" w:type="dxa"/>
            <w:tcBorders>
              <w:bottom w:val="single" w:sz="4" w:space="0" w:color="CCFFCC"/>
            </w:tcBorders>
            <w:shd w:fill="CCFFCC" w:val="clear"/>
            <w:vAlign w:val="bottom"/>
          </w:tcPr>
          <w:p>
            <w:pPr>
              <w:pStyle w:val="TableContents"/>
              <w:spacing w:before="0" w:after="283"/>
              <w:jc w:val="left"/>
              <w:rPr/>
            </w:pPr>
            <w:r>
              <w:rPr/>
              <w:t> </w:t>
            </w:r>
          </w:p>
        </w:tc>
      </w:tr>
      <w:tr>
        <w:trPr/>
        <w:tc>
          <w:tcPr>
            <w:tcW w:w="6319" w:type="dxa"/>
            <w:tcBorders/>
            <w:shd w:fill="FFFFFF" w:val="clear"/>
            <w:tcMar>
              <w:bottom w:w="0" w:type="dxa"/>
            </w:tcMar>
            <w:vAlign w:val="bottom"/>
          </w:tcPr>
          <w:p>
            <w:pPr>
              <w:pStyle w:val="TableContents"/>
              <w:spacing w:before="0" w:after="283"/>
              <w:jc w:val="left"/>
              <w:rPr/>
            </w:pPr>
            <w:r>
              <w:rPr/>
              <w:t> </w:t>
            </w:r>
          </w:p>
        </w:tc>
        <w:tc>
          <w:tcPr>
            <w:tcW w:w="192" w:type="dxa"/>
            <w:tcBorders/>
            <w:shd w:fill="FFFFFF" w:val="clear"/>
            <w:tcMar>
              <w:bottom w:w="0" w:type="dxa"/>
            </w:tcMar>
            <w:vAlign w:val="center"/>
          </w:tcPr>
          <w:p>
            <w:pPr>
              <w:pStyle w:val="TableContents"/>
              <w:spacing w:before="0" w:after="283"/>
              <w:rPr/>
            </w:pPr>
            <w:r>
              <w:rPr/>
              <w:t> </w:t>
            </w:r>
          </w:p>
        </w:tc>
        <w:tc>
          <w:tcPr>
            <w:tcW w:w="194" w:type="dxa"/>
            <w:tcBorders/>
            <w:shd w:fill="FFFFFF" w:val="clear"/>
            <w:tcMar>
              <w:bottom w:w="0" w:type="dxa"/>
            </w:tcMar>
            <w:vAlign w:val="bottom"/>
          </w:tcPr>
          <w:p>
            <w:pPr>
              <w:pStyle w:val="TableContents"/>
              <w:spacing w:before="0" w:after="283"/>
              <w:jc w:val="left"/>
              <w:rPr/>
            </w:pPr>
            <w:r>
              <w:rPr/>
              <w:t> </w:t>
            </w:r>
          </w:p>
        </w:tc>
        <w:tc>
          <w:tcPr>
            <w:tcW w:w="1467" w:type="dxa"/>
            <w:tcBorders/>
            <w:shd w:fill="FFFFFF" w:val="clear"/>
            <w:tcMar>
              <w:bottom w:w="0" w:type="dxa"/>
            </w:tcMar>
            <w:vAlign w:val="bottom"/>
          </w:tcPr>
          <w:p>
            <w:pPr>
              <w:pStyle w:val="TableContents"/>
              <w:spacing w:before="0" w:after="283"/>
              <w:jc w:val="right"/>
              <w:rPr/>
            </w:pPr>
            <w:r>
              <w:rPr/>
              <w:t> </w:t>
            </w:r>
          </w:p>
        </w:tc>
        <w:tc>
          <w:tcPr>
            <w:tcW w:w="230"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bottom"/>
          </w:tcPr>
          <w:p>
            <w:pPr>
              <w:pStyle w:val="TableContents"/>
              <w:spacing w:before="0" w:after="283"/>
              <w:jc w:val="left"/>
              <w:rPr/>
            </w:pPr>
            <w:r>
              <w:rPr/>
              <w:t> </w:t>
            </w:r>
          </w:p>
        </w:tc>
        <w:tc>
          <w:tcPr>
            <w:tcW w:w="1469" w:type="dxa"/>
            <w:tcBorders/>
            <w:shd w:fill="FFFFFF" w:val="clear"/>
            <w:tcMar>
              <w:bottom w:w="0" w:type="dxa"/>
            </w:tcMar>
            <w:vAlign w:val="bottom"/>
          </w:tcPr>
          <w:p>
            <w:pPr>
              <w:pStyle w:val="TableContents"/>
              <w:spacing w:before="0" w:after="283"/>
              <w:jc w:val="right"/>
              <w:rPr/>
            </w:pPr>
            <w:r>
              <w:rPr/>
              <w:t> </w:t>
            </w:r>
          </w:p>
        </w:tc>
        <w:tc>
          <w:tcPr>
            <w:tcW w:w="140" w:type="dxa"/>
            <w:tcBorders/>
            <w:shd w:fill="FFFFFF" w:val="clear"/>
            <w:tcMar>
              <w:bottom w:w="0" w:type="dxa"/>
            </w:tcMar>
            <w:vAlign w:val="bottom"/>
          </w:tcPr>
          <w:p>
            <w:pPr>
              <w:pStyle w:val="TableContents"/>
              <w:spacing w:before="0" w:after="283"/>
              <w:jc w:val="left"/>
              <w:rPr/>
            </w:pPr>
            <w:r>
              <w:rPr/>
              <w:t> </w:t>
            </w:r>
          </w:p>
        </w:tc>
      </w:tr>
      <w:tr>
        <w:trPr/>
        <w:tc>
          <w:tcPr>
            <w:tcW w:w="6319"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Other Income (Expense)</w:t>
            </w:r>
          </w:p>
        </w:tc>
        <w:tc>
          <w:tcPr>
            <w:tcW w:w="192" w:type="dxa"/>
            <w:tcBorders/>
            <w:shd w:fill="CCFFCC" w:val="clear"/>
            <w:tcMar>
              <w:bottom w:w="0" w:type="dxa"/>
            </w:tcMar>
            <w:vAlign w:val="center"/>
          </w:tcPr>
          <w:p>
            <w:pPr>
              <w:pStyle w:val="TableContents"/>
              <w:spacing w:before="0" w:after="283"/>
              <w:rPr/>
            </w:pPr>
            <w:r>
              <w:rPr/>
              <w:t> </w:t>
            </w:r>
          </w:p>
        </w:tc>
        <w:tc>
          <w:tcPr>
            <w:tcW w:w="194" w:type="dxa"/>
            <w:tcBorders/>
            <w:shd w:fill="CCFFCC" w:val="clear"/>
            <w:tcMar>
              <w:bottom w:w="0" w:type="dxa"/>
            </w:tcMar>
            <w:vAlign w:val="bottom"/>
          </w:tcPr>
          <w:p>
            <w:pPr>
              <w:pStyle w:val="TableContents"/>
              <w:spacing w:before="0" w:after="283"/>
              <w:jc w:val="left"/>
              <w:rPr/>
            </w:pPr>
            <w:r>
              <w:rPr/>
              <w:t> </w:t>
            </w:r>
          </w:p>
        </w:tc>
        <w:tc>
          <w:tcPr>
            <w:tcW w:w="1467" w:type="dxa"/>
            <w:tcBorders/>
            <w:shd w:fill="CCFFCC" w:val="clear"/>
            <w:tcMar>
              <w:bottom w:w="0" w:type="dxa"/>
            </w:tcMar>
            <w:vAlign w:val="bottom"/>
          </w:tcPr>
          <w:p>
            <w:pPr>
              <w:pStyle w:val="TableContents"/>
              <w:spacing w:before="0" w:after="283"/>
              <w:jc w:val="right"/>
              <w:rPr/>
            </w:pPr>
            <w:r>
              <w:rPr/>
              <w:t> </w:t>
            </w:r>
          </w:p>
        </w:tc>
        <w:tc>
          <w:tcPr>
            <w:tcW w:w="230" w:type="dxa"/>
            <w:tcBorders/>
            <w:shd w:fill="CCFFCC" w:val="clear"/>
            <w:tcMar>
              <w:bottom w:w="0" w:type="dxa"/>
            </w:tcMar>
            <w:vAlign w:val="bottom"/>
          </w:tcPr>
          <w:p>
            <w:pPr>
              <w:pStyle w:val="TableContents"/>
              <w:spacing w:before="0" w:after="283"/>
              <w:jc w:val="left"/>
              <w:rPr/>
            </w:pPr>
            <w:r>
              <w:rPr/>
              <w:t> </w:t>
            </w:r>
          </w:p>
        </w:tc>
        <w:tc>
          <w:tcPr>
            <w:tcW w:w="194" w:type="dxa"/>
            <w:tcBorders/>
            <w:shd w:fill="CCFFCC" w:val="clear"/>
            <w:tcMar>
              <w:bottom w:w="0" w:type="dxa"/>
            </w:tcMar>
            <w:vAlign w:val="bottom"/>
          </w:tcPr>
          <w:p>
            <w:pPr>
              <w:pStyle w:val="TableContents"/>
              <w:spacing w:before="0" w:after="283"/>
              <w:jc w:val="left"/>
              <w:rPr/>
            </w:pPr>
            <w:r>
              <w:rPr/>
              <w:t> </w:t>
            </w:r>
          </w:p>
        </w:tc>
        <w:tc>
          <w:tcPr>
            <w:tcW w:w="1469" w:type="dxa"/>
            <w:tcBorders/>
            <w:shd w:fill="CCFFCC" w:val="clear"/>
            <w:tcMar>
              <w:bottom w:w="0" w:type="dxa"/>
            </w:tcMar>
            <w:vAlign w:val="bottom"/>
          </w:tcPr>
          <w:p>
            <w:pPr>
              <w:pStyle w:val="TableContents"/>
              <w:spacing w:before="0" w:after="283"/>
              <w:jc w:val="right"/>
              <w:rPr/>
            </w:pPr>
            <w:r>
              <w:rPr/>
              <w:t> </w:t>
            </w:r>
          </w:p>
        </w:tc>
        <w:tc>
          <w:tcPr>
            <w:tcW w:w="140" w:type="dxa"/>
            <w:tcBorders/>
            <w:shd w:fill="CCFFCC" w:val="clear"/>
            <w:tcMar>
              <w:bottom w:w="0" w:type="dxa"/>
            </w:tcMar>
            <w:vAlign w:val="bottom"/>
          </w:tcPr>
          <w:p>
            <w:pPr>
              <w:pStyle w:val="TableContents"/>
              <w:spacing w:before="0" w:after="283"/>
              <w:jc w:val="left"/>
              <w:rPr/>
            </w:pPr>
            <w:r>
              <w:rPr/>
              <w:t> </w:t>
            </w:r>
          </w:p>
        </w:tc>
      </w:tr>
      <w:tr>
        <w:trPr/>
        <w:tc>
          <w:tcPr>
            <w:tcW w:w="6319"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Interest expense</w:t>
            </w:r>
          </w:p>
        </w:tc>
        <w:tc>
          <w:tcPr>
            <w:tcW w:w="192" w:type="dxa"/>
            <w:tcBorders/>
            <w:shd w:fill="FFFFFF" w:val="clear"/>
            <w:tcMar>
              <w:bottom w:w="0" w:type="dxa"/>
            </w:tcMar>
            <w:vAlign w:val="center"/>
          </w:tcPr>
          <w:p>
            <w:pPr>
              <w:pStyle w:val="TableContents"/>
              <w:spacing w:before="0" w:after="283"/>
              <w:rPr/>
            </w:pPr>
            <w:r>
              <w:rPr/>
              <w:t> </w:t>
            </w:r>
          </w:p>
        </w:tc>
        <w:tc>
          <w:tcPr>
            <w:tcW w:w="194" w:type="dxa"/>
            <w:tcBorders/>
            <w:shd w:fill="FFFFFF" w:val="clear"/>
            <w:tcMar>
              <w:bottom w:w="0" w:type="dxa"/>
            </w:tcMar>
            <w:vAlign w:val="bottom"/>
          </w:tcPr>
          <w:p>
            <w:pPr>
              <w:pStyle w:val="TableContents"/>
              <w:spacing w:before="0" w:after="283"/>
              <w:jc w:val="left"/>
              <w:rPr/>
            </w:pPr>
            <w:r>
              <w:rPr/>
              <w:t> </w:t>
            </w:r>
          </w:p>
        </w:tc>
        <w:tc>
          <w:tcPr>
            <w:tcW w:w="1467"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(570</w:t>
            </w:r>
          </w:p>
        </w:tc>
        <w:tc>
          <w:tcPr>
            <w:tcW w:w="230"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94" w:type="dxa"/>
            <w:tcBorders/>
            <w:shd w:fill="FFFFFF" w:val="clear"/>
            <w:tcMar>
              <w:bottom w:w="0" w:type="dxa"/>
            </w:tcMar>
            <w:vAlign w:val="bottom"/>
          </w:tcPr>
          <w:p>
            <w:pPr>
              <w:pStyle w:val="TableContents"/>
              <w:spacing w:before="0" w:after="283"/>
              <w:jc w:val="left"/>
              <w:rPr/>
            </w:pPr>
            <w:r>
              <w:rPr/>
              <w:t> </w:t>
            </w:r>
          </w:p>
        </w:tc>
        <w:tc>
          <w:tcPr>
            <w:tcW w:w="146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(641</w:t>
            </w:r>
          </w:p>
        </w:tc>
        <w:tc>
          <w:tcPr>
            <w:tcW w:w="140"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6319"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Interest income</w:t>
            </w:r>
          </w:p>
        </w:tc>
        <w:tc>
          <w:tcPr>
            <w:tcW w:w="192" w:type="dxa"/>
            <w:tcBorders/>
            <w:shd w:fill="CCFFCC" w:val="clear"/>
            <w:tcMar>
              <w:bottom w:w="0" w:type="dxa"/>
            </w:tcMar>
            <w:vAlign w:val="center"/>
          </w:tcPr>
          <w:p>
            <w:pPr>
              <w:pStyle w:val="TableContents"/>
              <w:spacing w:before="0" w:after="283"/>
              <w:rPr/>
            </w:pPr>
            <w:r>
              <w:rPr/>
              <w:t> </w:t>
            </w:r>
          </w:p>
        </w:tc>
        <w:tc>
          <w:tcPr>
            <w:tcW w:w="194" w:type="dxa"/>
            <w:tcBorders/>
            <w:shd w:fill="CCFFCC" w:val="clear"/>
            <w:tcMar>
              <w:bottom w:w="0" w:type="dxa"/>
            </w:tcMar>
            <w:vAlign w:val="bottom"/>
          </w:tcPr>
          <w:p>
            <w:pPr>
              <w:pStyle w:val="TableContents"/>
              <w:spacing w:before="0" w:after="283"/>
              <w:jc w:val="left"/>
              <w:rPr/>
            </w:pPr>
            <w:r>
              <w:rPr/>
              <w:t> </w:t>
            </w:r>
          </w:p>
        </w:tc>
        <w:tc>
          <w:tcPr>
            <w:tcW w:w="1467"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284</w:t>
            </w:r>
          </w:p>
        </w:tc>
        <w:tc>
          <w:tcPr>
            <w:tcW w:w="230" w:type="dxa"/>
            <w:tcBorders/>
            <w:shd w:fill="CCFFCC" w:val="clear"/>
            <w:tcMar>
              <w:bottom w:w="0" w:type="dxa"/>
            </w:tcMar>
            <w:vAlign w:val="bottom"/>
          </w:tcPr>
          <w:p>
            <w:pPr>
              <w:pStyle w:val="TableContents"/>
              <w:spacing w:before="0" w:after="283"/>
              <w:jc w:val="left"/>
              <w:rPr/>
            </w:pPr>
            <w:r>
              <w:rPr/>
              <w:t> </w:t>
            </w:r>
          </w:p>
        </w:tc>
        <w:tc>
          <w:tcPr>
            <w:tcW w:w="194" w:type="dxa"/>
            <w:tcBorders/>
            <w:shd w:fill="CCFFCC" w:val="clear"/>
            <w:tcMar>
              <w:bottom w:w="0" w:type="dxa"/>
            </w:tcMar>
            <w:vAlign w:val="bottom"/>
          </w:tcPr>
          <w:p>
            <w:pPr>
              <w:pStyle w:val="TableContents"/>
              <w:spacing w:before="0" w:after="283"/>
              <w:jc w:val="left"/>
              <w:rPr/>
            </w:pPr>
            <w:r>
              <w:rPr/>
              <w:t> </w:t>
            </w:r>
          </w:p>
        </w:tc>
        <w:tc>
          <w:tcPr>
            <w:tcW w:w="146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353</w:t>
            </w:r>
          </w:p>
        </w:tc>
        <w:tc>
          <w:tcPr>
            <w:tcW w:w="140" w:type="dxa"/>
            <w:tcBorders/>
            <w:shd w:fill="CCFFCC" w:val="clear"/>
            <w:tcMar>
              <w:bottom w:w="0" w:type="dxa"/>
            </w:tcMar>
            <w:vAlign w:val="bottom"/>
          </w:tcPr>
          <w:p>
            <w:pPr>
              <w:pStyle w:val="TableContents"/>
              <w:spacing w:before="0" w:after="283"/>
              <w:jc w:val="left"/>
              <w:rPr/>
            </w:pPr>
            <w:r>
              <w:rPr/>
              <w:t> </w:t>
            </w:r>
          </w:p>
        </w:tc>
      </w:tr>
      <w:tr>
        <w:trPr/>
        <w:tc>
          <w:tcPr>
            <w:tcW w:w="6319" w:type="dxa"/>
            <w:tcBorders>
              <w:bottom w:val="single" w:sz="4" w:space="0" w:color="FFFFFF"/>
            </w:tcBorders>
            <w:shd w:fill="FFFFFF" w:val="cle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Other, net</w:t>
            </w:r>
          </w:p>
        </w:tc>
        <w:tc>
          <w:tcPr>
            <w:tcW w:w="192" w:type="dxa"/>
            <w:tcBorders>
              <w:bottom w:val="single" w:sz="4" w:space="0" w:color="FFFFFF"/>
            </w:tcBorders>
            <w:shd w:fill="FFFFFF" w:val="clear"/>
            <w:vAlign w:val="center"/>
          </w:tcPr>
          <w:p>
            <w:pPr>
              <w:pStyle w:val="TableContents"/>
              <w:spacing w:before="0" w:after="283"/>
              <w:rPr/>
            </w:pPr>
            <w:r>
              <w:rPr/>
              <w:t> </w:t>
            </w:r>
          </w:p>
        </w:tc>
        <w:tc>
          <w:tcPr>
            <w:tcW w:w="194" w:type="dxa"/>
            <w:tcBorders>
              <w:bottom w:val="single" w:sz="2" w:space="0" w:color="000000"/>
            </w:tcBorders>
            <w:shd w:fill="FFFFFF" w:val="clear"/>
            <w:vAlign w:val="bottom"/>
          </w:tcPr>
          <w:p>
            <w:pPr>
              <w:pStyle w:val="TableContents"/>
              <w:spacing w:before="0" w:after="283"/>
              <w:jc w:val="left"/>
              <w:rPr/>
            </w:pPr>
            <w:r>
              <w:rPr/>
              <w:t> </w:t>
            </w:r>
          </w:p>
        </w:tc>
        <w:tc>
          <w:tcPr>
            <w:tcW w:w="1467" w:type="dxa"/>
            <w:tcBorders>
              <w:bottom w:val="sing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71</w:t>
            </w:r>
          </w:p>
        </w:tc>
        <w:tc>
          <w:tcPr>
            <w:tcW w:w="230" w:type="dxa"/>
            <w:tcBorders>
              <w:bottom w:val="single" w:sz="4" w:space="0" w:color="FFFFFF"/>
            </w:tcBorders>
            <w:shd w:fill="FFFFFF" w:val="clear"/>
            <w:vAlign w:val="bottom"/>
          </w:tcPr>
          <w:p>
            <w:pPr>
              <w:pStyle w:val="TableContents"/>
              <w:spacing w:before="0" w:after="283"/>
              <w:jc w:val="left"/>
              <w:rPr/>
            </w:pPr>
            <w:r>
              <w:rPr/>
              <w:t> </w:t>
            </w:r>
          </w:p>
        </w:tc>
        <w:tc>
          <w:tcPr>
            <w:tcW w:w="194" w:type="dxa"/>
            <w:tcBorders>
              <w:bottom w:val="single" w:sz="2" w:space="0" w:color="000000"/>
            </w:tcBorders>
            <w:shd w:fill="FFFFFF" w:val="clear"/>
            <w:vAlign w:val="bottom"/>
          </w:tcPr>
          <w:p>
            <w:pPr>
              <w:pStyle w:val="TableContents"/>
              <w:spacing w:before="0" w:after="283"/>
              <w:jc w:val="left"/>
              <w:rPr/>
            </w:pPr>
            <w:r>
              <w:rPr/>
              <w:t> </w:t>
            </w:r>
          </w:p>
        </w:tc>
        <w:tc>
          <w:tcPr>
            <w:tcW w:w="146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122</w:t>
            </w:r>
          </w:p>
        </w:tc>
        <w:tc>
          <w:tcPr>
            <w:tcW w:w="140" w:type="dxa"/>
            <w:tcBorders>
              <w:bottom w:val="single" w:sz="4" w:space="0" w:color="FFFFFF"/>
            </w:tcBorders>
            <w:shd w:fill="FFFFFF" w:val="clear"/>
            <w:vAlign w:val="bottom"/>
          </w:tcPr>
          <w:p>
            <w:pPr>
              <w:pStyle w:val="TableContents"/>
              <w:spacing w:before="0" w:after="283"/>
              <w:jc w:val="left"/>
              <w:rPr/>
            </w:pPr>
            <w:r>
              <w:rPr/>
              <w:t> </w:t>
            </w:r>
          </w:p>
        </w:tc>
      </w:tr>
      <w:tr>
        <w:trPr/>
        <w:tc>
          <w:tcPr>
            <w:tcW w:w="6319" w:type="dxa"/>
            <w:tcBorders>
              <w:bottom w:val="single" w:sz="4" w:space="0" w:color="CCFFCC"/>
            </w:tcBorders>
            <w:shd w:fill="CCFFCC" w:val="clear"/>
            <w:vAlign w:val="bottom"/>
          </w:tcPr>
          <w:p>
            <w:pPr>
              <w:pStyle w:val="TableContents"/>
              <w:spacing w:lineRule="auto" w:line="300" w:before="0" w:after="0"/>
              <w:ind w:left="360" w:right="0" w:hanging="0"/>
              <w:jc w:val="left"/>
              <w:rPr/>
            </w:pPr>
            <w:r>
              <w:rPr>
                <w:rStyle w:val="StrongEmphasis"/>
                <w:rFonts w:ascii="Times New Roman" w:hAnsi="Times New Roman"/>
                <w:sz w:val="20"/>
              </w:rPr>
              <w:t>Total Other Income (Expense), Net</w:t>
            </w:r>
          </w:p>
        </w:tc>
        <w:tc>
          <w:tcPr>
            <w:tcW w:w="192" w:type="dxa"/>
            <w:tcBorders>
              <w:bottom w:val="single" w:sz="4" w:space="0" w:color="CCFFCC"/>
            </w:tcBorders>
            <w:shd w:fill="CCFFCC" w:val="clear"/>
            <w:vAlign w:val="center"/>
          </w:tcPr>
          <w:p>
            <w:pPr>
              <w:pStyle w:val="TableContents"/>
              <w:spacing w:before="0" w:after="283"/>
              <w:rPr/>
            </w:pPr>
            <w:r>
              <w:rPr/>
              <w:t> </w:t>
            </w:r>
          </w:p>
        </w:tc>
        <w:tc>
          <w:tcPr>
            <w:tcW w:w="194" w:type="dxa"/>
            <w:tcBorders>
              <w:bottom w:val="single" w:sz="2" w:space="0" w:color="000000"/>
            </w:tcBorders>
            <w:shd w:fill="CCFFCC" w:val="clear"/>
            <w:vAlign w:val="bottom"/>
          </w:tcPr>
          <w:p>
            <w:pPr>
              <w:pStyle w:val="TableContents"/>
              <w:spacing w:before="0" w:after="283"/>
              <w:jc w:val="left"/>
              <w:rPr/>
            </w:pPr>
            <w:r>
              <w:rPr/>
              <w:t> </w:t>
            </w:r>
          </w:p>
        </w:tc>
        <w:tc>
          <w:tcPr>
            <w:tcW w:w="1467" w:type="dxa"/>
            <w:tcBorders>
              <w:bottom w:val="single" w:sz="2" w:space="0" w:color="000000"/>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(215</w:t>
            </w:r>
          </w:p>
        </w:tc>
        <w:tc>
          <w:tcPr>
            <w:tcW w:w="230" w:type="dxa"/>
            <w:tcBorders>
              <w:bottom w:val="single" w:sz="4"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94" w:type="dxa"/>
            <w:tcBorders>
              <w:bottom w:val="single" w:sz="2" w:space="0" w:color="000000"/>
            </w:tcBorders>
            <w:shd w:fill="CCFFCC" w:val="clear"/>
            <w:vAlign w:val="bottom"/>
          </w:tcPr>
          <w:p>
            <w:pPr>
              <w:pStyle w:val="TableContents"/>
              <w:spacing w:before="0" w:after="283"/>
              <w:jc w:val="left"/>
              <w:rPr/>
            </w:pPr>
            <w:r>
              <w:rPr/>
              <w:t> </w:t>
            </w:r>
          </w:p>
        </w:tc>
        <w:tc>
          <w:tcPr>
            <w:tcW w:w="1469"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(166</w:t>
            </w:r>
          </w:p>
        </w:tc>
        <w:tc>
          <w:tcPr>
            <w:tcW w:w="140"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6319" w:type="dxa"/>
            <w:tcBorders/>
            <w:shd w:fill="FFFFFF" w:val="clear"/>
            <w:tcMar>
              <w:bottom w:w="0" w:type="dxa"/>
            </w:tcMar>
            <w:vAlign w:val="bottom"/>
          </w:tcPr>
          <w:p>
            <w:pPr>
              <w:pStyle w:val="TableContents"/>
              <w:spacing w:before="0" w:after="283"/>
              <w:jc w:val="left"/>
              <w:rPr/>
            </w:pPr>
            <w:r>
              <w:rPr/>
              <w:t> </w:t>
            </w:r>
          </w:p>
        </w:tc>
        <w:tc>
          <w:tcPr>
            <w:tcW w:w="192" w:type="dxa"/>
            <w:tcBorders/>
            <w:shd w:fill="FFFFFF" w:val="clear"/>
            <w:tcMar>
              <w:bottom w:w="0" w:type="dxa"/>
            </w:tcMar>
            <w:vAlign w:val="center"/>
          </w:tcPr>
          <w:p>
            <w:pPr>
              <w:pStyle w:val="TableContents"/>
              <w:spacing w:before="0" w:after="283"/>
              <w:rPr/>
            </w:pPr>
            <w:r>
              <w:rPr/>
              <w:t> </w:t>
            </w:r>
          </w:p>
        </w:tc>
        <w:tc>
          <w:tcPr>
            <w:tcW w:w="194" w:type="dxa"/>
            <w:tcBorders/>
            <w:shd w:fill="FFFFFF" w:val="clear"/>
            <w:tcMar>
              <w:bottom w:w="0" w:type="dxa"/>
            </w:tcMar>
            <w:vAlign w:val="bottom"/>
          </w:tcPr>
          <w:p>
            <w:pPr>
              <w:pStyle w:val="TableContents"/>
              <w:spacing w:before="0" w:after="283"/>
              <w:jc w:val="left"/>
              <w:rPr/>
            </w:pPr>
            <w:r>
              <w:rPr/>
              <w:t> </w:t>
            </w:r>
          </w:p>
        </w:tc>
        <w:tc>
          <w:tcPr>
            <w:tcW w:w="1467" w:type="dxa"/>
            <w:tcBorders/>
            <w:shd w:fill="FFFFFF" w:val="clear"/>
            <w:tcMar>
              <w:bottom w:w="0" w:type="dxa"/>
            </w:tcMar>
            <w:vAlign w:val="bottom"/>
          </w:tcPr>
          <w:p>
            <w:pPr>
              <w:pStyle w:val="TableContents"/>
              <w:spacing w:before="0" w:after="283"/>
              <w:jc w:val="right"/>
              <w:rPr/>
            </w:pPr>
            <w:r>
              <w:rPr/>
              <w:t> </w:t>
            </w:r>
          </w:p>
        </w:tc>
        <w:tc>
          <w:tcPr>
            <w:tcW w:w="230"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bottom"/>
          </w:tcPr>
          <w:p>
            <w:pPr>
              <w:pStyle w:val="TableContents"/>
              <w:spacing w:before="0" w:after="283"/>
              <w:jc w:val="left"/>
              <w:rPr/>
            </w:pPr>
            <w:r>
              <w:rPr/>
              <w:t> </w:t>
            </w:r>
          </w:p>
        </w:tc>
        <w:tc>
          <w:tcPr>
            <w:tcW w:w="1469" w:type="dxa"/>
            <w:tcBorders/>
            <w:shd w:fill="FFFFFF" w:val="clear"/>
            <w:tcMar>
              <w:bottom w:w="0" w:type="dxa"/>
            </w:tcMar>
            <w:vAlign w:val="bottom"/>
          </w:tcPr>
          <w:p>
            <w:pPr>
              <w:pStyle w:val="TableContents"/>
              <w:spacing w:before="0" w:after="283"/>
              <w:jc w:val="right"/>
              <w:rPr/>
            </w:pPr>
            <w:r>
              <w:rPr/>
              <w:t> </w:t>
            </w:r>
          </w:p>
        </w:tc>
        <w:tc>
          <w:tcPr>
            <w:tcW w:w="140" w:type="dxa"/>
            <w:tcBorders/>
            <w:shd w:fill="FFFFFF" w:val="clear"/>
            <w:tcMar>
              <w:bottom w:w="0" w:type="dxa"/>
            </w:tcMar>
            <w:vAlign w:val="bottom"/>
          </w:tcPr>
          <w:p>
            <w:pPr>
              <w:pStyle w:val="TableContents"/>
              <w:spacing w:before="0" w:after="283"/>
              <w:jc w:val="left"/>
              <w:rPr/>
            </w:pPr>
            <w:r>
              <w:rPr/>
              <w:t> </w:t>
            </w:r>
          </w:p>
        </w:tc>
      </w:tr>
      <w:tr>
        <w:trPr/>
        <w:tc>
          <w:tcPr>
            <w:tcW w:w="6319"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Income Before Income Taxes </w:t>
            </w:r>
          </w:p>
        </w:tc>
        <w:tc>
          <w:tcPr>
            <w:tcW w:w="192" w:type="dxa"/>
            <w:tcBorders/>
            <w:shd w:fill="CCFFCC" w:val="clear"/>
            <w:tcMar>
              <w:bottom w:w="0" w:type="dxa"/>
            </w:tcMar>
            <w:vAlign w:val="center"/>
          </w:tcPr>
          <w:p>
            <w:pPr>
              <w:pStyle w:val="TableContents"/>
              <w:spacing w:before="0" w:after="283"/>
              <w:rPr/>
            </w:pPr>
            <w:r>
              <w:rPr/>
              <w:t> </w:t>
            </w:r>
          </w:p>
        </w:tc>
        <w:tc>
          <w:tcPr>
            <w:tcW w:w="194" w:type="dxa"/>
            <w:tcBorders/>
            <w:shd w:fill="CCFFCC" w:val="clear"/>
            <w:tcMar>
              <w:bottom w:w="0" w:type="dxa"/>
            </w:tcMar>
            <w:vAlign w:val="bottom"/>
          </w:tcPr>
          <w:p>
            <w:pPr>
              <w:pStyle w:val="TableContents"/>
              <w:spacing w:before="0" w:after="283"/>
              <w:jc w:val="left"/>
              <w:rPr/>
            </w:pPr>
            <w:r>
              <w:rPr/>
              <w:t> </w:t>
            </w:r>
          </w:p>
        </w:tc>
        <w:tc>
          <w:tcPr>
            <w:tcW w:w="1467"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2,882</w:t>
            </w:r>
          </w:p>
        </w:tc>
        <w:tc>
          <w:tcPr>
            <w:tcW w:w="230" w:type="dxa"/>
            <w:tcBorders/>
            <w:shd w:fill="CCFFCC" w:val="clear"/>
            <w:tcMar>
              <w:bottom w:w="0" w:type="dxa"/>
            </w:tcMar>
            <w:vAlign w:val="bottom"/>
          </w:tcPr>
          <w:p>
            <w:pPr>
              <w:pStyle w:val="TableContents"/>
              <w:spacing w:before="0" w:after="283"/>
              <w:jc w:val="left"/>
              <w:rPr/>
            </w:pPr>
            <w:r>
              <w:rPr/>
              <w:t> </w:t>
            </w:r>
          </w:p>
        </w:tc>
        <w:tc>
          <w:tcPr>
            <w:tcW w:w="194" w:type="dxa"/>
            <w:tcBorders/>
            <w:shd w:fill="CCFFCC" w:val="clear"/>
            <w:tcMar>
              <w:bottom w:w="0" w:type="dxa"/>
            </w:tcMar>
            <w:vAlign w:val="bottom"/>
          </w:tcPr>
          <w:p>
            <w:pPr>
              <w:pStyle w:val="TableContents"/>
              <w:spacing w:before="0" w:after="283"/>
              <w:jc w:val="left"/>
              <w:rPr/>
            </w:pPr>
            <w:r>
              <w:rPr/>
              <w:t> </w:t>
            </w:r>
          </w:p>
        </w:tc>
        <w:tc>
          <w:tcPr>
            <w:tcW w:w="146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2,680 </w:t>
            </w:r>
          </w:p>
        </w:tc>
        <w:tc>
          <w:tcPr>
            <w:tcW w:w="140" w:type="dxa"/>
            <w:tcBorders/>
            <w:shd w:fill="CCFFCC" w:val="clear"/>
            <w:tcMar>
              <w:bottom w:w="0" w:type="dxa"/>
            </w:tcMar>
            <w:vAlign w:val="bottom"/>
          </w:tcPr>
          <w:p>
            <w:pPr>
              <w:pStyle w:val="TableContents"/>
              <w:spacing w:before="0" w:after="283"/>
              <w:jc w:val="left"/>
              <w:rPr/>
            </w:pPr>
            <w:r>
              <w:rPr/>
              <w:t> </w:t>
            </w:r>
          </w:p>
        </w:tc>
      </w:tr>
      <w:tr>
        <w:trPr/>
        <w:tc>
          <w:tcPr>
            <w:tcW w:w="6319"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Income taxes</w:t>
            </w:r>
          </w:p>
        </w:tc>
        <w:tc>
          <w:tcPr>
            <w:tcW w:w="192" w:type="dxa"/>
            <w:tcBorders>
              <w:bottom w:val="single" w:sz="4" w:space="0" w:color="FFFFFF"/>
            </w:tcBorders>
            <w:shd w:fill="FFFFFF" w:val="clear"/>
            <w:vAlign w:val="center"/>
          </w:tcPr>
          <w:p>
            <w:pPr>
              <w:pStyle w:val="TableContents"/>
              <w:spacing w:before="0" w:after="283"/>
              <w:rPr/>
            </w:pPr>
            <w:r>
              <w:rPr/>
              <w:t> </w:t>
            </w:r>
          </w:p>
        </w:tc>
        <w:tc>
          <w:tcPr>
            <w:tcW w:w="194" w:type="dxa"/>
            <w:tcBorders>
              <w:bottom w:val="single" w:sz="2" w:space="0" w:color="000000"/>
            </w:tcBorders>
            <w:shd w:fill="FFFFFF" w:val="clear"/>
            <w:vAlign w:val="bottom"/>
          </w:tcPr>
          <w:p>
            <w:pPr>
              <w:pStyle w:val="TableContents"/>
              <w:spacing w:before="0" w:after="283"/>
              <w:jc w:val="left"/>
              <w:rPr/>
            </w:pPr>
            <w:r>
              <w:rPr/>
              <w:t> </w:t>
            </w:r>
          </w:p>
        </w:tc>
        <w:tc>
          <w:tcPr>
            <w:tcW w:w="1467" w:type="dxa"/>
            <w:tcBorders>
              <w:bottom w:val="sing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(793</w:t>
            </w:r>
          </w:p>
        </w:tc>
        <w:tc>
          <w:tcPr>
            <w:tcW w:w="230" w:type="dxa"/>
            <w:tcBorders>
              <w:bottom w:val="single" w:sz="4"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94" w:type="dxa"/>
            <w:tcBorders>
              <w:bottom w:val="single" w:sz="2" w:space="0" w:color="000000"/>
            </w:tcBorders>
            <w:shd w:fill="FFFFFF" w:val="clear"/>
            <w:vAlign w:val="bottom"/>
          </w:tcPr>
          <w:p>
            <w:pPr>
              <w:pStyle w:val="TableContents"/>
              <w:spacing w:before="0" w:after="283"/>
              <w:jc w:val="left"/>
              <w:rPr/>
            </w:pPr>
            <w:r>
              <w:rPr/>
              <w:t> </w:t>
            </w:r>
          </w:p>
        </w:tc>
        <w:tc>
          <w:tcPr>
            <w:tcW w:w="146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(717</w:t>
            </w:r>
          </w:p>
        </w:tc>
        <w:tc>
          <w:tcPr>
            <w:tcW w:w="140"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6319" w:type="dxa"/>
            <w:tcBorders>
              <w:bottom w:val="single" w:sz="4"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Net Income </w:t>
            </w:r>
          </w:p>
        </w:tc>
        <w:tc>
          <w:tcPr>
            <w:tcW w:w="192" w:type="dxa"/>
            <w:tcBorders>
              <w:bottom w:val="single" w:sz="4" w:space="0" w:color="CCFFCC"/>
            </w:tcBorders>
            <w:shd w:fill="CCFFCC" w:val="clear"/>
            <w:vAlign w:val="center"/>
          </w:tcPr>
          <w:p>
            <w:pPr>
              <w:pStyle w:val="TableContents"/>
              <w:spacing w:before="0" w:after="283"/>
              <w:rPr/>
            </w:pPr>
            <w:r>
              <w:rPr/>
              <w:t> </w:t>
            </w:r>
          </w:p>
        </w:tc>
        <w:tc>
          <w:tcPr>
            <w:tcW w:w="194" w:type="dxa"/>
            <w:tcBorders>
              <w:bottom w:val="double" w:sz="2" w:space="0" w:color="000000"/>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467" w:type="dxa"/>
            <w:tcBorders>
              <w:bottom w:val="double" w:sz="2" w:space="0" w:color="000000"/>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2,089</w:t>
            </w:r>
          </w:p>
        </w:tc>
        <w:tc>
          <w:tcPr>
            <w:tcW w:w="230" w:type="dxa"/>
            <w:tcBorders>
              <w:bottom w:val="single" w:sz="4" w:space="0" w:color="CCFFCC"/>
            </w:tcBorders>
            <w:shd w:fill="CCFFCC" w:val="clear"/>
            <w:vAlign w:val="bottom"/>
          </w:tcPr>
          <w:p>
            <w:pPr>
              <w:pStyle w:val="TableContents"/>
              <w:spacing w:before="0" w:after="283"/>
              <w:jc w:val="left"/>
              <w:rPr/>
            </w:pPr>
            <w:r>
              <w:rPr/>
              <w:t> </w:t>
            </w:r>
          </w:p>
        </w:tc>
        <w:tc>
          <w:tcPr>
            <w:tcW w:w="194"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469"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1,963</w:t>
            </w:r>
          </w:p>
        </w:tc>
        <w:tc>
          <w:tcPr>
            <w:tcW w:w="140" w:type="dxa"/>
            <w:tcBorders>
              <w:bottom w:val="single" w:sz="4" w:space="0" w:color="CCFFCC"/>
            </w:tcBorders>
            <w:shd w:fill="CCFFCC" w:val="clear"/>
            <w:vAlign w:val="bottom"/>
          </w:tcPr>
          <w:p>
            <w:pPr>
              <w:pStyle w:val="TableContents"/>
              <w:spacing w:before="0" w:after="283"/>
              <w:jc w:val="left"/>
              <w:rPr/>
            </w:pPr>
            <w:r>
              <w:rPr/>
              <w:t> </w:t>
            </w:r>
          </w:p>
        </w:tc>
      </w:tr>
      <w:tr>
        <w:trPr/>
        <w:tc>
          <w:tcPr>
            <w:tcW w:w="6319" w:type="dxa"/>
            <w:tcBorders/>
            <w:shd w:fill="FFFFFF" w:val="clear"/>
            <w:tcMar>
              <w:bottom w:w="0" w:type="dxa"/>
            </w:tcMar>
            <w:vAlign w:val="bottom"/>
          </w:tcPr>
          <w:p>
            <w:pPr>
              <w:pStyle w:val="TableContents"/>
              <w:spacing w:before="0" w:after="283"/>
              <w:jc w:val="left"/>
              <w:rPr/>
            </w:pPr>
            <w:r>
              <w:rPr/>
              <w:t> </w:t>
            </w:r>
          </w:p>
        </w:tc>
        <w:tc>
          <w:tcPr>
            <w:tcW w:w="192" w:type="dxa"/>
            <w:tcBorders/>
            <w:shd w:fill="FFFFFF" w:val="clear"/>
            <w:tcMar>
              <w:bottom w:w="0" w:type="dxa"/>
            </w:tcMar>
            <w:vAlign w:val="center"/>
          </w:tcPr>
          <w:p>
            <w:pPr>
              <w:pStyle w:val="TableContents"/>
              <w:spacing w:before="0" w:after="283"/>
              <w:rPr/>
            </w:pPr>
            <w:r>
              <w:rPr/>
              <w:t> </w:t>
            </w:r>
          </w:p>
        </w:tc>
        <w:tc>
          <w:tcPr>
            <w:tcW w:w="194" w:type="dxa"/>
            <w:tcBorders/>
            <w:shd w:fill="FFFFFF" w:val="clear"/>
            <w:tcMar>
              <w:bottom w:w="0" w:type="dxa"/>
            </w:tcMar>
            <w:vAlign w:val="bottom"/>
          </w:tcPr>
          <w:p>
            <w:pPr>
              <w:pStyle w:val="TableContents"/>
              <w:spacing w:before="0" w:after="283"/>
              <w:jc w:val="left"/>
              <w:rPr/>
            </w:pPr>
            <w:r>
              <w:rPr/>
              <w:t> </w:t>
            </w:r>
          </w:p>
        </w:tc>
        <w:tc>
          <w:tcPr>
            <w:tcW w:w="1467" w:type="dxa"/>
            <w:tcBorders/>
            <w:shd w:fill="FFFFFF" w:val="clear"/>
            <w:tcMar>
              <w:bottom w:w="0" w:type="dxa"/>
            </w:tcMar>
            <w:vAlign w:val="bottom"/>
          </w:tcPr>
          <w:p>
            <w:pPr>
              <w:pStyle w:val="TableContents"/>
              <w:spacing w:before="0" w:after="283"/>
              <w:jc w:val="right"/>
              <w:rPr/>
            </w:pPr>
            <w:r>
              <w:rPr/>
              <w:t> </w:t>
            </w:r>
          </w:p>
        </w:tc>
        <w:tc>
          <w:tcPr>
            <w:tcW w:w="230"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bottom"/>
          </w:tcPr>
          <w:p>
            <w:pPr>
              <w:pStyle w:val="TableContents"/>
              <w:spacing w:before="0" w:after="283"/>
              <w:jc w:val="left"/>
              <w:rPr/>
            </w:pPr>
            <w:r>
              <w:rPr/>
              <w:t> </w:t>
            </w:r>
          </w:p>
        </w:tc>
        <w:tc>
          <w:tcPr>
            <w:tcW w:w="1469" w:type="dxa"/>
            <w:tcBorders/>
            <w:shd w:fill="FFFFFF" w:val="clear"/>
            <w:tcMar>
              <w:bottom w:w="0" w:type="dxa"/>
            </w:tcMar>
            <w:vAlign w:val="bottom"/>
          </w:tcPr>
          <w:p>
            <w:pPr>
              <w:pStyle w:val="TableContents"/>
              <w:spacing w:before="0" w:after="283"/>
              <w:jc w:val="right"/>
              <w:rPr/>
            </w:pPr>
            <w:r>
              <w:rPr/>
              <w:t> </w:t>
            </w:r>
          </w:p>
        </w:tc>
        <w:tc>
          <w:tcPr>
            <w:tcW w:w="140" w:type="dxa"/>
            <w:tcBorders/>
            <w:shd w:fill="FFFFFF" w:val="clear"/>
            <w:tcMar>
              <w:bottom w:w="0" w:type="dxa"/>
            </w:tcMar>
            <w:vAlign w:val="bottom"/>
          </w:tcPr>
          <w:p>
            <w:pPr>
              <w:pStyle w:val="TableContents"/>
              <w:spacing w:before="0" w:after="283"/>
              <w:jc w:val="left"/>
              <w:rPr/>
            </w:pPr>
            <w:r>
              <w:rPr/>
              <w:t> </w:t>
            </w:r>
          </w:p>
        </w:tc>
      </w:tr>
      <w:tr>
        <w:trPr/>
        <w:tc>
          <w:tcPr>
            <w:tcW w:w="6319"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Net Income Per Share </w:t>
            </w:r>
          </w:p>
        </w:tc>
        <w:tc>
          <w:tcPr>
            <w:tcW w:w="192" w:type="dxa"/>
            <w:tcBorders/>
            <w:shd w:fill="CCFFCC" w:val="clear"/>
            <w:tcMar>
              <w:bottom w:w="0" w:type="dxa"/>
            </w:tcMar>
            <w:vAlign w:val="center"/>
          </w:tcPr>
          <w:p>
            <w:pPr>
              <w:pStyle w:val="TableContents"/>
              <w:spacing w:before="0" w:after="283"/>
              <w:rPr/>
            </w:pPr>
            <w:r>
              <w:rPr/>
              <w:t> </w:t>
            </w:r>
          </w:p>
        </w:tc>
        <w:tc>
          <w:tcPr>
            <w:tcW w:w="194" w:type="dxa"/>
            <w:tcBorders/>
            <w:shd w:fill="CCFFCC" w:val="clear"/>
            <w:tcMar>
              <w:bottom w:w="0" w:type="dxa"/>
            </w:tcMar>
            <w:vAlign w:val="bottom"/>
          </w:tcPr>
          <w:p>
            <w:pPr>
              <w:pStyle w:val="TableContents"/>
              <w:spacing w:before="0" w:after="283"/>
              <w:jc w:val="left"/>
              <w:rPr/>
            </w:pPr>
            <w:r>
              <w:rPr/>
              <w:t> </w:t>
            </w:r>
          </w:p>
        </w:tc>
        <w:tc>
          <w:tcPr>
            <w:tcW w:w="1467" w:type="dxa"/>
            <w:tcBorders/>
            <w:shd w:fill="CCFFCC" w:val="clear"/>
            <w:tcMar>
              <w:bottom w:w="0" w:type="dxa"/>
            </w:tcMar>
            <w:vAlign w:val="bottom"/>
          </w:tcPr>
          <w:p>
            <w:pPr>
              <w:pStyle w:val="TableContents"/>
              <w:spacing w:before="0" w:after="283"/>
              <w:jc w:val="right"/>
              <w:rPr/>
            </w:pPr>
            <w:r>
              <w:rPr/>
              <w:t> </w:t>
            </w:r>
          </w:p>
        </w:tc>
        <w:tc>
          <w:tcPr>
            <w:tcW w:w="230" w:type="dxa"/>
            <w:tcBorders/>
            <w:shd w:fill="CCFFCC" w:val="clear"/>
            <w:tcMar>
              <w:bottom w:w="0" w:type="dxa"/>
            </w:tcMar>
            <w:vAlign w:val="bottom"/>
          </w:tcPr>
          <w:p>
            <w:pPr>
              <w:pStyle w:val="TableContents"/>
              <w:spacing w:before="0" w:after="283"/>
              <w:jc w:val="left"/>
              <w:rPr/>
            </w:pPr>
            <w:r>
              <w:rPr/>
              <w:t> </w:t>
            </w:r>
          </w:p>
        </w:tc>
        <w:tc>
          <w:tcPr>
            <w:tcW w:w="194" w:type="dxa"/>
            <w:tcBorders/>
            <w:shd w:fill="CCFFCC" w:val="clear"/>
            <w:tcMar>
              <w:bottom w:w="0" w:type="dxa"/>
            </w:tcMar>
            <w:vAlign w:val="bottom"/>
          </w:tcPr>
          <w:p>
            <w:pPr>
              <w:pStyle w:val="TableContents"/>
              <w:spacing w:before="0" w:after="283"/>
              <w:jc w:val="left"/>
              <w:rPr/>
            </w:pPr>
            <w:r>
              <w:rPr/>
              <w:t> </w:t>
            </w:r>
          </w:p>
        </w:tc>
        <w:tc>
          <w:tcPr>
            <w:tcW w:w="1469" w:type="dxa"/>
            <w:tcBorders/>
            <w:shd w:fill="CCFFCC" w:val="clear"/>
            <w:tcMar>
              <w:bottom w:w="0" w:type="dxa"/>
            </w:tcMar>
            <w:vAlign w:val="bottom"/>
          </w:tcPr>
          <w:p>
            <w:pPr>
              <w:pStyle w:val="TableContents"/>
              <w:spacing w:before="0" w:after="283"/>
              <w:jc w:val="right"/>
              <w:rPr/>
            </w:pPr>
            <w:r>
              <w:rPr/>
              <w:t> </w:t>
            </w:r>
          </w:p>
        </w:tc>
        <w:tc>
          <w:tcPr>
            <w:tcW w:w="140" w:type="dxa"/>
            <w:tcBorders/>
            <w:shd w:fill="CCFFCC" w:val="clear"/>
            <w:tcMar>
              <w:bottom w:w="0" w:type="dxa"/>
            </w:tcMar>
            <w:vAlign w:val="bottom"/>
          </w:tcPr>
          <w:p>
            <w:pPr>
              <w:pStyle w:val="TableContents"/>
              <w:spacing w:before="0" w:after="283"/>
              <w:jc w:val="left"/>
              <w:rPr/>
            </w:pPr>
            <w:r>
              <w:rPr/>
              <w:t> </w:t>
            </w:r>
          </w:p>
        </w:tc>
      </w:tr>
      <w:tr>
        <w:trPr/>
        <w:tc>
          <w:tcPr>
            <w:tcW w:w="6319" w:type="dxa"/>
            <w:tcBorders/>
            <w:shd w:fill="FFFFFF" w:val="clear"/>
            <w:tcMar>
              <w:bottom w:w="0" w:type="dxa"/>
            </w:tcMar>
            <w:vAlign w:val="bottom"/>
          </w:tcPr>
          <w:p>
            <w:pPr>
              <w:pStyle w:val="TableContents"/>
              <w:spacing w:lineRule="auto" w:line="300" w:before="0" w:after="0"/>
              <w:ind w:left="180" w:right="0" w:hanging="0"/>
              <w:jc w:val="left"/>
              <w:rPr/>
            </w:pPr>
            <w:r>
              <w:rPr>
                <w:rStyle w:val="StrongEmphasis"/>
                <w:rFonts w:ascii="Times New Roman" w:hAnsi="Times New Roman"/>
                <w:sz w:val="20"/>
              </w:rPr>
              <w:t>Basic Common</w:t>
            </w:r>
          </w:p>
        </w:tc>
        <w:tc>
          <w:tcPr>
            <w:tcW w:w="192" w:type="dxa"/>
            <w:tcBorders/>
            <w:shd w:fill="FFFFFF" w:val="clear"/>
            <w:tcMar>
              <w:bottom w:w="0" w:type="dxa"/>
            </w:tcMar>
            <w:vAlign w:val="center"/>
          </w:tcPr>
          <w:p>
            <w:pPr>
              <w:pStyle w:val="TableContents"/>
              <w:spacing w:before="0" w:after="283"/>
              <w:rPr/>
            </w:pPr>
            <w:r>
              <w:rPr/>
              <w:t> </w:t>
            </w:r>
          </w:p>
        </w:tc>
        <w:tc>
          <w:tcPr>
            <w:tcW w:w="194"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467"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0.32</w:t>
            </w:r>
          </w:p>
        </w:tc>
        <w:tc>
          <w:tcPr>
            <w:tcW w:w="230"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46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0.32</w:t>
            </w:r>
          </w:p>
        </w:tc>
        <w:tc>
          <w:tcPr>
            <w:tcW w:w="140" w:type="dxa"/>
            <w:tcBorders/>
            <w:shd w:fill="FFFFFF" w:val="clear"/>
            <w:tcMar>
              <w:bottom w:w="0" w:type="dxa"/>
            </w:tcMar>
            <w:vAlign w:val="bottom"/>
          </w:tcPr>
          <w:p>
            <w:pPr>
              <w:pStyle w:val="TableContents"/>
              <w:spacing w:before="0" w:after="283"/>
              <w:jc w:val="left"/>
              <w:rPr/>
            </w:pPr>
            <w:r>
              <w:rPr/>
              <w:t> </w:t>
            </w:r>
          </w:p>
        </w:tc>
      </w:tr>
      <w:tr>
        <w:trPr/>
        <w:tc>
          <w:tcPr>
            <w:tcW w:w="6319" w:type="dxa"/>
            <w:tcBorders/>
            <w:shd w:fill="CCFFCC" w:val="clear"/>
            <w:tcMar>
              <w:bottom w:w="0" w:type="dxa"/>
            </w:tcMar>
            <w:vAlign w:val="bottom"/>
          </w:tcPr>
          <w:p>
            <w:pPr>
              <w:pStyle w:val="TableContents"/>
              <w:spacing w:lineRule="auto" w:line="300" w:before="0" w:after="0"/>
              <w:ind w:left="180" w:right="0" w:hanging="0"/>
              <w:jc w:val="left"/>
              <w:rPr/>
            </w:pPr>
            <w:r>
              <w:rPr>
                <w:rStyle w:val="StrongEmphasis"/>
                <w:rFonts w:ascii="Times New Roman" w:hAnsi="Times New Roman"/>
                <w:sz w:val="20"/>
              </w:rPr>
              <w:t>Basic Class B</w:t>
            </w:r>
          </w:p>
        </w:tc>
        <w:tc>
          <w:tcPr>
            <w:tcW w:w="192" w:type="dxa"/>
            <w:tcBorders/>
            <w:shd w:fill="CCFFCC" w:val="clear"/>
            <w:tcMar>
              <w:bottom w:w="0" w:type="dxa"/>
            </w:tcMar>
            <w:vAlign w:val="center"/>
          </w:tcPr>
          <w:p>
            <w:pPr>
              <w:pStyle w:val="TableContents"/>
              <w:spacing w:before="0" w:after="283"/>
              <w:rPr/>
            </w:pPr>
            <w:r>
              <w:rPr/>
              <w:t> </w:t>
            </w:r>
          </w:p>
        </w:tc>
        <w:tc>
          <w:tcPr>
            <w:tcW w:w="194"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467"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0.26</w:t>
            </w:r>
          </w:p>
        </w:tc>
        <w:tc>
          <w:tcPr>
            <w:tcW w:w="230" w:type="dxa"/>
            <w:tcBorders/>
            <w:shd w:fill="CCFFCC" w:val="clear"/>
            <w:tcMar>
              <w:bottom w:w="0" w:type="dxa"/>
            </w:tcMar>
            <w:vAlign w:val="bottom"/>
          </w:tcPr>
          <w:p>
            <w:pPr>
              <w:pStyle w:val="TableContents"/>
              <w:spacing w:before="0" w:after="283"/>
              <w:jc w:val="left"/>
              <w:rPr/>
            </w:pPr>
            <w:r>
              <w:rPr/>
              <w:t> </w:t>
            </w:r>
          </w:p>
        </w:tc>
        <w:tc>
          <w:tcPr>
            <w:tcW w:w="194"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46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0.23</w:t>
            </w:r>
          </w:p>
        </w:tc>
        <w:tc>
          <w:tcPr>
            <w:tcW w:w="140" w:type="dxa"/>
            <w:tcBorders/>
            <w:shd w:fill="CCFFCC" w:val="clear"/>
            <w:tcMar>
              <w:bottom w:w="0" w:type="dxa"/>
            </w:tcMar>
            <w:vAlign w:val="bottom"/>
          </w:tcPr>
          <w:p>
            <w:pPr>
              <w:pStyle w:val="TableContents"/>
              <w:spacing w:before="0" w:after="283"/>
              <w:jc w:val="left"/>
              <w:rPr/>
            </w:pPr>
            <w:r>
              <w:rPr/>
              <w:t> </w:t>
            </w:r>
          </w:p>
        </w:tc>
      </w:tr>
      <w:tr>
        <w:trPr/>
        <w:tc>
          <w:tcPr>
            <w:tcW w:w="6319" w:type="dxa"/>
            <w:tcBorders/>
            <w:shd w:fill="FFFFFF" w:val="clear"/>
            <w:tcMar>
              <w:bottom w:w="0" w:type="dxa"/>
            </w:tcMar>
            <w:vAlign w:val="bottom"/>
          </w:tcPr>
          <w:p>
            <w:pPr>
              <w:pStyle w:val="TableContents"/>
              <w:spacing w:lineRule="auto" w:line="300" w:before="0" w:after="0"/>
              <w:ind w:left="180" w:right="0" w:hanging="0"/>
              <w:jc w:val="left"/>
              <w:rPr/>
            </w:pPr>
            <w:r>
              <w:rPr>
                <w:rStyle w:val="StrongEmphasis"/>
                <w:rFonts w:ascii="Times New Roman" w:hAnsi="Times New Roman"/>
                <w:sz w:val="20"/>
              </w:rPr>
              <w:t>Diluted</w:t>
            </w:r>
          </w:p>
        </w:tc>
        <w:tc>
          <w:tcPr>
            <w:tcW w:w="192" w:type="dxa"/>
            <w:tcBorders/>
            <w:shd w:fill="FFFFFF" w:val="clear"/>
            <w:tcMar>
              <w:bottom w:w="0" w:type="dxa"/>
            </w:tcMar>
            <w:vAlign w:val="center"/>
          </w:tcPr>
          <w:p>
            <w:pPr>
              <w:pStyle w:val="TableContents"/>
              <w:spacing w:before="0" w:after="283"/>
              <w:rPr/>
            </w:pPr>
            <w:r>
              <w:rPr/>
              <w:t> </w:t>
            </w:r>
          </w:p>
        </w:tc>
        <w:tc>
          <w:tcPr>
            <w:tcW w:w="194"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467"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0.29</w:t>
            </w:r>
          </w:p>
        </w:tc>
        <w:tc>
          <w:tcPr>
            <w:tcW w:w="230"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46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0.28</w:t>
            </w:r>
          </w:p>
        </w:tc>
        <w:tc>
          <w:tcPr>
            <w:tcW w:w="140" w:type="dxa"/>
            <w:tcBorders/>
            <w:shd w:fill="FFFFFF" w:val="clear"/>
            <w:tcMar>
              <w:bottom w:w="0" w:type="dxa"/>
            </w:tcMar>
            <w:vAlign w:val="bottom"/>
          </w:tcPr>
          <w:p>
            <w:pPr>
              <w:pStyle w:val="TableContents"/>
              <w:spacing w:before="0" w:after="283"/>
              <w:jc w:val="left"/>
              <w:rPr/>
            </w:pPr>
            <w:r>
              <w:rPr/>
              <w:t> </w:t>
            </w:r>
          </w:p>
        </w:tc>
      </w:tr>
      <w:tr>
        <w:trPr/>
        <w:tc>
          <w:tcPr>
            <w:tcW w:w="6319" w:type="dxa"/>
            <w:tcBorders/>
            <w:shd w:fill="CCFFCC" w:val="clear"/>
            <w:tcMar>
              <w:bottom w:w="0" w:type="dxa"/>
            </w:tcMar>
            <w:vAlign w:val="bottom"/>
          </w:tcPr>
          <w:p>
            <w:pPr>
              <w:pStyle w:val="TableContents"/>
              <w:spacing w:before="0" w:after="283"/>
              <w:jc w:val="left"/>
              <w:rPr/>
            </w:pPr>
            <w:r>
              <w:rPr/>
              <w:t> </w:t>
            </w:r>
          </w:p>
        </w:tc>
        <w:tc>
          <w:tcPr>
            <w:tcW w:w="192" w:type="dxa"/>
            <w:tcBorders/>
            <w:shd w:fill="CCFFCC" w:val="clear"/>
            <w:tcMar>
              <w:bottom w:w="0" w:type="dxa"/>
            </w:tcMar>
            <w:vAlign w:val="center"/>
          </w:tcPr>
          <w:p>
            <w:pPr>
              <w:pStyle w:val="TableContents"/>
              <w:spacing w:before="0" w:after="283"/>
              <w:rPr/>
            </w:pPr>
            <w:r>
              <w:rPr/>
              <w:t> </w:t>
            </w:r>
          </w:p>
        </w:tc>
        <w:tc>
          <w:tcPr>
            <w:tcW w:w="194" w:type="dxa"/>
            <w:tcBorders/>
            <w:shd w:fill="CCFFCC" w:val="clear"/>
            <w:tcMar>
              <w:bottom w:w="0" w:type="dxa"/>
            </w:tcMar>
            <w:vAlign w:val="bottom"/>
          </w:tcPr>
          <w:p>
            <w:pPr>
              <w:pStyle w:val="TableContents"/>
              <w:spacing w:before="0" w:after="283"/>
              <w:jc w:val="left"/>
              <w:rPr/>
            </w:pPr>
            <w:r>
              <w:rPr/>
              <w:t> </w:t>
            </w:r>
          </w:p>
        </w:tc>
        <w:tc>
          <w:tcPr>
            <w:tcW w:w="1467" w:type="dxa"/>
            <w:tcBorders/>
            <w:shd w:fill="CCFFCC" w:val="clear"/>
            <w:tcMar>
              <w:bottom w:w="0" w:type="dxa"/>
            </w:tcMar>
            <w:vAlign w:val="bottom"/>
          </w:tcPr>
          <w:p>
            <w:pPr>
              <w:pStyle w:val="TableContents"/>
              <w:spacing w:before="0" w:after="283"/>
              <w:jc w:val="right"/>
              <w:rPr/>
            </w:pPr>
            <w:r>
              <w:rPr/>
              <w:t> </w:t>
            </w:r>
          </w:p>
        </w:tc>
        <w:tc>
          <w:tcPr>
            <w:tcW w:w="230" w:type="dxa"/>
            <w:tcBorders/>
            <w:shd w:fill="CCFFCC" w:val="clear"/>
            <w:tcMar>
              <w:bottom w:w="0" w:type="dxa"/>
            </w:tcMar>
            <w:vAlign w:val="bottom"/>
          </w:tcPr>
          <w:p>
            <w:pPr>
              <w:pStyle w:val="TableContents"/>
              <w:spacing w:before="0" w:after="283"/>
              <w:jc w:val="left"/>
              <w:rPr/>
            </w:pPr>
            <w:r>
              <w:rPr/>
              <w:t> </w:t>
            </w:r>
          </w:p>
        </w:tc>
        <w:tc>
          <w:tcPr>
            <w:tcW w:w="194" w:type="dxa"/>
            <w:tcBorders/>
            <w:shd w:fill="CCFFCC" w:val="clear"/>
            <w:tcMar>
              <w:bottom w:w="0" w:type="dxa"/>
            </w:tcMar>
            <w:vAlign w:val="bottom"/>
          </w:tcPr>
          <w:p>
            <w:pPr>
              <w:pStyle w:val="TableContents"/>
              <w:spacing w:before="0" w:after="283"/>
              <w:jc w:val="left"/>
              <w:rPr/>
            </w:pPr>
            <w:r>
              <w:rPr/>
              <w:t> </w:t>
            </w:r>
          </w:p>
        </w:tc>
        <w:tc>
          <w:tcPr>
            <w:tcW w:w="1469" w:type="dxa"/>
            <w:tcBorders/>
            <w:shd w:fill="CCFFCC" w:val="clear"/>
            <w:tcMar>
              <w:bottom w:w="0" w:type="dxa"/>
            </w:tcMar>
            <w:vAlign w:val="bottom"/>
          </w:tcPr>
          <w:p>
            <w:pPr>
              <w:pStyle w:val="TableContents"/>
              <w:spacing w:before="0" w:after="283"/>
              <w:jc w:val="right"/>
              <w:rPr/>
            </w:pPr>
            <w:r>
              <w:rPr/>
              <w:t> </w:t>
            </w:r>
          </w:p>
        </w:tc>
        <w:tc>
          <w:tcPr>
            <w:tcW w:w="140" w:type="dxa"/>
            <w:tcBorders/>
            <w:shd w:fill="CCFFCC" w:val="clear"/>
            <w:tcMar>
              <w:bottom w:w="0" w:type="dxa"/>
            </w:tcMar>
            <w:vAlign w:val="bottom"/>
          </w:tcPr>
          <w:p>
            <w:pPr>
              <w:pStyle w:val="TableContents"/>
              <w:spacing w:before="0" w:after="283"/>
              <w:jc w:val="left"/>
              <w:rPr/>
            </w:pPr>
            <w:r>
              <w:rPr/>
              <w:t> </w:t>
            </w:r>
          </w:p>
        </w:tc>
      </w:tr>
      <w:tr>
        <w:trPr/>
        <w:tc>
          <w:tcPr>
            <w:tcW w:w="6319"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Average Shares Outstanding</w:t>
            </w:r>
          </w:p>
        </w:tc>
        <w:tc>
          <w:tcPr>
            <w:tcW w:w="192" w:type="dxa"/>
            <w:tcBorders/>
            <w:shd w:fill="FFFFFF" w:val="clear"/>
            <w:tcMar>
              <w:bottom w:w="0" w:type="dxa"/>
            </w:tcMar>
            <w:vAlign w:val="center"/>
          </w:tcPr>
          <w:p>
            <w:pPr>
              <w:pStyle w:val="TableContents"/>
              <w:spacing w:before="0" w:after="283"/>
              <w:rPr/>
            </w:pPr>
            <w:r>
              <w:rPr/>
              <w:t> </w:t>
            </w:r>
          </w:p>
        </w:tc>
        <w:tc>
          <w:tcPr>
            <w:tcW w:w="194" w:type="dxa"/>
            <w:tcBorders/>
            <w:shd w:fill="FFFFFF" w:val="clear"/>
            <w:tcMar>
              <w:bottom w:w="0" w:type="dxa"/>
            </w:tcMar>
            <w:vAlign w:val="bottom"/>
          </w:tcPr>
          <w:p>
            <w:pPr>
              <w:pStyle w:val="TableContents"/>
              <w:spacing w:before="0" w:after="283"/>
              <w:jc w:val="left"/>
              <w:rPr/>
            </w:pPr>
            <w:r>
              <w:rPr/>
              <w:t> </w:t>
            </w:r>
          </w:p>
        </w:tc>
        <w:tc>
          <w:tcPr>
            <w:tcW w:w="1467" w:type="dxa"/>
            <w:tcBorders/>
            <w:shd w:fill="FFFFFF" w:val="clear"/>
            <w:tcMar>
              <w:bottom w:w="0" w:type="dxa"/>
            </w:tcMar>
            <w:vAlign w:val="bottom"/>
          </w:tcPr>
          <w:p>
            <w:pPr>
              <w:pStyle w:val="TableContents"/>
              <w:spacing w:before="0" w:after="283"/>
              <w:jc w:val="right"/>
              <w:rPr/>
            </w:pPr>
            <w:r>
              <w:rPr/>
              <w:t> </w:t>
            </w:r>
          </w:p>
        </w:tc>
        <w:tc>
          <w:tcPr>
            <w:tcW w:w="230"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bottom"/>
          </w:tcPr>
          <w:p>
            <w:pPr>
              <w:pStyle w:val="TableContents"/>
              <w:spacing w:before="0" w:after="283"/>
              <w:jc w:val="left"/>
              <w:rPr/>
            </w:pPr>
            <w:r>
              <w:rPr/>
              <w:t> </w:t>
            </w:r>
          </w:p>
        </w:tc>
        <w:tc>
          <w:tcPr>
            <w:tcW w:w="1469" w:type="dxa"/>
            <w:tcBorders/>
            <w:shd w:fill="FFFFFF" w:val="clear"/>
            <w:tcMar>
              <w:bottom w:w="0" w:type="dxa"/>
            </w:tcMar>
            <w:vAlign w:val="bottom"/>
          </w:tcPr>
          <w:p>
            <w:pPr>
              <w:pStyle w:val="TableContents"/>
              <w:spacing w:before="0" w:after="283"/>
              <w:jc w:val="right"/>
              <w:rPr/>
            </w:pPr>
            <w:r>
              <w:rPr/>
              <w:t> </w:t>
            </w:r>
          </w:p>
        </w:tc>
        <w:tc>
          <w:tcPr>
            <w:tcW w:w="140" w:type="dxa"/>
            <w:tcBorders/>
            <w:shd w:fill="FFFFFF" w:val="clear"/>
            <w:tcMar>
              <w:bottom w:w="0" w:type="dxa"/>
            </w:tcMar>
            <w:vAlign w:val="bottom"/>
          </w:tcPr>
          <w:p>
            <w:pPr>
              <w:pStyle w:val="TableContents"/>
              <w:spacing w:before="0" w:after="283"/>
              <w:jc w:val="left"/>
              <w:rPr/>
            </w:pPr>
            <w:r>
              <w:rPr/>
              <w:t> </w:t>
            </w:r>
          </w:p>
        </w:tc>
      </w:tr>
      <w:tr>
        <w:trPr/>
        <w:tc>
          <w:tcPr>
            <w:tcW w:w="6319" w:type="dxa"/>
            <w:tcBorders>
              <w:bottom w:val="single" w:sz="4" w:space="0" w:color="CCFFCC"/>
            </w:tcBorders>
            <w:shd w:fill="CCFFCC" w:val="clear"/>
            <w:vAlign w:val="bottom"/>
          </w:tcPr>
          <w:p>
            <w:pPr>
              <w:pStyle w:val="TableContents"/>
              <w:spacing w:lineRule="auto" w:line="300" w:before="0" w:after="0"/>
              <w:ind w:left="180" w:right="0" w:hanging="0"/>
              <w:jc w:val="left"/>
              <w:rPr/>
            </w:pPr>
            <w:r>
              <w:rPr>
                <w:rStyle w:val="StrongEmphasis"/>
                <w:rFonts w:ascii="Times New Roman" w:hAnsi="Times New Roman"/>
                <w:sz w:val="20"/>
              </w:rPr>
              <w:t>Basic Common</w:t>
            </w:r>
          </w:p>
        </w:tc>
        <w:tc>
          <w:tcPr>
            <w:tcW w:w="192" w:type="dxa"/>
            <w:tcBorders>
              <w:bottom w:val="single" w:sz="4" w:space="0" w:color="CCFFCC"/>
            </w:tcBorders>
            <w:shd w:fill="CCFFCC" w:val="clear"/>
            <w:vAlign w:val="center"/>
          </w:tcPr>
          <w:p>
            <w:pPr>
              <w:pStyle w:val="TableContents"/>
              <w:spacing w:before="0" w:after="283"/>
              <w:rPr/>
            </w:pPr>
            <w:r>
              <w:rPr/>
              <w:t> </w:t>
            </w:r>
          </w:p>
        </w:tc>
        <w:tc>
          <w:tcPr>
            <w:tcW w:w="194" w:type="dxa"/>
            <w:tcBorders>
              <w:bottom w:val="double" w:sz="2" w:space="0" w:color="000000"/>
            </w:tcBorders>
            <w:shd w:fill="CCFFCC" w:val="clear"/>
            <w:vAlign w:val="bottom"/>
          </w:tcPr>
          <w:p>
            <w:pPr>
              <w:pStyle w:val="TableContents"/>
              <w:spacing w:before="0" w:after="283"/>
              <w:jc w:val="left"/>
              <w:rPr/>
            </w:pPr>
            <w:r>
              <w:rPr/>
              <w:t> </w:t>
            </w:r>
          </w:p>
        </w:tc>
        <w:tc>
          <w:tcPr>
            <w:tcW w:w="1467" w:type="dxa"/>
            <w:tcBorders>
              <w:bottom w:val="double" w:sz="2" w:space="0" w:color="000000"/>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5,062</w:t>
            </w:r>
          </w:p>
        </w:tc>
        <w:tc>
          <w:tcPr>
            <w:tcW w:w="230" w:type="dxa"/>
            <w:tcBorders>
              <w:bottom w:val="single" w:sz="4" w:space="0" w:color="CCFFCC"/>
            </w:tcBorders>
            <w:shd w:fill="CCFFCC" w:val="clear"/>
            <w:vAlign w:val="bottom"/>
          </w:tcPr>
          <w:p>
            <w:pPr>
              <w:pStyle w:val="TableContents"/>
              <w:spacing w:before="0" w:after="283"/>
              <w:jc w:val="left"/>
              <w:rPr/>
            </w:pPr>
            <w:r>
              <w:rPr/>
              <w:t> </w:t>
            </w:r>
          </w:p>
        </w:tc>
        <w:tc>
          <w:tcPr>
            <w:tcW w:w="194" w:type="dxa"/>
            <w:tcBorders>
              <w:bottom w:val="double" w:sz="2" w:space="0" w:color="000000"/>
            </w:tcBorders>
            <w:shd w:fill="CCFFCC" w:val="clear"/>
            <w:vAlign w:val="bottom"/>
          </w:tcPr>
          <w:p>
            <w:pPr>
              <w:pStyle w:val="TableContents"/>
              <w:spacing w:before="0" w:after="283"/>
              <w:jc w:val="left"/>
              <w:rPr/>
            </w:pPr>
            <w:r>
              <w:rPr/>
              <w:t> </w:t>
            </w:r>
          </w:p>
        </w:tc>
        <w:tc>
          <w:tcPr>
            <w:tcW w:w="1469"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4,871 </w:t>
            </w:r>
          </w:p>
        </w:tc>
        <w:tc>
          <w:tcPr>
            <w:tcW w:w="140" w:type="dxa"/>
            <w:tcBorders>
              <w:bottom w:val="single" w:sz="4" w:space="0" w:color="CCFFCC"/>
            </w:tcBorders>
            <w:shd w:fill="CCFFCC" w:val="clear"/>
            <w:vAlign w:val="bottom"/>
          </w:tcPr>
          <w:p>
            <w:pPr>
              <w:pStyle w:val="TableContents"/>
              <w:spacing w:before="0" w:after="283"/>
              <w:jc w:val="left"/>
              <w:rPr/>
            </w:pPr>
            <w:r>
              <w:rPr/>
              <w:t> </w:t>
            </w:r>
          </w:p>
        </w:tc>
      </w:tr>
      <w:tr>
        <w:trPr/>
        <w:tc>
          <w:tcPr>
            <w:tcW w:w="6319" w:type="dxa"/>
            <w:tcBorders>
              <w:bottom w:val="single" w:sz="4" w:space="0" w:color="FFFFFF"/>
            </w:tcBorders>
            <w:shd w:fill="FFFFFF" w:val="clear"/>
            <w:vAlign w:val="bottom"/>
          </w:tcPr>
          <w:p>
            <w:pPr>
              <w:pStyle w:val="TableContents"/>
              <w:spacing w:lineRule="auto" w:line="300" w:before="0" w:after="0"/>
              <w:ind w:left="180" w:right="0" w:hanging="0"/>
              <w:jc w:val="left"/>
              <w:rPr/>
            </w:pPr>
            <w:r>
              <w:rPr>
                <w:rStyle w:val="StrongEmphasis"/>
                <w:rFonts w:ascii="Times New Roman" w:hAnsi="Times New Roman"/>
                <w:sz w:val="20"/>
              </w:rPr>
              <w:t>Basic Class B</w:t>
            </w:r>
          </w:p>
        </w:tc>
        <w:tc>
          <w:tcPr>
            <w:tcW w:w="192" w:type="dxa"/>
            <w:tcBorders>
              <w:bottom w:val="single" w:sz="4" w:space="0" w:color="FFFFFF"/>
            </w:tcBorders>
            <w:shd w:fill="FFFFFF" w:val="clear"/>
            <w:vAlign w:val="center"/>
          </w:tcPr>
          <w:p>
            <w:pPr>
              <w:pStyle w:val="TableContents"/>
              <w:spacing w:before="0" w:after="283"/>
              <w:rPr/>
            </w:pPr>
            <w:r>
              <w:rPr/>
              <w:t> </w:t>
            </w:r>
          </w:p>
        </w:tc>
        <w:tc>
          <w:tcPr>
            <w:tcW w:w="194" w:type="dxa"/>
            <w:tcBorders>
              <w:bottom w:val="double" w:sz="2" w:space="0" w:color="000000"/>
            </w:tcBorders>
            <w:shd w:fill="FFFFFF" w:val="clear"/>
            <w:vAlign w:val="bottom"/>
          </w:tcPr>
          <w:p>
            <w:pPr>
              <w:pStyle w:val="TableContents"/>
              <w:spacing w:before="0" w:after="283"/>
              <w:jc w:val="left"/>
              <w:rPr/>
            </w:pPr>
            <w:r>
              <w:rPr/>
              <w:t> </w:t>
            </w:r>
          </w:p>
        </w:tc>
        <w:tc>
          <w:tcPr>
            <w:tcW w:w="1467" w:type="dxa"/>
            <w:tcBorders>
              <w:bottom w:val="doub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1,853</w:t>
            </w:r>
          </w:p>
        </w:tc>
        <w:tc>
          <w:tcPr>
            <w:tcW w:w="230" w:type="dxa"/>
            <w:tcBorders>
              <w:bottom w:val="single" w:sz="4" w:space="0" w:color="FFFFFF"/>
            </w:tcBorders>
            <w:shd w:fill="FFFFFF" w:val="clear"/>
            <w:vAlign w:val="bottom"/>
          </w:tcPr>
          <w:p>
            <w:pPr>
              <w:pStyle w:val="TableContents"/>
              <w:spacing w:before="0" w:after="283"/>
              <w:jc w:val="left"/>
              <w:rPr/>
            </w:pPr>
            <w:r>
              <w:rPr/>
              <w:t> </w:t>
            </w:r>
          </w:p>
        </w:tc>
        <w:tc>
          <w:tcPr>
            <w:tcW w:w="194" w:type="dxa"/>
            <w:tcBorders>
              <w:bottom w:val="double" w:sz="2" w:space="0" w:color="000000"/>
            </w:tcBorders>
            <w:shd w:fill="FFFFFF" w:val="clear"/>
            <w:vAlign w:val="bottom"/>
          </w:tcPr>
          <w:p>
            <w:pPr>
              <w:pStyle w:val="TableContents"/>
              <w:spacing w:before="0" w:after="283"/>
              <w:jc w:val="left"/>
              <w:rPr/>
            </w:pPr>
            <w:r>
              <w:rPr/>
              <w:t> </w:t>
            </w:r>
          </w:p>
        </w:tc>
        <w:tc>
          <w:tcPr>
            <w:tcW w:w="1469"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1,815 </w:t>
            </w:r>
          </w:p>
        </w:tc>
        <w:tc>
          <w:tcPr>
            <w:tcW w:w="140" w:type="dxa"/>
            <w:tcBorders>
              <w:bottom w:val="single" w:sz="4" w:space="0" w:color="FFFFFF"/>
            </w:tcBorders>
            <w:shd w:fill="FFFFFF" w:val="clear"/>
            <w:vAlign w:val="bottom"/>
          </w:tcPr>
          <w:p>
            <w:pPr>
              <w:pStyle w:val="TableContents"/>
              <w:spacing w:before="0" w:after="283"/>
              <w:jc w:val="left"/>
              <w:rPr/>
            </w:pPr>
            <w:r>
              <w:rPr/>
              <w:t> </w:t>
            </w:r>
          </w:p>
        </w:tc>
      </w:tr>
      <w:tr>
        <w:trPr/>
        <w:tc>
          <w:tcPr>
            <w:tcW w:w="6319" w:type="dxa"/>
            <w:tcBorders>
              <w:bottom w:val="single" w:sz="4" w:space="0" w:color="CCFFCC"/>
            </w:tcBorders>
            <w:shd w:fill="CCFFCC" w:val="clear"/>
            <w:vAlign w:val="bottom"/>
          </w:tcPr>
          <w:p>
            <w:pPr>
              <w:pStyle w:val="TableContents"/>
              <w:spacing w:lineRule="auto" w:line="300" w:before="0" w:after="0"/>
              <w:ind w:left="180" w:right="0" w:hanging="0"/>
              <w:jc w:val="left"/>
              <w:rPr/>
            </w:pPr>
            <w:r>
              <w:rPr>
                <w:rStyle w:val="StrongEmphasis"/>
                <w:rFonts w:ascii="Times New Roman" w:hAnsi="Times New Roman"/>
                <w:sz w:val="20"/>
              </w:rPr>
              <w:t>Diluted</w:t>
            </w:r>
          </w:p>
        </w:tc>
        <w:tc>
          <w:tcPr>
            <w:tcW w:w="192" w:type="dxa"/>
            <w:tcBorders>
              <w:bottom w:val="single" w:sz="4" w:space="0" w:color="CCFFCC"/>
            </w:tcBorders>
            <w:shd w:fill="CCFFCC" w:val="clear"/>
            <w:vAlign w:val="center"/>
          </w:tcPr>
          <w:p>
            <w:pPr>
              <w:pStyle w:val="TableContents"/>
              <w:spacing w:before="0" w:after="283"/>
              <w:rPr/>
            </w:pPr>
            <w:r>
              <w:rPr/>
              <w:t> </w:t>
            </w:r>
          </w:p>
        </w:tc>
        <w:tc>
          <w:tcPr>
            <w:tcW w:w="194" w:type="dxa"/>
            <w:tcBorders>
              <w:bottom w:val="double" w:sz="2" w:space="0" w:color="000000"/>
            </w:tcBorders>
            <w:shd w:fill="CCFFCC" w:val="clear"/>
            <w:vAlign w:val="bottom"/>
          </w:tcPr>
          <w:p>
            <w:pPr>
              <w:pStyle w:val="TableContents"/>
              <w:spacing w:before="0" w:after="283"/>
              <w:jc w:val="left"/>
              <w:rPr/>
            </w:pPr>
            <w:r>
              <w:rPr/>
              <w:t> </w:t>
            </w:r>
          </w:p>
        </w:tc>
        <w:tc>
          <w:tcPr>
            <w:tcW w:w="1467" w:type="dxa"/>
            <w:tcBorders>
              <w:bottom w:val="double" w:sz="2" w:space="0" w:color="000000"/>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7,239</w:t>
            </w:r>
          </w:p>
        </w:tc>
        <w:tc>
          <w:tcPr>
            <w:tcW w:w="230" w:type="dxa"/>
            <w:tcBorders>
              <w:bottom w:val="single" w:sz="4" w:space="0" w:color="CCFFCC"/>
            </w:tcBorders>
            <w:shd w:fill="CCFFCC" w:val="clear"/>
            <w:vAlign w:val="bottom"/>
          </w:tcPr>
          <w:p>
            <w:pPr>
              <w:pStyle w:val="TableContents"/>
              <w:spacing w:before="0" w:after="283"/>
              <w:jc w:val="left"/>
              <w:rPr/>
            </w:pPr>
            <w:r>
              <w:rPr/>
              <w:t> </w:t>
            </w:r>
          </w:p>
        </w:tc>
        <w:tc>
          <w:tcPr>
            <w:tcW w:w="194" w:type="dxa"/>
            <w:tcBorders>
              <w:bottom w:val="double" w:sz="2" w:space="0" w:color="000000"/>
            </w:tcBorders>
            <w:shd w:fill="CCFFCC" w:val="clear"/>
            <w:vAlign w:val="bottom"/>
          </w:tcPr>
          <w:p>
            <w:pPr>
              <w:pStyle w:val="TableContents"/>
              <w:spacing w:before="0" w:after="283"/>
              <w:jc w:val="left"/>
              <w:rPr/>
            </w:pPr>
            <w:r>
              <w:rPr/>
              <w:t> </w:t>
            </w:r>
          </w:p>
        </w:tc>
        <w:tc>
          <w:tcPr>
            <w:tcW w:w="1469"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6,987</w:t>
            </w:r>
          </w:p>
        </w:tc>
        <w:tc>
          <w:tcPr>
            <w:tcW w:w="140" w:type="dxa"/>
            <w:tcBorders>
              <w:bottom w:val="single" w:sz="4" w:space="0" w:color="CCFFCC"/>
            </w:tcBorders>
            <w:shd w:fill="CCFFCC"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t> </w:t>
      </w:r>
    </w:p>
    <w:p>
      <w:pPr>
        <w:pStyle w:val="TextBody"/>
        <w:spacing w:lineRule="auto" w:line="300" w:before="0" w:after="0"/>
        <w:ind w:left="0" w:right="0" w:hanging="0"/>
        <w:jc w:val="left"/>
        <w:rPr/>
      </w:pPr>
      <w:r>
        <w:rPr>
          <w:rFonts w:ascii="Times New Roman" w:hAnsi="Times New Roman"/>
          <w:sz w:val="20"/>
        </w:rPr>
        <w:t>The accompanying notes are an integral part of the condensed consolidated financial statements.</w:t>
      </w:r>
      <w:bookmarkStart w:id="190" w:name="TAB218"/>
      <w:bookmarkEnd w:id="190"/>
      <w:r>
        <w:rPr>
          <w:color w:val="000000"/>
          <w:spacing w:val="7750"/>
        </w:rPr>
        <w:t> </w:t>
      </w:r>
      <w:bookmarkStart w:id="191" w:name="TAB217"/>
      <w:bookmarkEnd w:id="191"/>
      <w:r>
        <w:rPr>
          <w:color w:val="000000"/>
          <w:spacing w:val="56"/>
        </w:rPr>
        <w:t> </w:t>
      </w:r>
      <w:bookmarkStart w:id="192" w:name="TAB216"/>
      <w:bookmarkEnd w:id="192"/>
      <w:r>
        <w:rPr>
          <w:color w:val="000000"/>
          <w:spacing w:val="56"/>
        </w:rPr>
        <w:t> </w:t>
      </w:r>
    </w:p>
    <w:p>
      <w:pPr>
        <w:pStyle w:val="TextBody"/>
        <w:spacing w:lineRule="auto" w:line="300" w:before="0" w:after="0"/>
        <w:ind w:left="216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3" w:name="PGBRK5"/>
      <w:bookmarkStart w:id="194" w:name="PGBRK5"/>
      <w:bookmarkEnd w:id="1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5" w:name="FTR5"/>
      <w:bookmarkStart w:id="196" w:name="FTR5"/>
      <w:bookmarkEnd w:id="1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7" w:name="GLFTR5"/>
      <w:bookmarkStart w:id="198" w:name="GLFTR5"/>
      <w:bookmarkEnd w:id="1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99" w:name="PN5"/>
      <w:bookmarkEnd w:id="199"/>
      <w:r>
        <w:rPr>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0" w:name="HDR5"/>
      <w:bookmarkStart w:id="201" w:name="HDR5"/>
      <w:bookmarkEnd w:id="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2" w:name="GLHDR5"/>
      <w:bookmarkStart w:id="203" w:name="GLHDR5"/>
      <w:bookmarkEnd w:id="2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2160" w:right="0" w:hanging="0"/>
        <w:jc w:val="left"/>
        <w:rPr/>
      </w:pPr>
      <w:r>
        <w:rPr/>
        <w:t> </w:t>
      </w:r>
    </w:p>
    <w:p>
      <w:pPr>
        <w:pStyle w:val="TextBody"/>
        <w:spacing w:lineRule="auto" w:line="300" w:before="0" w:after="0"/>
        <w:ind w:left="900" w:right="0" w:hanging="0"/>
        <w:jc w:val="center"/>
        <w:rPr/>
      </w:pPr>
      <w:r>
        <w:rPr>
          <w:rStyle w:val="StrongEmphasis"/>
          <w:rFonts w:ascii="Times New Roman" w:hAnsi="Times New Roman"/>
          <w:sz w:val="20"/>
        </w:rPr>
        <w:t>OIL-DRI CORPORATION OF AMERICA &amp; SUBSIDIARIES</w:t>
      </w:r>
    </w:p>
    <w:p>
      <w:pPr>
        <w:pStyle w:val="TextBody"/>
        <w:spacing w:lineRule="auto" w:line="300" w:before="0" w:after="0"/>
        <w:ind w:left="900" w:right="0" w:hanging="0"/>
        <w:jc w:val="center"/>
        <w:rPr/>
      </w:pPr>
      <w:r>
        <w:rPr>
          <w:rStyle w:val="StrongEmphasis"/>
          <w:rFonts w:ascii="Times New Roman" w:hAnsi="Times New Roman"/>
          <w:sz w:val="20"/>
        </w:rPr>
        <w:t>Condensed Consolidated Statements of Comprehensive Income</w:t>
      </w:r>
    </w:p>
    <w:p>
      <w:pPr>
        <w:pStyle w:val="TextBody"/>
        <w:spacing w:lineRule="auto" w:line="300" w:before="0" w:after="0"/>
        <w:ind w:left="900" w:right="0" w:hanging="0"/>
        <w:jc w:val="center"/>
        <w:rPr/>
      </w:pPr>
      <w:r>
        <w:rPr>
          <w:rStyle w:val="StrongEmphasis"/>
          <w:rFonts w:ascii="Times New Roman" w:hAnsi="Times New Roman"/>
          <w:sz w:val="20"/>
        </w:rPr>
        <w:t>(in thousands of dollars)</w:t>
      </w:r>
    </w:p>
    <w:p>
      <w:pPr>
        <w:pStyle w:val="TextBody"/>
        <w:spacing w:lineRule="auto" w:line="300" w:before="0" w:after="0"/>
        <w:ind w:left="900" w:right="0" w:hanging="0"/>
        <w:jc w:val="center"/>
        <w:rPr/>
      </w:pPr>
      <w:r>
        <w:rPr>
          <w:rStyle w:val="StrongEmphasis"/>
          <w:rFonts w:ascii="Times New Roman" w:hAnsi="Times New Roman"/>
          <w:sz w:val="20"/>
        </w:rPr>
        <w:t>(unaudited)</w:t>
      </w:r>
    </w:p>
    <w:p>
      <w:pPr>
        <w:pStyle w:val="TextBody"/>
        <w:spacing w:lineRule="auto" w:line="300" w:before="0" w:after="0"/>
        <w:ind w:left="900" w:right="0" w:hanging="0"/>
        <w:jc w:val="center"/>
        <w:rPr/>
      </w:pPr>
      <w:r>
        <w:rPr/>
        <w:t> </w:t>
      </w:r>
    </w:p>
    <w:p>
      <w:pPr>
        <w:pStyle w:val="Normal"/>
        <w:spacing w:before="0" w:after="0"/>
        <w:rPr>
          <w:sz w:val="4"/>
          <w:szCs w:val="4"/>
        </w:rPr>
      </w:pPr>
      <w:r>
        <w:rPr>
          <w:sz w:val="4"/>
          <w:szCs w:val="4"/>
        </w:rPr>
      </w:r>
      <w:bookmarkStart w:id="204" w:name="ftable5"/>
      <w:bookmarkStart w:id="205" w:name="ftable5"/>
      <w:bookmarkEnd w:id="205"/>
    </w:p>
    <w:tbl>
      <w:tblPr>
        <w:tblW w:w="5000" w:type="pct"/>
        <w:jc w:val="left"/>
        <w:tblInd w:w="0" w:type="dxa"/>
        <w:tblCellMar>
          <w:top w:w="0" w:type="dxa"/>
          <w:left w:w="0" w:type="dxa"/>
          <w:bottom w:w="28" w:type="dxa"/>
          <w:right w:w="0" w:type="dxa"/>
        </w:tblCellMar>
      </w:tblPr>
      <w:tblGrid>
        <w:gridCol w:w="6174"/>
        <w:gridCol w:w="189"/>
        <w:gridCol w:w="244"/>
        <w:gridCol w:w="1475"/>
        <w:gridCol w:w="256"/>
        <w:gridCol w:w="244"/>
        <w:gridCol w:w="1477"/>
        <w:gridCol w:w="146"/>
      </w:tblGrid>
      <w:tr>
        <w:trPr/>
        <w:tc>
          <w:tcPr>
            <w:tcW w:w="6174" w:type="dxa"/>
            <w:tcBorders>
              <w:bottom w:val="single" w:sz="4" w:space="0" w:color="FFFFFF"/>
            </w:tcBorders>
            <w:shd w:fill="auto" w:val="clear"/>
            <w:vAlign w:val="bottom"/>
          </w:tcPr>
          <w:p>
            <w:pPr>
              <w:pStyle w:val="TableContents"/>
              <w:spacing w:before="0" w:after="283"/>
              <w:jc w:val="left"/>
              <w:rPr/>
            </w:pPr>
            <w:r>
              <w:rPr/>
              <w:t> </w:t>
            </w:r>
          </w:p>
        </w:tc>
        <w:tc>
          <w:tcPr>
            <w:tcW w:w="189" w:type="dxa"/>
            <w:tcBorders>
              <w:bottom w:val="single" w:sz="4" w:space="0" w:color="FFFFFF"/>
            </w:tcBorders>
            <w:shd w:fill="auto" w:val="clear"/>
            <w:vAlign w:val="center"/>
          </w:tcPr>
          <w:p>
            <w:pPr>
              <w:pStyle w:val="TableContents"/>
              <w:spacing w:before="0" w:after="283"/>
              <w:rPr/>
            </w:pPr>
            <w:r>
              <w:rPr/>
              <w:t> </w:t>
            </w:r>
          </w:p>
        </w:tc>
        <w:tc>
          <w:tcPr>
            <w:tcW w:w="3696"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For The Three Months Ended</w:t>
            </w:r>
          </w:p>
          <w:p>
            <w:pPr>
              <w:pStyle w:val="TableContents"/>
              <w:spacing w:lineRule="auto" w:line="300" w:before="0" w:after="0"/>
              <w:ind w:left="0" w:right="0" w:hanging="0"/>
              <w:jc w:val="center"/>
              <w:rPr/>
            </w:pPr>
            <w:r>
              <w:rPr>
                <w:rStyle w:val="StrongEmphasis"/>
                <w:rFonts w:ascii="Times New Roman" w:hAnsi="Times New Roman"/>
                <w:sz w:val="20"/>
              </w:rPr>
              <w:t>January 31</w:t>
            </w:r>
          </w:p>
        </w:tc>
        <w:tc>
          <w:tcPr>
            <w:tcW w:w="146" w:type="dxa"/>
            <w:tcBorders>
              <w:bottom w:val="single" w:sz="4" w:space="0" w:color="FFFFFF"/>
            </w:tcBorders>
            <w:shd w:fill="auto" w:val="clear"/>
            <w:vAlign w:val="bottom"/>
          </w:tcPr>
          <w:p>
            <w:pPr>
              <w:pStyle w:val="TableContents"/>
              <w:spacing w:before="0" w:after="283"/>
              <w:jc w:val="left"/>
              <w:rPr/>
            </w:pPr>
            <w:r>
              <w:rPr/>
              <w:t> </w:t>
            </w:r>
          </w:p>
        </w:tc>
      </w:tr>
      <w:tr>
        <w:trPr/>
        <w:tc>
          <w:tcPr>
            <w:tcW w:w="6174" w:type="dxa"/>
            <w:tcBorders>
              <w:bottom w:val="single" w:sz="4" w:space="0" w:color="FFFFFF"/>
            </w:tcBorders>
            <w:shd w:fill="auto" w:val="clear"/>
            <w:vAlign w:val="bottom"/>
          </w:tcPr>
          <w:p>
            <w:pPr>
              <w:pStyle w:val="TableContents"/>
              <w:spacing w:before="0" w:after="283"/>
              <w:jc w:val="left"/>
              <w:rPr/>
            </w:pPr>
            <w:r>
              <w:rPr/>
              <w:t> </w:t>
            </w:r>
          </w:p>
        </w:tc>
        <w:tc>
          <w:tcPr>
            <w:tcW w:w="189" w:type="dxa"/>
            <w:tcBorders>
              <w:bottom w:val="single" w:sz="4" w:space="0" w:color="FFFFFF"/>
            </w:tcBorders>
            <w:shd w:fill="auto" w:val="clear"/>
            <w:vAlign w:val="center"/>
          </w:tcPr>
          <w:p>
            <w:pPr>
              <w:pStyle w:val="TableContents"/>
              <w:spacing w:before="0" w:after="283"/>
              <w:rPr/>
            </w:pPr>
            <w:r>
              <w:rPr/>
              <w:t> </w:t>
            </w:r>
          </w:p>
        </w:tc>
        <w:tc>
          <w:tcPr>
            <w:tcW w:w="1719"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2008</w:t>
            </w:r>
          </w:p>
        </w:tc>
        <w:tc>
          <w:tcPr>
            <w:tcW w:w="256" w:type="dxa"/>
            <w:tcBorders>
              <w:bottom w:val="single" w:sz="4" w:space="0" w:color="FFFFFF"/>
            </w:tcBorders>
            <w:shd w:fill="auto" w:val="clear"/>
            <w:vAlign w:val="bottom"/>
          </w:tcPr>
          <w:p>
            <w:pPr>
              <w:pStyle w:val="TableContents"/>
              <w:spacing w:before="0" w:after="283"/>
              <w:jc w:val="left"/>
              <w:rPr/>
            </w:pPr>
            <w:r>
              <w:rPr/>
              <w:t> </w:t>
            </w:r>
          </w:p>
        </w:tc>
        <w:tc>
          <w:tcPr>
            <w:tcW w:w="1721"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2007</w:t>
            </w:r>
          </w:p>
        </w:tc>
        <w:tc>
          <w:tcPr>
            <w:tcW w:w="146" w:type="dxa"/>
            <w:tcBorders>
              <w:bottom w:val="single" w:sz="4" w:space="0" w:color="FFFFFF"/>
            </w:tcBorders>
            <w:shd w:fill="auto" w:val="clear"/>
            <w:vAlign w:val="bottom"/>
          </w:tcPr>
          <w:p>
            <w:pPr>
              <w:pStyle w:val="TableContents"/>
              <w:spacing w:before="0" w:after="283"/>
              <w:jc w:val="left"/>
              <w:rPr/>
            </w:pPr>
            <w:r>
              <w:rPr/>
              <w:t> </w:t>
            </w:r>
          </w:p>
        </w:tc>
      </w:tr>
      <w:tr>
        <w:trPr/>
        <w:tc>
          <w:tcPr>
            <w:tcW w:w="6174" w:type="dxa"/>
            <w:tcBorders/>
            <w:shd w:fill="auto" w:val="clear"/>
            <w:tcMar>
              <w:bottom w:w="0" w:type="dxa"/>
            </w:tcMar>
            <w:vAlign w:val="bottom"/>
          </w:tcPr>
          <w:p>
            <w:pPr>
              <w:pStyle w:val="TableContents"/>
              <w:spacing w:before="0" w:after="283"/>
              <w:jc w:val="left"/>
              <w:rPr/>
            </w:pPr>
            <w:r>
              <w:rPr/>
              <w:t> </w:t>
            </w:r>
          </w:p>
        </w:tc>
        <w:tc>
          <w:tcPr>
            <w:tcW w:w="189" w:type="dxa"/>
            <w:tcBorders/>
            <w:shd w:fill="auto" w:val="clear"/>
            <w:tcMar>
              <w:bottom w:w="0" w:type="dxa"/>
            </w:tcMar>
            <w:vAlign w:val="center"/>
          </w:tcPr>
          <w:p>
            <w:pPr>
              <w:pStyle w:val="TableContents"/>
              <w:spacing w:before="0" w:after="283"/>
              <w:rPr/>
            </w:pPr>
            <w:r>
              <w:rPr/>
              <w:t> </w:t>
            </w:r>
          </w:p>
        </w:tc>
        <w:tc>
          <w:tcPr>
            <w:tcW w:w="1719" w:type="dxa"/>
            <w:gridSpan w:val="2"/>
            <w:tcBorders/>
            <w:shd w:fill="auto" w:val="clear"/>
            <w:tcMar>
              <w:bottom w:w="0" w:type="dxa"/>
            </w:tcMar>
            <w:vAlign w:val="bottom"/>
          </w:tcPr>
          <w:p>
            <w:pPr>
              <w:pStyle w:val="TableContents"/>
              <w:spacing w:before="0" w:after="283"/>
              <w:jc w:val="left"/>
              <w:rPr/>
            </w:pPr>
            <w:r>
              <w:rPr/>
              <w:t> </w:t>
            </w:r>
          </w:p>
        </w:tc>
        <w:tc>
          <w:tcPr>
            <w:tcW w:w="256" w:type="dxa"/>
            <w:tcBorders/>
            <w:shd w:fill="auto" w:val="clear"/>
            <w:tcMar>
              <w:bottom w:w="0" w:type="dxa"/>
            </w:tcMar>
            <w:vAlign w:val="bottom"/>
          </w:tcPr>
          <w:p>
            <w:pPr>
              <w:pStyle w:val="TableContents"/>
              <w:spacing w:before="0" w:after="283"/>
              <w:jc w:val="left"/>
              <w:rPr/>
            </w:pPr>
            <w:r>
              <w:rPr/>
              <w:t> </w:t>
            </w:r>
          </w:p>
        </w:tc>
        <w:tc>
          <w:tcPr>
            <w:tcW w:w="1721" w:type="dxa"/>
            <w:gridSpan w:val="2"/>
            <w:tcBorders/>
            <w:shd w:fill="auto" w:val="clear"/>
            <w:tcMar>
              <w:bottom w:w="0" w:type="dxa"/>
            </w:tcMar>
            <w:vAlign w:val="bottom"/>
          </w:tcPr>
          <w:p>
            <w:pPr>
              <w:pStyle w:val="TableContents"/>
              <w:spacing w:before="0" w:after="283"/>
              <w:jc w:val="left"/>
              <w:rPr/>
            </w:pPr>
            <w:r>
              <w:rPr/>
              <w:t> </w:t>
            </w:r>
          </w:p>
        </w:tc>
        <w:tc>
          <w:tcPr>
            <w:tcW w:w="146" w:type="dxa"/>
            <w:tcBorders/>
            <w:shd w:fill="auto" w:val="clear"/>
            <w:tcMar>
              <w:bottom w:w="0" w:type="dxa"/>
            </w:tcMar>
            <w:vAlign w:val="bottom"/>
          </w:tcPr>
          <w:p>
            <w:pPr>
              <w:pStyle w:val="TableContents"/>
              <w:spacing w:before="0" w:after="283"/>
              <w:jc w:val="left"/>
              <w:rPr/>
            </w:pPr>
            <w:r>
              <w:rPr/>
              <w:t> </w:t>
            </w:r>
          </w:p>
        </w:tc>
      </w:tr>
      <w:tr>
        <w:trPr/>
        <w:tc>
          <w:tcPr>
            <w:tcW w:w="6174"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Net Income</w:t>
            </w:r>
          </w:p>
        </w:tc>
        <w:tc>
          <w:tcPr>
            <w:tcW w:w="189" w:type="dxa"/>
            <w:tcBorders/>
            <w:shd w:fill="CCFFCC" w:val="clear"/>
            <w:tcMar>
              <w:bottom w:w="0" w:type="dxa"/>
            </w:tcMar>
            <w:vAlign w:val="center"/>
          </w:tcPr>
          <w:p>
            <w:pPr>
              <w:pStyle w:val="TableContents"/>
              <w:spacing w:before="0" w:after="283"/>
              <w:rPr/>
            </w:pPr>
            <w:r>
              <w:rPr/>
              <w:t> </w:t>
            </w:r>
          </w:p>
        </w:tc>
        <w:tc>
          <w:tcPr>
            <w:tcW w:w="244"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475"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2,089</w:t>
            </w:r>
          </w:p>
        </w:tc>
        <w:tc>
          <w:tcPr>
            <w:tcW w:w="256" w:type="dxa"/>
            <w:tcBorders/>
            <w:shd w:fill="CCFFCC" w:val="clear"/>
            <w:tcMar>
              <w:bottom w:w="0" w:type="dxa"/>
            </w:tcMar>
            <w:vAlign w:val="bottom"/>
          </w:tcPr>
          <w:p>
            <w:pPr>
              <w:pStyle w:val="TableContents"/>
              <w:spacing w:before="0" w:after="283"/>
              <w:jc w:val="left"/>
              <w:rPr/>
            </w:pPr>
            <w:r>
              <w:rPr/>
              <w:t> </w:t>
            </w:r>
          </w:p>
        </w:tc>
        <w:tc>
          <w:tcPr>
            <w:tcW w:w="244"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06" w:name="TAB1106"/>
            <w:bookmarkEnd w:id="206"/>
            <w:r>
              <w:rPr>
                <w:rFonts w:ascii="Times New Roman" w:hAnsi="Times New Roman"/>
                <w:sz w:val="20"/>
              </w:rPr>
              <w:t>$</w:t>
            </w:r>
          </w:p>
        </w:tc>
        <w:tc>
          <w:tcPr>
            <w:tcW w:w="1477"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07" w:name="TAB1107"/>
            <w:bookmarkEnd w:id="207"/>
            <w:r>
              <w:rPr>
                <w:rFonts w:ascii="Times New Roman" w:hAnsi="Times New Roman"/>
                <w:sz w:val="20"/>
              </w:rPr>
              <w:t>1,963</w:t>
            </w:r>
          </w:p>
        </w:tc>
        <w:tc>
          <w:tcPr>
            <w:tcW w:w="146" w:type="dxa"/>
            <w:tcBorders/>
            <w:shd w:fill="CCFFCC" w:val="clear"/>
            <w:tcMar>
              <w:bottom w:w="0" w:type="dxa"/>
            </w:tcMar>
            <w:vAlign w:val="bottom"/>
          </w:tcPr>
          <w:p>
            <w:pPr>
              <w:pStyle w:val="TableContents"/>
              <w:spacing w:before="0" w:after="283"/>
              <w:jc w:val="left"/>
              <w:rPr/>
            </w:pPr>
            <w:r>
              <w:rPr/>
              <w:t> </w:t>
            </w:r>
          </w:p>
        </w:tc>
      </w:tr>
      <w:tr>
        <w:trPr/>
        <w:tc>
          <w:tcPr>
            <w:tcW w:w="6174" w:type="dxa"/>
            <w:tcBorders/>
            <w:shd w:fill="FFFFFF" w:val="clear"/>
            <w:tcMar>
              <w:bottom w:w="0" w:type="dxa"/>
            </w:tcMar>
            <w:vAlign w:val="bottom"/>
          </w:tcPr>
          <w:p>
            <w:pPr>
              <w:pStyle w:val="TableContents"/>
              <w:spacing w:before="0" w:after="283"/>
              <w:jc w:val="left"/>
              <w:rPr/>
            </w:pPr>
            <w:r>
              <w:rPr/>
              <w:t> </w:t>
            </w:r>
          </w:p>
        </w:tc>
        <w:tc>
          <w:tcPr>
            <w:tcW w:w="189" w:type="dxa"/>
            <w:tcBorders/>
            <w:shd w:fill="FFFFFF" w:val="clear"/>
            <w:tcMar>
              <w:bottom w:w="0" w:type="dxa"/>
            </w:tcMar>
            <w:vAlign w:val="center"/>
          </w:tcPr>
          <w:p>
            <w:pPr>
              <w:pStyle w:val="TableContents"/>
              <w:spacing w:before="0" w:after="283"/>
              <w:rPr/>
            </w:pPr>
            <w:r>
              <w:rPr/>
              <w:t> </w:t>
            </w:r>
          </w:p>
        </w:tc>
        <w:tc>
          <w:tcPr>
            <w:tcW w:w="244" w:type="dxa"/>
            <w:tcBorders/>
            <w:shd w:fill="FFFFFF" w:val="clear"/>
            <w:tcMar>
              <w:bottom w:w="0" w:type="dxa"/>
            </w:tcMar>
            <w:vAlign w:val="bottom"/>
          </w:tcPr>
          <w:p>
            <w:pPr>
              <w:pStyle w:val="TableContents"/>
              <w:spacing w:before="0" w:after="283"/>
              <w:jc w:val="left"/>
              <w:rPr/>
            </w:pPr>
            <w:r>
              <w:rPr/>
              <w:t> </w:t>
            </w:r>
          </w:p>
        </w:tc>
        <w:tc>
          <w:tcPr>
            <w:tcW w:w="1475" w:type="dxa"/>
            <w:tcBorders/>
            <w:shd w:fill="FFFFFF" w:val="clear"/>
            <w:tcMar>
              <w:bottom w:w="0" w:type="dxa"/>
            </w:tcMar>
            <w:vAlign w:val="bottom"/>
          </w:tcPr>
          <w:p>
            <w:pPr>
              <w:pStyle w:val="TableContents"/>
              <w:spacing w:before="0" w:after="283"/>
              <w:jc w:val="right"/>
              <w:rPr/>
            </w:pPr>
            <w:r>
              <w:rPr/>
              <w:t> </w:t>
            </w:r>
          </w:p>
        </w:tc>
        <w:tc>
          <w:tcPr>
            <w:tcW w:w="256" w:type="dxa"/>
            <w:tcBorders/>
            <w:shd w:fill="FFFFFF" w:val="clear"/>
            <w:tcMar>
              <w:bottom w:w="0" w:type="dxa"/>
            </w:tcMar>
            <w:vAlign w:val="bottom"/>
          </w:tcPr>
          <w:p>
            <w:pPr>
              <w:pStyle w:val="TableContents"/>
              <w:spacing w:before="0" w:after="283"/>
              <w:jc w:val="left"/>
              <w:rPr/>
            </w:pPr>
            <w:r>
              <w:rPr/>
              <w:t> </w:t>
            </w:r>
          </w:p>
        </w:tc>
        <w:tc>
          <w:tcPr>
            <w:tcW w:w="244" w:type="dxa"/>
            <w:tcBorders/>
            <w:shd w:fill="FFFFFF" w:val="clear"/>
            <w:tcMar>
              <w:bottom w:w="0" w:type="dxa"/>
            </w:tcMar>
            <w:vAlign w:val="bottom"/>
          </w:tcPr>
          <w:p>
            <w:pPr>
              <w:pStyle w:val="TableContents"/>
              <w:spacing w:before="0" w:after="283"/>
              <w:jc w:val="left"/>
              <w:rPr/>
            </w:pPr>
            <w:r>
              <w:rPr/>
              <w:t> </w:t>
            </w:r>
          </w:p>
        </w:tc>
        <w:tc>
          <w:tcPr>
            <w:tcW w:w="1477" w:type="dxa"/>
            <w:tcBorders/>
            <w:shd w:fill="FFFFFF" w:val="clear"/>
            <w:tcMar>
              <w:bottom w:w="0" w:type="dxa"/>
            </w:tcMar>
            <w:vAlign w:val="bottom"/>
          </w:tcPr>
          <w:p>
            <w:pPr>
              <w:pStyle w:val="TableContents"/>
              <w:spacing w:before="0" w:after="283"/>
              <w:jc w:val="right"/>
              <w:rPr/>
            </w:pPr>
            <w:r>
              <w:rPr/>
              <w:t> </w:t>
            </w:r>
          </w:p>
        </w:tc>
        <w:tc>
          <w:tcPr>
            <w:tcW w:w="146" w:type="dxa"/>
            <w:tcBorders/>
            <w:shd w:fill="FFFFFF" w:val="clear"/>
            <w:tcMar>
              <w:bottom w:w="0" w:type="dxa"/>
            </w:tcMar>
            <w:vAlign w:val="bottom"/>
          </w:tcPr>
          <w:p>
            <w:pPr>
              <w:pStyle w:val="TableContents"/>
              <w:spacing w:before="0" w:after="283"/>
              <w:jc w:val="left"/>
              <w:rPr/>
            </w:pPr>
            <w:r>
              <w:rPr/>
              <w:t> </w:t>
            </w:r>
          </w:p>
        </w:tc>
      </w:tr>
      <w:tr>
        <w:trPr/>
        <w:tc>
          <w:tcPr>
            <w:tcW w:w="6174"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Other Comprehensive Income:</w:t>
            </w:r>
          </w:p>
        </w:tc>
        <w:tc>
          <w:tcPr>
            <w:tcW w:w="189" w:type="dxa"/>
            <w:tcBorders/>
            <w:shd w:fill="CCFFCC" w:val="clear"/>
            <w:tcMar>
              <w:bottom w:w="0" w:type="dxa"/>
            </w:tcMar>
            <w:vAlign w:val="center"/>
          </w:tcPr>
          <w:p>
            <w:pPr>
              <w:pStyle w:val="TableContents"/>
              <w:spacing w:before="0" w:after="283"/>
              <w:rPr/>
            </w:pPr>
            <w:r>
              <w:rPr/>
              <w:t> </w:t>
            </w:r>
          </w:p>
        </w:tc>
        <w:tc>
          <w:tcPr>
            <w:tcW w:w="244" w:type="dxa"/>
            <w:tcBorders/>
            <w:shd w:fill="CCFFCC" w:val="clear"/>
            <w:tcMar>
              <w:bottom w:w="0" w:type="dxa"/>
            </w:tcMar>
            <w:vAlign w:val="bottom"/>
          </w:tcPr>
          <w:p>
            <w:pPr>
              <w:pStyle w:val="TableContents"/>
              <w:spacing w:before="0" w:after="283"/>
              <w:jc w:val="left"/>
              <w:rPr/>
            </w:pPr>
            <w:r>
              <w:rPr/>
              <w:t> </w:t>
            </w:r>
          </w:p>
        </w:tc>
        <w:tc>
          <w:tcPr>
            <w:tcW w:w="1475" w:type="dxa"/>
            <w:tcBorders/>
            <w:shd w:fill="CCFFCC" w:val="clear"/>
            <w:tcMar>
              <w:bottom w:w="0" w:type="dxa"/>
            </w:tcMar>
            <w:vAlign w:val="bottom"/>
          </w:tcPr>
          <w:p>
            <w:pPr>
              <w:pStyle w:val="TableContents"/>
              <w:spacing w:before="0" w:after="283"/>
              <w:jc w:val="right"/>
              <w:rPr/>
            </w:pPr>
            <w:r>
              <w:rPr/>
              <w:t> </w:t>
            </w:r>
          </w:p>
        </w:tc>
        <w:tc>
          <w:tcPr>
            <w:tcW w:w="256" w:type="dxa"/>
            <w:tcBorders/>
            <w:shd w:fill="CCFFCC" w:val="clear"/>
            <w:tcMar>
              <w:bottom w:w="0" w:type="dxa"/>
            </w:tcMar>
            <w:vAlign w:val="bottom"/>
          </w:tcPr>
          <w:p>
            <w:pPr>
              <w:pStyle w:val="TableContents"/>
              <w:spacing w:before="0" w:after="283"/>
              <w:jc w:val="left"/>
              <w:rPr/>
            </w:pPr>
            <w:r>
              <w:rPr/>
              <w:t> </w:t>
            </w:r>
          </w:p>
        </w:tc>
        <w:tc>
          <w:tcPr>
            <w:tcW w:w="244" w:type="dxa"/>
            <w:tcBorders/>
            <w:shd w:fill="CCFFCC" w:val="clear"/>
            <w:tcMar>
              <w:bottom w:w="0" w:type="dxa"/>
            </w:tcMar>
            <w:vAlign w:val="bottom"/>
          </w:tcPr>
          <w:p>
            <w:pPr>
              <w:pStyle w:val="TableContents"/>
              <w:spacing w:before="0" w:after="283"/>
              <w:jc w:val="left"/>
              <w:rPr/>
            </w:pPr>
            <w:r>
              <w:rPr/>
              <w:t> </w:t>
            </w:r>
          </w:p>
        </w:tc>
        <w:tc>
          <w:tcPr>
            <w:tcW w:w="1477" w:type="dxa"/>
            <w:tcBorders/>
            <w:shd w:fill="CCFFCC" w:val="clear"/>
            <w:tcMar>
              <w:bottom w:w="0" w:type="dxa"/>
            </w:tcMar>
            <w:vAlign w:val="bottom"/>
          </w:tcPr>
          <w:p>
            <w:pPr>
              <w:pStyle w:val="TableContents"/>
              <w:spacing w:before="0" w:after="283"/>
              <w:jc w:val="right"/>
              <w:rPr/>
            </w:pPr>
            <w:r>
              <w:rPr/>
              <w:t> </w:t>
            </w:r>
          </w:p>
        </w:tc>
        <w:tc>
          <w:tcPr>
            <w:tcW w:w="146" w:type="dxa"/>
            <w:tcBorders/>
            <w:shd w:fill="CCFFCC" w:val="clear"/>
            <w:tcMar>
              <w:bottom w:w="0" w:type="dxa"/>
            </w:tcMar>
            <w:vAlign w:val="bottom"/>
          </w:tcPr>
          <w:p>
            <w:pPr>
              <w:pStyle w:val="TableContents"/>
              <w:spacing w:before="0" w:after="283"/>
              <w:jc w:val="left"/>
              <w:rPr/>
            </w:pPr>
            <w:r>
              <w:rPr/>
              <w:t> </w:t>
            </w:r>
          </w:p>
        </w:tc>
      </w:tr>
      <w:tr>
        <w:trPr/>
        <w:tc>
          <w:tcPr>
            <w:tcW w:w="6174" w:type="dxa"/>
            <w:tcBorders/>
            <w:shd w:fill="FFFFFF" w:val="clear"/>
            <w:tcMar>
              <w:bottom w:w="0" w:type="dxa"/>
            </w:tcMar>
            <w:vAlign w:val="bottom"/>
          </w:tcPr>
          <w:p>
            <w:pPr>
              <w:pStyle w:val="TableContents"/>
              <w:spacing w:before="0" w:after="283"/>
              <w:jc w:val="left"/>
              <w:rPr/>
            </w:pPr>
            <w:r>
              <w:rPr/>
              <w:t> </w:t>
            </w:r>
          </w:p>
        </w:tc>
        <w:tc>
          <w:tcPr>
            <w:tcW w:w="189" w:type="dxa"/>
            <w:tcBorders/>
            <w:shd w:fill="FFFFFF" w:val="clear"/>
            <w:tcMar>
              <w:bottom w:w="0" w:type="dxa"/>
            </w:tcMar>
            <w:vAlign w:val="center"/>
          </w:tcPr>
          <w:p>
            <w:pPr>
              <w:pStyle w:val="TableContents"/>
              <w:spacing w:before="0" w:after="283"/>
              <w:rPr/>
            </w:pPr>
            <w:r>
              <w:rPr/>
              <w:t> </w:t>
            </w:r>
          </w:p>
        </w:tc>
        <w:tc>
          <w:tcPr>
            <w:tcW w:w="244" w:type="dxa"/>
            <w:tcBorders/>
            <w:shd w:fill="FFFFFF" w:val="clear"/>
            <w:tcMar>
              <w:bottom w:w="0" w:type="dxa"/>
            </w:tcMar>
            <w:vAlign w:val="bottom"/>
          </w:tcPr>
          <w:p>
            <w:pPr>
              <w:pStyle w:val="TableContents"/>
              <w:spacing w:before="0" w:after="283"/>
              <w:jc w:val="left"/>
              <w:rPr/>
            </w:pPr>
            <w:r>
              <w:rPr/>
              <w:t> </w:t>
            </w:r>
          </w:p>
        </w:tc>
        <w:tc>
          <w:tcPr>
            <w:tcW w:w="1475" w:type="dxa"/>
            <w:tcBorders/>
            <w:shd w:fill="FFFFFF" w:val="clear"/>
            <w:tcMar>
              <w:bottom w:w="0" w:type="dxa"/>
            </w:tcMar>
            <w:vAlign w:val="bottom"/>
          </w:tcPr>
          <w:p>
            <w:pPr>
              <w:pStyle w:val="TableContents"/>
              <w:spacing w:before="0" w:after="283"/>
              <w:jc w:val="right"/>
              <w:rPr/>
            </w:pPr>
            <w:r>
              <w:rPr/>
              <w:t> </w:t>
            </w:r>
          </w:p>
        </w:tc>
        <w:tc>
          <w:tcPr>
            <w:tcW w:w="256" w:type="dxa"/>
            <w:tcBorders/>
            <w:shd w:fill="FFFFFF" w:val="clear"/>
            <w:tcMar>
              <w:bottom w:w="0" w:type="dxa"/>
            </w:tcMar>
            <w:vAlign w:val="bottom"/>
          </w:tcPr>
          <w:p>
            <w:pPr>
              <w:pStyle w:val="TableContents"/>
              <w:spacing w:before="0" w:after="283"/>
              <w:jc w:val="left"/>
              <w:rPr/>
            </w:pPr>
            <w:r>
              <w:rPr/>
              <w:t> </w:t>
            </w:r>
          </w:p>
        </w:tc>
        <w:tc>
          <w:tcPr>
            <w:tcW w:w="244" w:type="dxa"/>
            <w:tcBorders/>
            <w:shd w:fill="FFFFFF" w:val="clear"/>
            <w:tcMar>
              <w:bottom w:w="0" w:type="dxa"/>
            </w:tcMar>
            <w:vAlign w:val="bottom"/>
          </w:tcPr>
          <w:p>
            <w:pPr>
              <w:pStyle w:val="TableContents"/>
              <w:spacing w:before="0" w:after="283"/>
              <w:jc w:val="left"/>
              <w:rPr/>
            </w:pPr>
            <w:r>
              <w:rPr/>
              <w:t> </w:t>
            </w:r>
          </w:p>
        </w:tc>
        <w:tc>
          <w:tcPr>
            <w:tcW w:w="1477" w:type="dxa"/>
            <w:tcBorders/>
            <w:shd w:fill="FFFFFF" w:val="clear"/>
            <w:tcMar>
              <w:bottom w:w="0" w:type="dxa"/>
            </w:tcMar>
            <w:vAlign w:val="bottom"/>
          </w:tcPr>
          <w:p>
            <w:pPr>
              <w:pStyle w:val="TableContents"/>
              <w:spacing w:before="0" w:after="283"/>
              <w:jc w:val="right"/>
              <w:rPr/>
            </w:pPr>
            <w:r>
              <w:rPr/>
              <w:t> </w:t>
            </w:r>
          </w:p>
        </w:tc>
        <w:tc>
          <w:tcPr>
            <w:tcW w:w="146" w:type="dxa"/>
            <w:tcBorders/>
            <w:shd w:fill="FFFFFF" w:val="clear"/>
            <w:tcMar>
              <w:bottom w:w="0" w:type="dxa"/>
            </w:tcMar>
            <w:vAlign w:val="bottom"/>
          </w:tcPr>
          <w:p>
            <w:pPr>
              <w:pStyle w:val="TableContents"/>
              <w:spacing w:before="0" w:after="283"/>
              <w:jc w:val="left"/>
              <w:rPr/>
            </w:pPr>
            <w:r>
              <w:rPr/>
              <w:t> </w:t>
            </w:r>
          </w:p>
        </w:tc>
      </w:tr>
      <w:tr>
        <w:trPr/>
        <w:tc>
          <w:tcPr>
            <w:tcW w:w="6174"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 xml:space="preserve">Unrealized (loss) gain on marketable securities </w:t>
            </w:r>
          </w:p>
        </w:tc>
        <w:tc>
          <w:tcPr>
            <w:tcW w:w="189" w:type="dxa"/>
            <w:tcBorders/>
            <w:shd w:fill="CCFFCC" w:val="clear"/>
            <w:tcMar>
              <w:bottom w:w="0" w:type="dxa"/>
            </w:tcMar>
            <w:vAlign w:val="center"/>
          </w:tcPr>
          <w:p>
            <w:pPr>
              <w:pStyle w:val="TableContents"/>
              <w:spacing w:before="0" w:after="283"/>
              <w:rPr/>
            </w:pPr>
            <w:r>
              <w:rPr/>
              <w:t> </w:t>
            </w:r>
          </w:p>
        </w:tc>
        <w:tc>
          <w:tcPr>
            <w:tcW w:w="244" w:type="dxa"/>
            <w:tcBorders/>
            <w:shd w:fill="CCFFCC" w:val="clear"/>
            <w:tcMar>
              <w:bottom w:w="0" w:type="dxa"/>
            </w:tcMar>
            <w:vAlign w:val="bottom"/>
          </w:tcPr>
          <w:p>
            <w:pPr>
              <w:pStyle w:val="TableContents"/>
              <w:spacing w:before="0" w:after="283"/>
              <w:jc w:val="left"/>
              <w:rPr/>
            </w:pPr>
            <w:r>
              <w:rPr/>
              <w:t> </w:t>
            </w:r>
          </w:p>
        </w:tc>
        <w:tc>
          <w:tcPr>
            <w:tcW w:w="1475"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(35</w:t>
            </w:r>
          </w:p>
        </w:tc>
        <w:tc>
          <w:tcPr>
            <w:tcW w:w="256"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244" w:type="dxa"/>
            <w:tcBorders/>
            <w:shd w:fill="CCFFCC" w:val="clear"/>
            <w:tcMar>
              <w:bottom w:w="0" w:type="dxa"/>
            </w:tcMar>
            <w:vAlign w:val="bottom"/>
          </w:tcPr>
          <w:p>
            <w:pPr>
              <w:pStyle w:val="TableContents"/>
              <w:spacing w:before="0" w:after="283"/>
              <w:jc w:val="left"/>
              <w:rPr/>
            </w:pPr>
            <w:r>
              <w:rPr/>
              <w:t> </w:t>
            </w:r>
          </w:p>
        </w:tc>
        <w:tc>
          <w:tcPr>
            <w:tcW w:w="1477"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w:t>
            </w:r>
          </w:p>
        </w:tc>
        <w:tc>
          <w:tcPr>
            <w:tcW w:w="146" w:type="dxa"/>
            <w:tcBorders/>
            <w:shd w:fill="CCFFCC" w:val="clear"/>
            <w:tcMar>
              <w:bottom w:w="0" w:type="dxa"/>
            </w:tcMar>
            <w:vAlign w:val="bottom"/>
          </w:tcPr>
          <w:p>
            <w:pPr>
              <w:pStyle w:val="TableContents"/>
              <w:spacing w:before="0" w:after="283"/>
              <w:jc w:val="left"/>
              <w:rPr/>
            </w:pPr>
            <w:r>
              <w:rPr/>
              <w:t> </w:t>
            </w:r>
          </w:p>
        </w:tc>
      </w:tr>
      <w:tr>
        <w:trPr/>
        <w:tc>
          <w:tcPr>
            <w:tcW w:w="6174"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Pension and postretirement benefits</w:t>
            </w:r>
          </w:p>
        </w:tc>
        <w:tc>
          <w:tcPr>
            <w:tcW w:w="189" w:type="dxa"/>
            <w:tcBorders/>
            <w:shd w:fill="FFFFFF" w:val="clear"/>
            <w:tcMar>
              <w:bottom w:w="0" w:type="dxa"/>
            </w:tcMar>
            <w:vAlign w:val="center"/>
          </w:tcPr>
          <w:p>
            <w:pPr>
              <w:pStyle w:val="TableContents"/>
              <w:spacing w:before="0" w:after="283"/>
              <w:rPr/>
            </w:pPr>
            <w:r>
              <w:rPr/>
              <w:t> </w:t>
            </w:r>
          </w:p>
        </w:tc>
        <w:tc>
          <w:tcPr>
            <w:tcW w:w="244" w:type="dxa"/>
            <w:tcBorders/>
            <w:shd w:fill="FFFFFF" w:val="clear"/>
            <w:tcMar>
              <w:bottom w:w="0" w:type="dxa"/>
            </w:tcMar>
            <w:vAlign w:val="bottom"/>
          </w:tcPr>
          <w:p>
            <w:pPr>
              <w:pStyle w:val="TableContents"/>
              <w:spacing w:before="0" w:after="283"/>
              <w:jc w:val="left"/>
              <w:rPr/>
            </w:pPr>
            <w:r>
              <w:rPr/>
              <w:t> </w:t>
            </w:r>
          </w:p>
        </w:tc>
        <w:tc>
          <w:tcPr>
            <w:tcW w:w="1475"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6</w:t>
            </w:r>
          </w:p>
        </w:tc>
        <w:tc>
          <w:tcPr>
            <w:tcW w:w="256" w:type="dxa"/>
            <w:tcBorders/>
            <w:shd w:fill="FFFFFF" w:val="clear"/>
            <w:tcMar>
              <w:bottom w:w="0" w:type="dxa"/>
            </w:tcMar>
            <w:vAlign w:val="bottom"/>
          </w:tcPr>
          <w:p>
            <w:pPr>
              <w:pStyle w:val="TableContents"/>
              <w:spacing w:before="0" w:after="283"/>
              <w:jc w:val="left"/>
              <w:rPr/>
            </w:pPr>
            <w:r>
              <w:rPr/>
              <w:t> </w:t>
            </w:r>
          </w:p>
        </w:tc>
        <w:tc>
          <w:tcPr>
            <w:tcW w:w="244" w:type="dxa"/>
            <w:tcBorders/>
            <w:shd w:fill="FFFFFF" w:val="clear"/>
            <w:tcMar>
              <w:bottom w:w="0" w:type="dxa"/>
            </w:tcMar>
            <w:vAlign w:val="bottom"/>
          </w:tcPr>
          <w:p>
            <w:pPr>
              <w:pStyle w:val="TableContents"/>
              <w:spacing w:before="0" w:after="283"/>
              <w:jc w:val="left"/>
              <w:rPr/>
            </w:pPr>
            <w:r>
              <w:rPr/>
              <w:t> </w:t>
            </w:r>
          </w:p>
        </w:tc>
        <w:tc>
          <w:tcPr>
            <w:tcW w:w="1477" w:type="dxa"/>
            <w:tcBorders/>
            <w:shd w:fill="FFFFFF" w:val="clear"/>
            <w:tcMar>
              <w:bottom w:w="0" w:type="dxa"/>
            </w:tcMar>
            <w:vAlign w:val="bottom"/>
          </w:tcPr>
          <w:p>
            <w:pPr>
              <w:pStyle w:val="TableContents"/>
              <w:spacing w:lineRule="auto" w:line="300" w:before="0" w:after="0"/>
              <w:ind w:left="0" w:right="0" w:hanging="0"/>
              <w:jc w:val="right"/>
              <w:rPr/>
            </w:pPr>
            <w:r>
              <w:rPr/>
              <w:t>—</w:t>
            </w:r>
          </w:p>
        </w:tc>
        <w:tc>
          <w:tcPr>
            <w:tcW w:w="146" w:type="dxa"/>
            <w:tcBorders/>
            <w:shd w:fill="FFFFFF" w:val="clear"/>
            <w:tcMar>
              <w:bottom w:w="0" w:type="dxa"/>
            </w:tcMar>
            <w:vAlign w:val="bottom"/>
          </w:tcPr>
          <w:p>
            <w:pPr>
              <w:pStyle w:val="TableContents"/>
              <w:spacing w:before="0" w:after="283"/>
              <w:jc w:val="left"/>
              <w:rPr/>
            </w:pPr>
            <w:r>
              <w:rPr/>
              <w:t> </w:t>
            </w:r>
          </w:p>
        </w:tc>
      </w:tr>
      <w:tr>
        <w:trPr/>
        <w:tc>
          <w:tcPr>
            <w:tcW w:w="6174" w:type="dxa"/>
            <w:tcBorders>
              <w:bottom w:val="single" w:sz="4" w:space="0" w:color="CCFFCC"/>
            </w:tcBorders>
            <w:shd w:fill="CCFFCC" w:val="cle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Cumulative Translation Adjustments</w:t>
            </w:r>
          </w:p>
        </w:tc>
        <w:tc>
          <w:tcPr>
            <w:tcW w:w="189" w:type="dxa"/>
            <w:tcBorders>
              <w:bottom w:val="single" w:sz="4" w:space="0" w:color="CCFFCC"/>
            </w:tcBorders>
            <w:shd w:fill="CCFFCC" w:val="clear"/>
            <w:vAlign w:val="center"/>
          </w:tcPr>
          <w:p>
            <w:pPr>
              <w:pStyle w:val="TableContents"/>
              <w:spacing w:before="0" w:after="283"/>
              <w:rPr/>
            </w:pPr>
            <w:r>
              <w:rPr/>
              <w:t> </w:t>
            </w:r>
          </w:p>
        </w:tc>
        <w:tc>
          <w:tcPr>
            <w:tcW w:w="244" w:type="dxa"/>
            <w:tcBorders>
              <w:bottom w:val="single" w:sz="2" w:space="0" w:color="000000"/>
            </w:tcBorders>
            <w:shd w:fill="CCFFCC" w:val="clear"/>
            <w:vAlign w:val="bottom"/>
          </w:tcPr>
          <w:p>
            <w:pPr>
              <w:pStyle w:val="TableContents"/>
              <w:spacing w:before="0" w:after="283"/>
              <w:jc w:val="left"/>
              <w:rPr/>
            </w:pPr>
            <w:r>
              <w:rPr/>
              <w:t> </w:t>
            </w:r>
          </w:p>
        </w:tc>
        <w:tc>
          <w:tcPr>
            <w:tcW w:w="1475" w:type="dxa"/>
            <w:tcBorders>
              <w:bottom w:val="single" w:sz="2" w:space="0" w:color="000000"/>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(236</w:t>
            </w:r>
          </w:p>
        </w:tc>
        <w:tc>
          <w:tcPr>
            <w:tcW w:w="256" w:type="dxa"/>
            <w:tcBorders>
              <w:bottom w:val="single" w:sz="4"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244" w:type="dxa"/>
            <w:tcBorders>
              <w:bottom w:val="single" w:sz="2" w:space="0" w:color="000000"/>
            </w:tcBorders>
            <w:shd w:fill="CCFFCC" w:val="clear"/>
            <w:vAlign w:val="bottom"/>
          </w:tcPr>
          <w:p>
            <w:pPr>
              <w:pStyle w:val="TableContents"/>
              <w:spacing w:before="0" w:after="283"/>
              <w:jc w:val="left"/>
              <w:rPr/>
            </w:pPr>
            <w:r>
              <w:rPr/>
              <w:t> </w:t>
            </w:r>
          </w:p>
        </w:tc>
        <w:tc>
          <w:tcPr>
            <w:tcW w:w="1477"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bookmarkStart w:id="208" w:name="TAB1108"/>
            <w:bookmarkStart w:id="209" w:name="TAB1109"/>
            <w:bookmarkEnd w:id="208"/>
            <w:bookmarkEnd w:id="209"/>
            <w:r>
              <w:rPr>
                <w:rFonts w:ascii="Times New Roman" w:hAnsi="Times New Roman"/>
                <w:sz w:val="20"/>
              </w:rPr>
              <w:t>(102</w:t>
            </w:r>
          </w:p>
        </w:tc>
        <w:tc>
          <w:tcPr>
            <w:tcW w:w="146"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bookmarkStart w:id="210" w:name="TAB1110"/>
            <w:bookmarkStart w:id="211" w:name="TAB1111"/>
            <w:bookmarkEnd w:id="210"/>
            <w:bookmarkEnd w:id="211"/>
            <w:r>
              <w:rPr>
                <w:rFonts w:ascii="Times New Roman" w:hAnsi="Times New Roman"/>
                <w:sz w:val="20"/>
              </w:rPr>
              <w:t>)</w:t>
            </w:r>
          </w:p>
        </w:tc>
      </w:tr>
      <w:tr>
        <w:trPr/>
        <w:tc>
          <w:tcPr>
            <w:tcW w:w="6174" w:type="dxa"/>
            <w:tcBorders/>
            <w:shd w:fill="FFFFFF" w:val="clear"/>
            <w:tcMar>
              <w:bottom w:w="0" w:type="dxa"/>
            </w:tcMar>
            <w:vAlign w:val="bottom"/>
          </w:tcPr>
          <w:p>
            <w:pPr>
              <w:pStyle w:val="TableContents"/>
              <w:spacing w:before="0" w:after="283"/>
              <w:jc w:val="left"/>
              <w:rPr/>
            </w:pPr>
            <w:r>
              <w:rPr/>
              <w:t> </w:t>
            </w:r>
          </w:p>
        </w:tc>
        <w:tc>
          <w:tcPr>
            <w:tcW w:w="189" w:type="dxa"/>
            <w:tcBorders/>
            <w:shd w:fill="FFFFFF" w:val="clear"/>
            <w:tcMar>
              <w:bottom w:w="0" w:type="dxa"/>
            </w:tcMar>
            <w:vAlign w:val="center"/>
          </w:tcPr>
          <w:p>
            <w:pPr>
              <w:pStyle w:val="TableContents"/>
              <w:spacing w:before="0" w:after="283"/>
              <w:rPr/>
            </w:pPr>
            <w:r>
              <w:rPr/>
              <w:t> </w:t>
            </w:r>
          </w:p>
        </w:tc>
        <w:tc>
          <w:tcPr>
            <w:tcW w:w="244" w:type="dxa"/>
            <w:tcBorders/>
            <w:shd w:fill="FFFFFF" w:val="clear"/>
            <w:tcMar>
              <w:bottom w:w="0" w:type="dxa"/>
            </w:tcMar>
            <w:vAlign w:val="bottom"/>
          </w:tcPr>
          <w:p>
            <w:pPr>
              <w:pStyle w:val="TableContents"/>
              <w:spacing w:before="0" w:after="283"/>
              <w:jc w:val="left"/>
              <w:rPr/>
            </w:pPr>
            <w:r>
              <w:rPr/>
              <w:t> </w:t>
            </w:r>
          </w:p>
        </w:tc>
        <w:tc>
          <w:tcPr>
            <w:tcW w:w="1475" w:type="dxa"/>
            <w:tcBorders/>
            <w:shd w:fill="FFFFFF" w:val="clear"/>
            <w:tcMar>
              <w:bottom w:w="0" w:type="dxa"/>
            </w:tcMar>
            <w:vAlign w:val="bottom"/>
          </w:tcPr>
          <w:p>
            <w:pPr>
              <w:pStyle w:val="TableContents"/>
              <w:spacing w:before="0" w:after="283"/>
              <w:jc w:val="right"/>
              <w:rPr/>
            </w:pPr>
            <w:r>
              <w:rPr/>
              <w:t> </w:t>
            </w:r>
          </w:p>
        </w:tc>
        <w:tc>
          <w:tcPr>
            <w:tcW w:w="256" w:type="dxa"/>
            <w:tcBorders/>
            <w:shd w:fill="FFFFFF" w:val="clear"/>
            <w:tcMar>
              <w:bottom w:w="0" w:type="dxa"/>
            </w:tcMar>
            <w:vAlign w:val="bottom"/>
          </w:tcPr>
          <w:p>
            <w:pPr>
              <w:pStyle w:val="TableContents"/>
              <w:spacing w:before="0" w:after="283"/>
              <w:jc w:val="left"/>
              <w:rPr/>
            </w:pPr>
            <w:r>
              <w:rPr/>
              <w:t> </w:t>
            </w:r>
          </w:p>
        </w:tc>
        <w:tc>
          <w:tcPr>
            <w:tcW w:w="244" w:type="dxa"/>
            <w:tcBorders/>
            <w:shd w:fill="FFFFFF" w:val="clear"/>
            <w:tcMar>
              <w:bottom w:w="0" w:type="dxa"/>
            </w:tcMar>
            <w:vAlign w:val="bottom"/>
          </w:tcPr>
          <w:p>
            <w:pPr>
              <w:pStyle w:val="TableContents"/>
              <w:spacing w:before="0" w:after="283"/>
              <w:jc w:val="left"/>
              <w:rPr/>
            </w:pPr>
            <w:r>
              <w:rPr/>
              <w:t> </w:t>
            </w:r>
          </w:p>
        </w:tc>
        <w:tc>
          <w:tcPr>
            <w:tcW w:w="1477" w:type="dxa"/>
            <w:tcBorders/>
            <w:shd w:fill="FFFFFF" w:val="clear"/>
            <w:tcMar>
              <w:bottom w:w="0" w:type="dxa"/>
            </w:tcMar>
            <w:vAlign w:val="bottom"/>
          </w:tcPr>
          <w:p>
            <w:pPr>
              <w:pStyle w:val="TableContents"/>
              <w:spacing w:before="0" w:after="283"/>
              <w:jc w:val="right"/>
              <w:rPr/>
            </w:pPr>
            <w:r>
              <w:rPr/>
              <w:t> </w:t>
            </w:r>
          </w:p>
        </w:tc>
        <w:tc>
          <w:tcPr>
            <w:tcW w:w="146" w:type="dxa"/>
            <w:tcBorders/>
            <w:shd w:fill="FFFFFF" w:val="clear"/>
            <w:tcMar>
              <w:bottom w:w="0" w:type="dxa"/>
            </w:tcMar>
            <w:vAlign w:val="bottom"/>
          </w:tcPr>
          <w:p>
            <w:pPr>
              <w:pStyle w:val="TableContents"/>
              <w:spacing w:before="0" w:after="283"/>
              <w:jc w:val="left"/>
              <w:rPr/>
            </w:pPr>
            <w:r>
              <w:rPr/>
              <w:t> </w:t>
            </w:r>
          </w:p>
        </w:tc>
      </w:tr>
      <w:tr>
        <w:trPr/>
        <w:tc>
          <w:tcPr>
            <w:tcW w:w="6174" w:type="dxa"/>
            <w:tcBorders>
              <w:bottom w:val="single" w:sz="4"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Total Comprehensive Income</w:t>
            </w:r>
          </w:p>
        </w:tc>
        <w:tc>
          <w:tcPr>
            <w:tcW w:w="189" w:type="dxa"/>
            <w:tcBorders>
              <w:bottom w:val="single" w:sz="4" w:space="0" w:color="CCFFCC"/>
            </w:tcBorders>
            <w:shd w:fill="CCFFCC" w:val="clear"/>
            <w:vAlign w:val="center"/>
          </w:tcPr>
          <w:p>
            <w:pPr>
              <w:pStyle w:val="TableContents"/>
              <w:spacing w:before="0" w:after="283"/>
              <w:rPr/>
            </w:pPr>
            <w:r>
              <w:rPr/>
              <w:t> </w:t>
            </w:r>
          </w:p>
        </w:tc>
        <w:tc>
          <w:tcPr>
            <w:tcW w:w="244" w:type="dxa"/>
            <w:tcBorders>
              <w:bottom w:val="double" w:sz="2" w:space="0" w:color="000000"/>
            </w:tcBorders>
            <w:shd w:fill="CCFFCC" w:val="clear"/>
            <w:vAlign w:val="bottom"/>
          </w:tcPr>
          <w:p>
            <w:pPr>
              <w:pStyle w:val="TableContents"/>
              <w:spacing w:lineRule="auto" w:line="300" w:before="0" w:after="0"/>
              <w:ind w:left="0" w:right="0" w:hanging="0"/>
              <w:jc w:val="left"/>
              <w:rPr/>
            </w:pPr>
            <w:bookmarkStart w:id="212" w:name="TAB1112"/>
            <w:bookmarkEnd w:id="212"/>
            <w:r>
              <w:rPr>
                <w:rStyle w:val="StrongEmphasis"/>
                <w:rFonts w:ascii="Times New Roman" w:hAnsi="Times New Roman"/>
                <w:sz w:val="20"/>
              </w:rPr>
              <w:t>$</w:t>
            </w:r>
            <w:bookmarkStart w:id="213" w:name="TAB219"/>
            <w:bookmarkEnd w:id="213"/>
          </w:p>
        </w:tc>
        <w:tc>
          <w:tcPr>
            <w:tcW w:w="1475" w:type="dxa"/>
            <w:tcBorders>
              <w:bottom w:val="double" w:sz="2" w:space="0" w:color="000000"/>
            </w:tcBorders>
            <w:shd w:fill="CCFFCC" w:val="clear"/>
            <w:vAlign w:val="bottom"/>
          </w:tcPr>
          <w:p>
            <w:pPr>
              <w:pStyle w:val="TableContents"/>
              <w:spacing w:lineRule="auto" w:line="300" w:before="0" w:after="0"/>
              <w:ind w:left="0" w:right="0" w:hanging="0"/>
              <w:jc w:val="right"/>
              <w:rPr/>
            </w:pPr>
            <w:bookmarkStart w:id="214" w:name="TAB220"/>
            <w:bookmarkStart w:id="215" w:name="TAB1113"/>
            <w:bookmarkEnd w:id="214"/>
            <w:bookmarkEnd w:id="215"/>
            <w:r>
              <w:rPr>
                <w:rStyle w:val="StrongEmphasis"/>
                <w:rFonts w:ascii="Times New Roman" w:hAnsi="Times New Roman"/>
                <w:sz w:val="20"/>
              </w:rPr>
              <w:t>1,824</w:t>
            </w:r>
          </w:p>
        </w:tc>
        <w:tc>
          <w:tcPr>
            <w:tcW w:w="256" w:type="dxa"/>
            <w:tcBorders>
              <w:bottom w:val="single" w:sz="4" w:space="0" w:color="CCFFCC"/>
            </w:tcBorders>
            <w:shd w:fill="CCFFCC" w:val="clear"/>
            <w:vAlign w:val="bottom"/>
          </w:tcPr>
          <w:p>
            <w:pPr>
              <w:pStyle w:val="TableContents"/>
              <w:spacing w:before="0" w:after="283"/>
              <w:jc w:val="left"/>
              <w:rPr/>
            </w:pPr>
            <w:r>
              <w:rPr/>
              <w:t> </w:t>
            </w:r>
          </w:p>
        </w:tc>
        <w:tc>
          <w:tcPr>
            <w:tcW w:w="244"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bookmarkStart w:id="216" w:name="TAB1114"/>
            <w:bookmarkEnd w:id="216"/>
            <w:r>
              <w:rPr>
                <w:rFonts w:ascii="Times New Roman" w:hAnsi="Times New Roman"/>
                <w:sz w:val="20"/>
              </w:rPr>
              <w:t>$</w:t>
            </w:r>
            <w:bookmarkStart w:id="217" w:name="TAB221"/>
            <w:bookmarkEnd w:id="217"/>
          </w:p>
        </w:tc>
        <w:tc>
          <w:tcPr>
            <w:tcW w:w="1477"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bookmarkStart w:id="218" w:name="TAB222"/>
            <w:bookmarkStart w:id="219" w:name="TAB1115"/>
            <w:bookmarkEnd w:id="218"/>
            <w:bookmarkEnd w:id="219"/>
            <w:r>
              <w:rPr>
                <w:rFonts w:ascii="Times New Roman" w:hAnsi="Times New Roman"/>
                <w:sz w:val="20"/>
              </w:rPr>
              <w:t>1,868</w:t>
            </w:r>
          </w:p>
        </w:tc>
        <w:tc>
          <w:tcPr>
            <w:tcW w:w="146" w:type="dxa"/>
            <w:tcBorders>
              <w:bottom w:val="single" w:sz="4" w:space="0" w:color="CCFFCC"/>
            </w:tcBorders>
            <w:shd w:fill="CCFFCC" w:val="clear"/>
            <w:vAlign w:val="bottom"/>
          </w:tcPr>
          <w:p>
            <w:pPr>
              <w:pStyle w:val="TableContents"/>
              <w:spacing w:before="0" w:after="283"/>
              <w:jc w:val="left"/>
              <w:rPr/>
            </w:pPr>
            <w:r>
              <w:rPr/>
              <w:t> </w:t>
            </w:r>
          </w:p>
        </w:tc>
      </w:tr>
    </w:tbl>
    <w:p>
      <w:pPr>
        <w:pStyle w:val="TextBody"/>
        <w:spacing w:lineRule="auto" w:line="300" w:before="0" w:after="0"/>
        <w:ind w:left="216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accompanying notes are an integral part of the condensed consolidated financial statements.</w:t>
      </w:r>
    </w:p>
    <w:p>
      <w:pPr>
        <w:pStyle w:val="TextBody"/>
        <w:spacing w:lineRule="auto" w:line="30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0" w:name="PGBRK6"/>
      <w:bookmarkStart w:id="221" w:name="PGBRK6"/>
      <w:bookmarkEnd w:id="2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2" w:name="FTR6"/>
      <w:bookmarkStart w:id="223" w:name="FTR6"/>
      <w:bookmarkEnd w:id="2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4" w:name="GLFTR6"/>
      <w:bookmarkStart w:id="225" w:name="GLFTR6"/>
      <w:bookmarkEnd w:id="2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226" w:name="PN6"/>
      <w:bookmarkEnd w:id="226"/>
      <w:r>
        <w:rPr>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7" w:name="HDR6"/>
      <w:bookmarkStart w:id="228" w:name="HDR6"/>
      <w:bookmarkEnd w:id="2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9" w:name="GLHDR6"/>
      <w:bookmarkStart w:id="230" w:name="GLHDR6"/>
      <w:bookmarkEnd w:id="2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center"/>
        <w:rPr/>
      </w:pPr>
      <w:r>
        <w:rPr>
          <w:rStyle w:val="StrongEmphasis"/>
          <w:rFonts w:ascii="Times New Roman" w:hAnsi="Times New Roman"/>
          <w:sz w:val="20"/>
        </w:rPr>
        <w:t>OIL-DRI CORPORATION OF AMERICA &amp; SUBSIDIARIES</w:t>
      </w:r>
    </w:p>
    <w:p>
      <w:pPr>
        <w:pStyle w:val="TextBody"/>
        <w:spacing w:lineRule="auto" w:line="300" w:before="0" w:after="0"/>
        <w:ind w:left="0" w:right="0" w:hanging="0"/>
        <w:jc w:val="center"/>
        <w:rPr/>
      </w:pPr>
      <w:r>
        <w:rPr>
          <w:rStyle w:val="StrongEmphasis"/>
          <w:rFonts w:ascii="Times New Roman" w:hAnsi="Times New Roman"/>
          <w:sz w:val="20"/>
        </w:rPr>
        <w:t>Condensed Consolidated Statements of Cash Flows</w:t>
      </w:r>
    </w:p>
    <w:p>
      <w:pPr>
        <w:pStyle w:val="TextBody"/>
        <w:spacing w:lineRule="auto" w:line="300" w:before="0" w:after="0"/>
        <w:ind w:left="0" w:right="0" w:hanging="0"/>
        <w:jc w:val="center"/>
        <w:rPr/>
      </w:pPr>
      <w:r>
        <w:rPr>
          <w:rStyle w:val="StrongEmphasis"/>
          <w:rFonts w:ascii="Times New Roman" w:hAnsi="Times New Roman"/>
          <w:sz w:val="20"/>
        </w:rPr>
        <w:t>(in thousands of dollars)</w:t>
      </w:r>
    </w:p>
    <w:p>
      <w:pPr>
        <w:pStyle w:val="TextBody"/>
        <w:spacing w:lineRule="auto" w:line="300" w:before="0" w:after="0"/>
        <w:ind w:left="0" w:right="0" w:hanging="0"/>
        <w:jc w:val="center"/>
        <w:rPr/>
      </w:pPr>
      <w:r>
        <w:rPr>
          <w:rStyle w:val="StrongEmphasis"/>
          <w:rFonts w:ascii="Times New Roman" w:hAnsi="Times New Roman"/>
          <w:sz w:val="20"/>
        </w:rPr>
        <w:t>(unaudited)</w:t>
      </w:r>
    </w:p>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231" w:name="ftable6"/>
      <w:bookmarkStart w:id="232" w:name="ftable6"/>
      <w:bookmarkEnd w:id="232"/>
    </w:p>
    <w:tbl>
      <w:tblPr>
        <w:tblW w:w="5000" w:type="pct"/>
        <w:jc w:val="left"/>
        <w:tblInd w:w="0" w:type="dxa"/>
        <w:tblCellMar>
          <w:top w:w="0" w:type="dxa"/>
          <w:left w:w="0" w:type="dxa"/>
          <w:bottom w:w="28" w:type="dxa"/>
          <w:right w:w="0" w:type="dxa"/>
        </w:tblCellMar>
      </w:tblPr>
      <w:tblGrid>
        <w:gridCol w:w="6988"/>
        <w:gridCol w:w="204"/>
        <w:gridCol w:w="128"/>
        <w:gridCol w:w="1212"/>
        <w:gridCol w:w="209"/>
        <w:gridCol w:w="128"/>
        <w:gridCol w:w="1212"/>
        <w:gridCol w:w="124"/>
      </w:tblGrid>
      <w:tr>
        <w:trPr/>
        <w:tc>
          <w:tcPr>
            <w:tcW w:w="6988" w:type="dxa"/>
            <w:tcBorders>
              <w:bottom w:val="single" w:sz="4" w:space="0" w:color="FFFFFF"/>
            </w:tcBorders>
            <w:shd w:fill="auto" w:val="clear"/>
            <w:vAlign w:val="bottom"/>
          </w:tcPr>
          <w:p>
            <w:pPr>
              <w:pStyle w:val="TableContents"/>
              <w:spacing w:before="0" w:after="283"/>
              <w:jc w:val="left"/>
              <w:rPr/>
            </w:pPr>
            <w:r>
              <w:rPr/>
              <w:t> </w:t>
            </w:r>
          </w:p>
        </w:tc>
        <w:tc>
          <w:tcPr>
            <w:tcW w:w="204" w:type="dxa"/>
            <w:tcBorders>
              <w:bottom w:val="single" w:sz="4" w:space="0" w:color="FFFFFF"/>
            </w:tcBorders>
            <w:shd w:fill="auto" w:val="clear"/>
            <w:vAlign w:val="center"/>
          </w:tcPr>
          <w:p>
            <w:pPr>
              <w:pStyle w:val="TableContents"/>
              <w:spacing w:before="0" w:after="283"/>
              <w:rPr/>
            </w:pPr>
            <w:r>
              <w:rPr/>
              <w:t> </w:t>
            </w:r>
          </w:p>
        </w:tc>
        <w:tc>
          <w:tcPr>
            <w:tcW w:w="2889"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For The Six Months Ended </w:t>
            </w:r>
          </w:p>
          <w:p>
            <w:pPr>
              <w:pStyle w:val="TableContents"/>
              <w:spacing w:lineRule="auto" w:line="300" w:before="0" w:after="0"/>
              <w:ind w:left="0" w:right="0" w:hanging="0"/>
              <w:jc w:val="center"/>
              <w:rPr/>
            </w:pPr>
            <w:r>
              <w:rPr>
                <w:rStyle w:val="StrongEmphasis"/>
                <w:rFonts w:ascii="Times New Roman" w:hAnsi="Times New Roman"/>
                <w:sz w:val="20"/>
              </w:rPr>
              <w:t>January 31</w:t>
            </w:r>
          </w:p>
        </w:tc>
        <w:tc>
          <w:tcPr>
            <w:tcW w:w="124" w:type="dxa"/>
            <w:tcBorders>
              <w:bottom w:val="single" w:sz="4" w:space="0" w:color="FFFFFF"/>
            </w:tcBorders>
            <w:shd w:fill="auto" w:val="clear"/>
            <w:vAlign w:val="bottom"/>
          </w:tcPr>
          <w:p>
            <w:pPr>
              <w:pStyle w:val="TableContents"/>
              <w:spacing w:before="0" w:after="283"/>
              <w:jc w:val="left"/>
              <w:rPr/>
            </w:pPr>
            <w:r>
              <w:rPr/>
              <w:t> </w:t>
            </w:r>
          </w:p>
        </w:tc>
      </w:tr>
      <w:tr>
        <w:trPr/>
        <w:tc>
          <w:tcPr>
            <w:tcW w:w="6988" w:type="dxa"/>
            <w:tcBorders>
              <w:bottom w:val="single" w:sz="4" w:space="0" w:color="FFFFFF"/>
            </w:tcBorders>
            <w:shd w:fill="auto" w:val="clear"/>
            <w:vAlign w:val="bottom"/>
          </w:tcPr>
          <w:p>
            <w:pPr>
              <w:pStyle w:val="TableContents"/>
              <w:spacing w:lineRule="auto" w:line="300" w:before="0" w:after="0"/>
              <w:ind w:left="0" w:right="0" w:hanging="0"/>
              <w:jc w:val="left"/>
              <w:rPr/>
            </w:pPr>
            <w:r>
              <w:rPr/>
              <w:t> </w:t>
            </w:r>
          </w:p>
        </w:tc>
        <w:tc>
          <w:tcPr>
            <w:tcW w:w="204" w:type="dxa"/>
            <w:tcBorders>
              <w:bottom w:val="single" w:sz="4" w:space="0" w:color="FFFFFF"/>
            </w:tcBorders>
            <w:shd w:fill="auto" w:val="clear"/>
            <w:vAlign w:val="center"/>
          </w:tcPr>
          <w:p>
            <w:pPr>
              <w:pStyle w:val="TableContents"/>
              <w:spacing w:before="0" w:after="283"/>
              <w:rPr/>
            </w:pPr>
            <w:r>
              <w:rPr/>
              <w:t> </w:t>
            </w:r>
          </w:p>
        </w:tc>
        <w:tc>
          <w:tcPr>
            <w:tcW w:w="1340"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2008</w:t>
            </w:r>
          </w:p>
        </w:tc>
        <w:tc>
          <w:tcPr>
            <w:tcW w:w="209" w:type="dxa"/>
            <w:tcBorders>
              <w:bottom w:val="single" w:sz="4" w:space="0" w:color="FFFFFF"/>
            </w:tcBorders>
            <w:shd w:fill="auto" w:val="clear"/>
            <w:vAlign w:val="bottom"/>
          </w:tcPr>
          <w:p>
            <w:pPr>
              <w:pStyle w:val="TableContents"/>
              <w:spacing w:before="0" w:after="283"/>
              <w:jc w:val="left"/>
              <w:rPr/>
            </w:pPr>
            <w:r>
              <w:rPr/>
              <w:t> </w:t>
            </w:r>
          </w:p>
        </w:tc>
        <w:tc>
          <w:tcPr>
            <w:tcW w:w="1340"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2007</w:t>
            </w:r>
          </w:p>
        </w:tc>
        <w:tc>
          <w:tcPr>
            <w:tcW w:w="124" w:type="dxa"/>
            <w:tcBorders>
              <w:bottom w:val="single" w:sz="4" w:space="0" w:color="FFFFFF"/>
            </w:tcBorders>
            <w:shd w:fill="auto" w:val="clear"/>
            <w:vAlign w:val="bottom"/>
          </w:tcPr>
          <w:p>
            <w:pPr>
              <w:pStyle w:val="TableContents"/>
              <w:spacing w:before="0" w:after="283"/>
              <w:jc w:val="left"/>
              <w:rPr/>
            </w:pPr>
            <w:r>
              <w:rPr/>
              <w:t> </w:t>
            </w:r>
          </w:p>
        </w:tc>
      </w:tr>
      <w:tr>
        <w:trPr/>
        <w:tc>
          <w:tcPr>
            <w:tcW w:w="6988"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u w:val="single"/>
              </w:rPr>
              <w:t>CASH FLOWS FROM OPERATING ACTIVITIES</w:t>
            </w:r>
          </w:p>
        </w:tc>
        <w:tc>
          <w:tcPr>
            <w:tcW w:w="204" w:type="dxa"/>
            <w:tcBorders/>
            <w:shd w:fill="CCFFCC" w:val="clear"/>
            <w:tcMar>
              <w:bottom w:w="0" w:type="dxa"/>
            </w:tcMar>
            <w:vAlign w:val="center"/>
          </w:tcPr>
          <w:p>
            <w:pPr>
              <w:pStyle w:val="TableContents"/>
              <w:spacing w:before="0" w:after="283"/>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before="0" w:after="283"/>
              <w:jc w:val="right"/>
              <w:rPr/>
            </w:pPr>
            <w:r>
              <w:rPr/>
              <w:t> </w:t>
            </w:r>
          </w:p>
        </w:tc>
        <w:tc>
          <w:tcPr>
            <w:tcW w:w="209" w:type="dxa"/>
            <w:tcBorders/>
            <w:shd w:fill="CCFFCC" w:val="clear"/>
            <w:tcMar>
              <w:bottom w:w="0" w:type="dxa"/>
            </w:tcMar>
            <w:vAlign w:val="bottom"/>
          </w:tcPr>
          <w:p>
            <w:pPr>
              <w:pStyle w:val="TableContents"/>
              <w:spacing w:before="0" w:after="283"/>
              <w:jc w:val="left"/>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before="0" w:after="283"/>
              <w:jc w:val="right"/>
              <w:rPr/>
            </w:pPr>
            <w:r>
              <w:rPr/>
              <w:t> </w:t>
            </w:r>
          </w:p>
        </w:tc>
        <w:tc>
          <w:tcPr>
            <w:tcW w:w="124" w:type="dxa"/>
            <w:tcBorders/>
            <w:shd w:fill="CCFFCC" w:val="clear"/>
            <w:tcMar>
              <w:bottom w:w="0" w:type="dxa"/>
            </w:tcMar>
            <w:vAlign w:val="bottom"/>
          </w:tcPr>
          <w:p>
            <w:pPr>
              <w:pStyle w:val="TableContents"/>
              <w:spacing w:before="0" w:after="283"/>
              <w:jc w:val="left"/>
              <w:rPr/>
            </w:pPr>
            <w:r>
              <w:rPr/>
              <w:t> </w:t>
            </w:r>
          </w:p>
        </w:tc>
      </w:tr>
      <w:tr>
        <w:trPr/>
        <w:tc>
          <w:tcPr>
            <w:tcW w:w="6988" w:type="dxa"/>
            <w:tcBorders>
              <w:bottom w:val="single" w:sz="4"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Net Income</w:t>
            </w:r>
          </w:p>
        </w:tc>
        <w:tc>
          <w:tcPr>
            <w:tcW w:w="204" w:type="dxa"/>
            <w:tcBorders>
              <w:bottom w:val="single" w:sz="4" w:space="0" w:color="FFFFFF"/>
            </w:tcBorders>
            <w:shd w:fill="FFFFFF" w:val="clear"/>
            <w:vAlign w:val="center"/>
          </w:tcPr>
          <w:p>
            <w:pPr>
              <w:pStyle w:val="TableContents"/>
              <w:spacing w:before="0" w:after="283"/>
              <w:rPr/>
            </w:pPr>
            <w:r>
              <w:rPr/>
              <w:t> </w:t>
            </w:r>
          </w:p>
        </w:tc>
        <w:tc>
          <w:tcPr>
            <w:tcW w:w="128" w:type="dxa"/>
            <w:tcBorders>
              <w:bottom w:val="single" w:sz="2" w:space="0" w:color="000000"/>
            </w:tcBorders>
            <w:shd w:fill="FFFFFF" w:val="clear"/>
            <w:vAlign w:val="bottom"/>
          </w:tcPr>
          <w:p>
            <w:pPr>
              <w:pStyle w:val="TableContents"/>
              <w:spacing w:lineRule="auto" w:line="300" w:before="0" w:after="0"/>
              <w:ind w:left="0" w:right="0" w:hanging="0"/>
              <w:jc w:val="left"/>
              <w:rPr/>
            </w:pPr>
            <w:bookmarkStart w:id="233" w:name="TAB1116"/>
            <w:bookmarkEnd w:id="233"/>
            <w:r>
              <w:rPr>
                <w:rStyle w:val="StrongEmphasis"/>
                <w:rFonts w:ascii="Times New Roman" w:hAnsi="Times New Roman"/>
                <w:sz w:val="20"/>
              </w:rPr>
              <w:t>$</w:t>
            </w:r>
            <w:bookmarkStart w:id="234" w:name="TAB223"/>
            <w:bookmarkEnd w:id="234"/>
          </w:p>
        </w:tc>
        <w:tc>
          <w:tcPr>
            <w:tcW w:w="1212"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235" w:name="TAB224"/>
            <w:bookmarkStart w:id="236" w:name="TAB1117"/>
            <w:bookmarkEnd w:id="235"/>
            <w:bookmarkEnd w:id="236"/>
            <w:r>
              <w:rPr>
                <w:rStyle w:val="StrongEmphasis"/>
                <w:rFonts w:ascii="Times New Roman" w:hAnsi="Times New Roman"/>
                <w:sz w:val="20"/>
              </w:rPr>
              <w:t>4,573</w:t>
            </w:r>
          </w:p>
        </w:tc>
        <w:tc>
          <w:tcPr>
            <w:tcW w:w="209" w:type="dxa"/>
            <w:tcBorders>
              <w:bottom w:val="single" w:sz="4" w:space="0" w:color="FFFFFF"/>
            </w:tcBorders>
            <w:shd w:fill="FFFFFF" w:val="clear"/>
            <w:vAlign w:val="bottom"/>
          </w:tcPr>
          <w:p>
            <w:pPr>
              <w:pStyle w:val="TableContents"/>
              <w:spacing w:before="0" w:after="283"/>
              <w:jc w:val="left"/>
              <w:rPr/>
            </w:pPr>
            <w:r>
              <w:rPr/>
              <w:t> </w:t>
            </w:r>
          </w:p>
        </w:tc>
        <w:tc>
          <w:tcPr>
            <w:tcW w:w="128"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37" w:name="TAB1118"/>
            <w:bookmarkEnd w:id="237"/>
            <w:r>
              <w:rPr>
                <w:rFonts w:ascii="Times New Roman" w:hAnsi="Times New Roman"/>
                <w:sz w:val="20"/>
              </w:rPr>
              <w:t>$</w:t>
            </w:r>
            <w:bookmarkStart w:id="238" w:name="TAB225"/>
            <w:bookmarkEnd w:id="238"/>
          </w:p>
        </w:tc>
        <w:tc>
          <w:tcPr>
            <w:tcW w:w="121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39" w:name="TAB226"/>
            <w:bookmarkStart w:id="240" w:name="TAB1119"/>
            <w:bookmarkEnd w:id="239"/>
            <w:bookmarkEnd w:id="240"/>
            <w:r>
              <w:rPr>
                <w:rFonts w:ascii="Times New Roman" w:hAnsi="Times New Roman"/>
                <w:sz w:val="20"/>
              </w:rPr>
              <w:t xml:space="preserve">3,610 </w:t>
            </w:r>
          </w:p>
        </w:tc>
        <w:tc>
          <w:tcPr>
            <w:tcW w:w="124" w:type="dxa"/>
            <w:tcBorders>
              <w:bottom w:val="single" w:sz="4" w:space="0" w:color="FFFFFF"/>
            </w:tcBorders>
            <w:shd w:fill="FFFFFF" w:val="clear"/>
            <w:vAlign w:val="bottom"/>
          </w:tcPr>
          <w:p>
            <w:pPr>
              <w:pStyle w:val="TableContents"/>
              <w:spacing w:before="0" w:after="283"/>
              <w:jc w:val="left"/>
              <w:rPr/>
            </w:pPr>
            <w:r>
              <w:rPr/>
              <w:t> </w:t>
            </w:r>
          </w:p>
        </w:tc>
      </w:tr>
      <w:tr>
        <w:trPr/>
        <w:tc>
          <w:tcPr>
            <w:tcW w:w="6988" w:type="dxa"/>
            <w:tcBorders/>
            <w:shd w:fill="CCFFCC"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Adjustments to reconcile net income to net cash provided by operating activities:</w:t>
            </w:r>
          </w:p>
        </w:tc>
        <w:tc>
          <w:tcPr>
            <w:tcW w:w="204" w:type="dxa"/>
            <w:tcBorders/>
            <w:shd w:fill="CCFFCC" w:val="clear"/>
            <w:tcMar>
              <w:bottom w:w="0" w:type="dxa"/>
            </w:tcMar>
            <w:vAlign w:val="center"/>
          </w:tcPr>
          <w:p>
            <w:pPr>
              <w:pStyle w:val="TableContents"/>
              <w:spacing w:before="0" w:after="283"/>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before="0" w:after="283"/>
              <w:jc w:val="right"/>
              <w:rPr/>
            </w:pPr>
            <w:r>
              <w:rPr/>
              <w:t> </w:t>
            </w:r>
          </w:p>
        </w:tc>
        <w:tc>
          <w:tcPr>
            <w:tcW w:w="209" w:type="dxa"/>
            <w:tcBorders/>
            <w:shd w:fill="CCFFCC" w:val="clear"/>
            <w:tcMar>
              <w:bottom w:w="0" w:type="dxa"/>
            </w:tcMar>
            <w:vAlign w:val="bottom"/>
          </w:tcPr>
          <w:p>
            <w:pPr>
              <w:pStyle w:val="TableContents"/>
              <w:spacing w:before="0" w:after="283"/>
              <w:jc w:val="left"/>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before="0" w:after="283"/>
              <w:jc w:val="right"/>
              <w:rPr/>
            </w:pPr>
            <w:r>
              <w:rPr/>
              <w:t> </w:t>
            </w:r>
          </w:p>
        </w:tc>
        <w:tc>
          <w:tcPr>
            <w:tcW w:w="124" w:type="dxa"/>
            <w:tcBorders/>
            <w:shd w:fill="CCFFCC" w:val="clear"/>
            <w:tcMar>
              <w:bottom w:w="0" w:type="dxa"/>
            </w:tcMar>
            <w:vAlign w:val="bottom"/>
          </w:tcPr>
          <w:p>
            <w:pPr>
              <w:pStyle w:val="TableContents"/>
              <w:spacing w:before="0" w:after="283"/>
              <w:jc w:val="left"/>
              <w:rPr/>
            </w:pPr>
            <w:r>
              <w:rPr/>
              <w:t> </w:t>
            </w:r>
          </w:p>
        </w:tc>
      </w:tr>
      <w:tr>
        <w:trPr/>
        <w:tc>
          <w:tcPr>
            <w:tcW w:w="6988"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Depreciation and amortization</w:t>
            </w:r>
          </w:p>
        </w:tc>
        <w:tc>
          <w:tcPr>
            <w:tcW w:w="204" w:type="dxa"/>
            <w:tcBorders/>
            <w:shd w:fill="FFFFFF" w:val="clear"/>
            <w:tcMar>
              <w:bottom w:w="0" w:type="dxa"/>
            </w:tcMar>
            <w:vAlign w:val="center"/>
          </w:tcPr>
          <w:p>
            <w:pPr>
              <w:pStyle w:val="TableContents"/>
              <w:spacing w:before="0" w:after="283"/>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shd w:fill="FFFFFF" w:val="clear"/>
            <w:tcMar>
              <w:bottom w:w="0" w:type="dxa"/>
            </w:tcMar>
            <w:vAlign w:val="bottom"/>
          </w:tcPr>
          <w:p>
            <w:pPr>
              <w:pStyle w:val="TableContents"/>
              <w:spacing w:lineRule="auto" w:line="300" w:before="0" w:after="0"/>
              <w:ind w:left="0" w:right="0" w:hanging="0"/>
              <w:jc w:val="right"/>
              <w:rPr/>
            </w:pPr>
            <w:bookmarkStart w:id="241" w:name="TAB1120"/>
            <w:bookmarkStart w:id="242" w:name="TAB1121"/>
            <w:bookmarkEnd w:id="241"/>
            <w:bookmarkEnd w:id="242"/>
            <w:r>
              <w:rPr>
                <w:rStyle w:val="StrongEmphasis"/>
                <w:rFonts w:ascii="Times New Roman" w:hAnsi="Times New Roman"/>
                <w:sz w:val="20"/>
              </w:rPr>
              <w:t>3,735</w:t>
            </w:r>
          </w:p>
        </w:tc>
        <w:tc>
          <w:tcPr>
            <w:tcW w:w="209" w:type="dxa"/>
            <w:tcBorders/>
            <w:shd w:fill="FFFFFF" w:val="clear"/>
            <w:tcMar>
              <w:bottom w:w="0" w:type="dxa"/>
            </w:tcMar>
            <w:vAlign w:val="bottom"/>
          </w:tcPr>
          <w:p>
            <w:pPr>
              <w:pStyle w:val="TableContents"/>
              <w:spacing w:before="0" w:after="283"/>
              <w:jc w:val="left"/>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43" w:name="TAB1122"/>
            <w:bookmarkStart w:id="244" w:name="TAB1123"/>
            <w:bookmarkEnd w:id="243"/>
            <w:bookmarkEnd w:id="244"/>
            <w:r>
              <w:rPr>
                <w:rFonts w:ascii="Times New Roman" w:hAnsi="Times New Roman"/>
                <w:sz w:val="20"/>
              </w:rPr>
              <w:t xml:space="preserve">3,672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988"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Amortization of investment discount</w:t>
            </w:r>
          </w:p>
        </w:tc>
        <w:tc>
          <w:tcPr>
            <w:tcW w:w="204" w:type="dxa"/>
            <w:tcBorders/>
            <w:shd w:fill="CCFFCC" w:val="clear"/>
            <w:tcMar>
              <w:bottom w:w="0" w:type="dxa"/>
            </w:tcMar>
            <w:vAlign w:val="center"/>
          </w:tcPr>
          <w:p>
            <w:pPr>
              <w:pStyle w:val="TableContents"/>
              <w:spacing w:before="0" w:after="283"/>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lineRule="auto" w:line="300" w:before="0" w:after="0"/>
              <w:ind w:left="0" w:right="0" w:hanging="0"/>
              <w:jc w:val="right"/>
              <w:rPr/>
            </w:pPr>
            <w:bookmarkStart w:id="245" w:name="TAB1124"/>
            <w:bookmarkStart w:id="246" w:name="TAB1125"/>
            <w:bookmarkEnd w:id="245"/>
            <w:bookmarkEnd w:id="246"/>
            <w:r>
              <w:rPr>
                <w:rStyle w:val="StrongEmphasis"/>
                <w:rFonts w:ascii="Times New Roman" w:hAnsi="Times New Roman"/>
                <w:sz w:val="20"/>
              </w:rPr>
              <w:t>(455</w:t>
            </w:r>
          </w:p>
        </w:tc>
        <w:tc>
          <w:tcPr>
            <w:tcW w:w="209" w:type="dxa"/>
            <w:tcBorders/>
            <w:shd w:fill="CCFFCC" w:val="clear"/>
            <w:tcMar>
              <w:bottom w:w="0" w:type="dxa"/>
            </w:tcMar>
            <w:vAlign w:val="bottom"/>
          </w:tcPr>
          <w:p>
            <w:pPr>
              <w:pStyle w:val="TableContents"/>
              <w:spacing w:lineRule="auto" w:line="300" w:before="0" w:after="0"/>
              <w:ind w:left="0" w:right="0" w:hanging="0"/>
              <w:jc w:val="left"/>
              <w:rPr/>
            </w:pPr>
            <w:bookmarkStart w:id="247" w:name="TAB1126"/>
            <w:bookmarkStart w:id="248" w:name="TAB1127"/>
            <w:bookmarkEnd w:id="247"/>
            <w:bookmarkEnd w:id="248"/>
            <w:r>
              <w:rPr>
                <w:rStyle w:val="StrongEmphasis"/>
                <w:rFonts w:ascii="Times New Roman" w:hAnsi="Times New Roman"/>
                <w:sz w:val="20"/>
              </w:rPr>
              <w:t>)</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49" w:name="TAB1128"/>
            <w:bookmarkStart w:id="250" w:name="TAB1129"/>
            <w:bookmarkEnd w:id="249"/>
            <w:bookmarkEnd w:id="250"/>
            <w:r>
              <w:rPr>
                <w:rFonts w:ascii="Times New Roman" w:hAnsi="Times New Roman"/>
                <w:sz w:val="20"/>
              </w:rPr>
              <w:t>(447</w:t>
            </w:r>
          </w:p>
        </w:tc>
        <w:tc>
          <w:tcPr>
            <w:tcW w:w="124"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51" w:name="TAB1130"/>
            <w:bookmarkStart w:id="252" w:name="TAB1131"/>
            <w:bookmarkEnd w:id="251"/>
            <w:bookmarkEnd w:id="252"/>
            <w:r>
              <w:rPr>
                <w:rFonts w:ascii="Times New Roman" w:hAnsi="Times New Roman"/>
                <w:sz w:val="20"/>
              </w:rPr>
              <w:t>)</w:t>
            </w:r>
          </w:p>
        </w:tc>
      </w:tr>
      <w:tr>
        <w:trPr/>
        <w:tc>
          <w:tcPr>
            <w:tcW w:w="6988"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Non-cash stock compensation expense</w:t>
            </w:r>
          </w:p>
        </w:tc>
        <w:tc>
          <w:tcPr>
            <w:tcW w:w="204" w:type="dxa"/>
            <w:tcBorders/>
            <w:shd w:fill="FFFFFF" w:val="clear"/>
            <w:tcMar>
              <w:bottom w:w="0" w:type="dxa"/>
            </w:tcMar>
            <w:vAlign w:val="center"/>
          </w:tcPr>
          <w:p>
            <w:pPr>
              <w:pStyle w:val="TableContents"/>
              <w:spacing w:before="0" w:after="283"/>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shd w:fill="FFFFFF" w:val="clear"/>
            <w:tcMar>
              <w:bottom w:w="0" w:type="dxa"/>
            </w:tcMar>
            <w:vAlign w:val="bottom"/>
          </w:tcPr>
          <w:p>
            <w:pPr>
              <w:pStyle w:val="TableContents"/>
              <w:spacing w:lineRule="auto" w:line="300" w:before="0" w:after="0"/>
              <w:ind w:left="0" w:right="0" w:hanging="0"/>
              <w:jc w:val="right"/>
              <w:rPr/>
            </w:pPr>
            <w:bookmarkStart w:id="253" w:name="TAB1132"/>
            <w:bookmarkStart w:id="254" w:name="TAB1133"/>
            <w:bookmarkEnd w:id="253"/>
            <w:bookmarkEnd w:id="254"/>
            <w:r>
              <w:rPr>
                <w:rStyle w:val="StrongEmphasis"/>
                <w:rFonts w:ascii="Times New Roman" w:hAnsi="Times New Roman"/>
                <w:sz w:val="20"/>
              </w:rPr>
              <w:t>468</w:t>
            </w:r>
          </w:p>
        </w:tc>
        <w:tc>
          <w:tcPr>
            <w:tcW w:w="209" w:type="dxa"/>
            <w:tcBorders/>
            <w:shd w:fill="FFFFFF" w:val="clear"/>
            <w:tcMar>
              <w:bottom w:w="0" w:type="dxa"/>
            </w:tcMar>
            <w:vAlign w:val="bottom"/>
          </w:tcPr>
          <w:p>
            <w:pPr>
              <w:pStyle w:val="TableContents"/>
              <w:spacing w:before="0" w:after="283"/>
              <w:jc w:val="left"/>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55" w:name="TAB1134"/>
            <w:bookmarkStart w:id="256" w:name="TAB1135"/>
            <w:bookmarkEnd w:id="255"/>
            <w:bookmarkEnd w:id="256"/>
            <w:r>
              <w:rPr>
                <w:rFonts w:ascii="Times New Roman" w:hAnsi="Times New Roman"/>
                <w:sz w:val="20"/>
              </w:rPr>
              <w:t xml:space="preserve">567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988"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Excess tax benefits for share-based payments</w:t>
            </w:r>
          </w:p>
        </w:tc>
        <w:tc>
          <w:tcPr>
            <w:tcW w:w="204" w:type="dxa"/>
            <w:tcBorders/>
            <w:shd w:fill="CCFFCC" w:val="clear"/>
            <w:tcMar>
              <w:bottom w:w="0" w:type="dxa"/>
            </w:tcMar>
            <w:vAlign w:val="center"/>
          </w:tcPr>
          <w:p>
            <w:pPr>
              <w:pStyle w:val="TableContents"/>
              <w:spacing w:before="0" w:after="283"/>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(238</w:t>
            </w:r>
          </w:p>
        </w:tc>
        <w:tc>
          <w:tcPr>
            <w:tcW w:w="209"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(86</w:t>
            </w:r>
          </w:p>
        </w:tc>
        <w:tc>
          <w:tcPr>
            <w:tcW w:w="124"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6988"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Deferred income taxes</w:t>
            </w:r>
          </w:p>
        </w:tc>
        <w:tc>
          <w:tcPr>
            <w:tcW w:w="204" w:type="dxa"/>
            <w:tcBorders/>
            <w:shd w:fill="FFFFFF" w:val="clear"/>
            <w:tcMar>
              <w:bottom w:w="0" w:type="dxa"/>
            </w:tcMar>
            <w:vAlign w:val="center"/>
          </w:tcPr>
          <w:p>
            <w:pPr>
              <w:pStyle w:val="TableContents"/>
              <w:spacing w:before="0" w:after="283"/>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shd w:fill="FFFFFF" w:val="clear"/>
            <w:tcMar>
              <w:bottom w:w="0" w:type="dxa"/>
            </w:tcMar>
            <w:vAlign w:val="bottom"/>
          </w:tcPr>
          <w:p>
            <w:pPr>
              <w:pStyle w:val="TableContents"/>
              <w:spacing w:lineRule="auto" w:line="300" w:before="0" w:after="0"/>
              <w:ind w:left="0" w:right="0" w:hanging="0"/>
              <w:jc w:val="right"/>
              <w:rPr/>
            </w:pPr>
            <w:bookmarkStart w:id="257" w:name="TAB1136"/>
            <w:bookmarkStart w:id="258" w:name="TAB1137"/>
            <w:bookmarkEnd w:id="257"/>
            <w:bookmarkEnd w:id="258"/>
            <w:r>
              <w:rPr>
                <w:rStyle w:val="StrongEmphasis"/>
                <w:rFonts w:ascii="Times New Roman" w:hAnsi="Times New Roman"/>
                <w:sz w:val="20"/>
              </w:rPr>
              <w:t>10</w:t>
            </w:r>
          </w:p>
        </w:tc>
        <w:tc>
          <w:tcPr>
            <w:tcW w:w="209" w:type="dxa"/>
            <w:tcBorders/>
            <w:shd w:fill="FFFFFF" w:val="clear"/>
            <w:tcMar>
              <w:bottom w:w="0" w:type="dxa"/>
            </w:tcMar>
            <w:vAlign w:val="bottom"/>
          </w:tcPr>
          <w:p>
            <w:pPr>
              <w:pStyle w:val="TableContents"/>
              <w:spacing w:before="0" w:after="283"/>
              <w:jc w:val="left"/>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59" w:name="TAB1138"/>
            <w:bookmarkStart w:id="260" w:name="TAB1139"/>
            <w:bookmarkEnd w:id="259"/>
            <w:bookmarkEnd w:id="260"/>
            <w:r>
              <w:rPr>
                <w:rFonts w:ascii="Times New Roman" w:hAnsi="Times New Roman"/>
                <w:sz w:val="20"/>
              </w:rPr>
              <w:t>(6</w:t>
            </w:r>
          </w:p>
        </w:tc>
        <w:tc>
          <w:tcPr>
            <w:tcW w:w="12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61" w:name="TAB1140"/>
            <w:bookmarkStart w:id="262" w:name="TAB1141"/>
            <w:bookmarkEnd w:id="261"/>
            <w:bookmarkEnd w:id="262"/>
            <w:r>
              <w:rPr>
                <w:rFonts w:ascii="Times New Roman" w:hAnsi="Times New Roman"/>
                <w:sz w:val="20"/>
              </w:rPr>
              <w:t>)</w:t>
            </w:r>
          </w:p>
        </w:tc>
      </w:tr>
      <w:tr>
        <w:trPr/>
        <w:tc>
          <w:tcPr>
            <w:tcW w:w="6988"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Provision for bad debts</w:t>
            </w:r>
          </w:p>
        </w:tc>
        <w:tc>
          <w:tcPr>
            <w:tcW w:w="204" w:type="dxa"/>
            <w:tcBorders/>
            <w:shd w:fill="CCFFCC" w:val="clear"/>
            <w:tcMar>
              <w:bottom w:w="0" w:type="dxa"/>
            </w:tcMar>
            <w:vAlign w:val="center"/>
          </w:tcPr>
          <w:p>
            <w:pPr>
              <w:pStyle w:val="TableContents"/>
              <w:spacing w:before="0" w:after="283"/>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lineRule="auto" w:line="300" w:before="0" w:after="0"/>
              <w:ind w:left="0" w:right="0" w:hanging="0"/>
              <w:jc w:val="right"/>
              <w:rPr/>
            </w:pPr>
            <w:bookmarkStart w:id="263" w:name="TAB1142"/>
            <w:bookmarkStart w:id="264" w:name="TAB1143"/>
            <w:bookmarkEnd w:id="263"/>
            <w:bookmarkEnd w:id="264"/>
            <w:r>
              <w:rPr>
                <w:rStyle w:val="StrongEmphasis"/>
                <w:rFonts w:ascii="Times New Roman" w:hAnsi="Times New Roman"/>
                <w:sz w:val="20"/>
              </w:rPr>
              <w:t>120</w:t>
            </w:r>
          </w:p>
        </w:tc>
        <w:tc>
          <w:tcPr>
            <w:tcW w:w="209" w:type="dxa"/>
            <w:tcBorders/>
            <w:shd w:fill="CCFFCC" w:val="clear"/>
            <w:tcMar>
              <w:bottom w:w="0" w:type="dxa"/>
            </w:tcMar>
            <w:vAlign w:val="bottom"/>
          </w:tcPr>
          <w:p>
            <w:pPr>
              <w:pStyle w:val="TableContents"/>
              <w:spacing w:before="0" w:after="283"/>
              <w:jc w:val="left"/>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65" w:name="TAB1144"/>
            <w:bookmarkStart w:id="266" w:name="TAB1145"/>
            <w:bookmarkEnd w:id="265"/>
            <w:bookmarkEnd w:id="266"/>
            <w:r>
              <w:rPr>
                <w:rFonts w:ascii="Times New Roman" w:hAnsi="Times New Roman"/>
                <w:sz w:val="20"/>
              </w:rPr>
              <w:t>205</w:t>
            </w:r>
          </w:p>
        </w:tc>
        <w:tc>
          <w:tcPr>
            <w:tcW w:w="124" w:type="dxa"/>
            <w:tcBorders/>
            <w:shd w:fill="CCFFCC" w:val="clear"/>
            <w:tcMar>
              <w:bottom w:w="0" w:type="dxa"/>
            </w:tcMar>
            <w:vAlign w:val="bottom"/>
          </w:tcPr>
          <w:p>
            <w:pPr>
              <w:pStyle w:val="TableContents"/>
              <w:spacing w:before="0" w:after="283"/>
              <w:jc w:val="left"/>
              <w:rPr/>
            </w:pPr>
            <w:r>
              <w:rPr/>
              <w:t> </w:t>
            </w:r>
          </w:p>
        </w:tc>
      </w:tr>
      <w:tr>
        <w:trPr/>
        <w:tc>
          <w:tcPr>
            <w:tcW w:w="6988"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Loss on the sale of fixed assets</w:t>
            </w:r>
          </w:p>
        </w:tc>
        <w:tc>
          <w:tcPr>
            <w:tcW w:w="204" w:type="dxa"/>
            <w:tcBorders/>
            <w:shd w:fill="FFFFFF" w:val="clear"/>
            <w:tcMar>
              <w:bottom w:w="0" w:type="dxa"/>
            </w:tcMar>
            <w:vAlign w:val="center"/>
          </w:tcPr>
          <w:p>
            <w:pPr>
              <w:pStyle w:val="TableContents"/>
              <w:spacing w:before="0" w:after="283"/>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shd w:fill="FFFFFF" w:val="clear"/>
            <w:tcMar>
              <w:bottom w:w="0" w:type="dxa"/>
            </w:tcMar>
            <w:vAlign w:val="bottom"/>
          </w:tcPr>
          <w:p>
            <w:pPr>
              <w:pStyle w:val="TableContents"/>
              <w:spacing w:lineRule="auto" w:line="300" w:before="0" w:after="0"/>
              <w:ind w:left="0" w:right="0" w:hanging="0"/>
              <w:jc w:val="right"/>
              <w:rPr/>
            </w:pPr>
            <w:bookmarkStart w:id="267" w:name="TAB1146"/>
            <w:bookmarkStart w:id="268" w:name="TAB1147"/>
            <w:bookmarkEnd w:id="267"/>
            <w:bookmarkEnd w:id="268"/>
            <w:r>
              <w:rPr>
                <w:rStyle w:val="StrongEmphasis"/>
                <w:rFonts w:ascii="Times New Roman" w:hAnsi="Times New Roman"/>
                <w:sz w:val="20"/>
              </w:rPr>
              <w:t>18</w:t>
            </w:r>
          </w:p>
        </w:tc>
        <w:tc>
          <w:tcPr>
            <w:tcW w:w="209" w:type="dxa"/>
            <w:tcBorders/>
            <w:shd w:fill="FFFFFF" w:val="clear"/>
            <w:tcMar>
              <w:bottom w:w="0" w:type="dxa"/>
            </w:tcMar>
            <w:vAlign w:val="bottom"/>
          </w:tcPr>
          <w:p>
            <w:pPr>
              <w:pStyle w:val="TableContents"/>
              <w:spacing w:before="0" w:after="283"/>
              <w:jc w:val="left"/>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69" w:name="TAB1148"/>
            <w:bookmarkStart w:id="270" w:name="TAB1149"/>
            <w:bookmarkEnd w:id="269"/>
            <w:bookmarkEnd w:id="270"/>
            <w:r>
              <w:rPr>
                <w:rFonts w:ascii="Times New Roman" w:hAnsi="Times New Roman"/>
                <w:sz w:val="20"/>
              </w:rPr>
              <w:t>446</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988"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(Increase) Decrease in:</w:t>
            </w:r>
          </w:p>
        </w:tc>
        <w:tc>
          <w:tcPr>
            <w:tcW w:w="204" w:type="dxa"/>
            <w:tcBorders/>
            <w:shd w:fill="CCFFCC" w:val="clear"/>
            <w:tcMar>
              <w:bottom w:w="0" w:type="dxa"/>
            </w:tcMar>
            <w:vAlign w:val="center"/>
          </w:tcPr>
          <w:p>
            <w:pPr>
              <w:pStyle w:val="TableContents"/>
              <w:spacing w:before="0" w:after="283"/>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before="0" w:after="283"/>
              <w:jc w:val="right"/>
              <w:rPr/>
            </w:pPr>
            <w:r>
              <w:rPr/>
              <w:t> </w:t>
            </w:r>
          </w:p>
        </w:tc>
        <w:tc>
          <w:tcPr>
            <w:tcW w:w="209" w:type="dxa"/>
            <w:tcBorders/>
            <w:shd w:fill="CCFFCC" w:val="clear"/>
            <w:tcMar>
              <w:bottom w:w="0" w:type="dxa"/>
            </w:tcMar>
            <w:vAlign w:val="bottom"/>
          </w:tcPr>
          <w:p>
            <w:pPr>
              <w:pStyle w:val="TableContents"/>
              <w:spacing w:before="0" w:after="283"/>
              <w:jc w:val="left"/>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before="0" w:after="0"/>
              <w:jc w:val="right"/>
              <w:rPr/>
            </w:pPr>
            <w:r>
              <w:rPr/>
              <w:t> </w:t>
            </w:r>
          </w:p>
        </w:tc>
        <w:tc>
          <w:tcPr>
            <w:tcW w:w="124" w:type="dxa"/>
            <w:tcBorders/>
            <w:shd w:fill="CCFFCC" w:val="clear"/>
            <w:tcMar>
              <w:bottom w:w="0" w:type="dxa"/>
            </w:tcMar>
            <w:vAlign w:val="bottom"/>
          </w:tcPr>
          <w:p>
            <w:pPr>
              <w:pStyle w:val="TableContents"/>
              <w:spacing w:before="0" w:after="283"/>
              <w:jc w:val="left"/>
              <w:rPr/>
            </w:pPr>
            <w:r>
              <w:rPr/>
              <w:t> </w:t>
            </w:r>
          </w:p>
        </w:tc>
      </w:tr>
      <w:tr>
        <w:trPr/>
        <w:tc>
          <w:tcPr>
            <w:tcW w:w="6988" w:type="dxa"/>
            <w:tcBorders/>
            <w:shd w:fill="FFFF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Accounts receivable</w:t>
            </w:r>
          </w:p>
        </w:tc>
        <w:tc>
          <w:tcPr>
            <w:tcW w:w="204" w:type="dxa"/>
            <w:tcBorders/>
            <w:shd w:fill="FFFFFF" w:val="clear"/>
            <w:tcMar>
              <w:bottom w:w="0" w:type="dxa"/>
            </w:tcMar>
            <w:vAlign w:val="center"/>
          </w:tcPr>
          <w:p>
            <w:pPr>
              <w:pStyle w:val="TableContents"/>
              <w:spacing w:before="0" w:after="283"/>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shd w:fill="FFFFFF" w:val="clear"/>
            <w:tcMar>
              <w:bottom w:w="0" w:type="dxa"/>
            </w:tcMar>
            <w:vAlign w:val="bottom"/>
          </w:tcPr>
          <w:p>
            <w:pPr>
              <w:pStyle w:val="TableContents"/>
              <w:spacing w:lineRule="auto" w:line="300" w:before="0" w:after="0"/>
              <w:ind w:left="0" w:right="0" w:hanging="0"/>
              <w:jc w:val="right"/>
              <w:rPr/>
            </w:pPr>
            <w:bookmarkStart w:id="271" w:name="TAB1150"/>
            <w:bookmarkStart w:id="272" w:name="TAB1151"/>
            <w:bookmarkEnd w:id="271"/>
            <w:bookmarkEnd w:id="272"/>
            <w:r>
              <w:rPr>
                <w:rStyle w:val="StrongEmphasis"/>
                <w:rFonts w:ascii="Times New Roman" w:hAnsi="Times New Roman"/>
                <w:sz w:val="20"/>
              </w:rPr>
              <w:t>(2,159</w:t>
            </w:r>
          </w:p>
        </w:tc>
        <w:tc>
          <w:tcPr>
            <w:tcW w:w="209" w:type="dxa"/>
            <w:tcBorders/>
            <w:shd w:fill="FFFFFF" w:val="clear"/>
            <w:tcMar>
              <w:bottom w:w="0" w:type="dxa"/>
            </w:tcMar>
            <w:vAlign w:val="bottom"/>
          </w:tcPr>
          <w:p>
            <w:pPr>
              <w:pStyle w:val="TableContents"/>
              <w:spacing w:lineRule="auto" w:line="300" w:before="0" w:after="0"/>
              <w:ind w:left="0" w:right="0" w:hanging="0"/>
              <w:jc w:val="left"/>
              <w:rPr/>
            </w:pPr>
            <w:bookmarkStart w:id="273" w:name="TAB1152"/>
            <w:bookmarkStart w:id="274" w:name="TAB1153"/>
            <w:bookmarkEnd w:id="273"/>
            <w:bookmarkEnd w:id="274"/>
            <w:r>
              <w:rPr>
                <w:rStyle w:val="StrongEmphasis"/>
                <w:rFonts w:ascii="Times New Roman" w:hAnsi="Times New Roman"/>
                <w:sz w:val="20"/>
              </w:rPr>
              <w:t>)</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75" w:name="TAB1154"/>
            <w:bookmarkStart w:id="276" w:name="TAB1155"/>
            <w:bookmarkEnd w:id="275"/>
            <w:bookmarkEnd w:id="276"/>
            <w:r>
              <w:rPr>
                <w:rFonts w:ascii="Times New Roman" w:hAnsi="Times New Roman"/>
                <w:sz w:val="20"/>
              </w:rPr>
              <w:t>(1,010</w:t>
            </w:r>
          </w:p>
        </w:tc>
        <w:tc>
          <w:tcPr>
            <w:tcW w:w="12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77" w:name="TAB1156"/>
            <w:bookmarkStart w:id="278" w:name="TAB1157"/>
            <w:bookmarkEnd w:id="277"/>
            <w:bookmarkEnd w:id="278"/>
            <w:r>
              <w:rPr>
                <w:rFonts w:ascii="Times New Roman" w:hAnsi="Times New Roman"/>
                <w:sz w:val="20"/>
              </w:rPr>
              <w:t>)</w:t>
            </w:r>
          </w:p>
        </w:tc>
      </w:tr>
      <w:tr>
        <w:trPr/>
        <w:tc>
          <w:tcPr>
            <w:tcW w:w="6988" w:type="dxa"/>
            <w:tcBorders/>
            <w:shd w:fill="CCFFCC" w:val="clear"/>
            <w:tcMar>
              <w:bottom w:w="0" w:type="dxa"/>
            </w:tcM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Inventories</w:t>
            </w:r>
          </w:p>
        </w:tc>
        <w:tc>
          <w:tcPr>
            <w:tcW w:w="204" w:type="dxa"/>
            <w:tcBorders/>
            <w:shd w:fill="CCFFCC" w:val="clear"/>
            <w:tcMar>
              <w:bottom w:w="0" w:type="dxa"/>
            </w:tcMar>
            <w:vAlign w:val="center"/>
          </w:tcPr>
          <w:p>
            <w:pPr>
              <w:pStyle w:val="TableContents"/>
              <w:spacing w:before="0" w:after="283"/>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lineRule="auto" w:line="300" w:before="0" w:after="0"/>
              <w:ind w:left="0" w:right="0" w:hanging="0"/>
              <w:jc w:val="right"/>
              <w:rPr/>
            </w:pPr>
            <w:bookmarkStart w:id="279" w:name="TAB1158"/>
            <w:bookmarkStart w:id="280" w:name="TAB1159"/>
            <w:bookmarkEnd w:id="279"/>
            <w:bookmarkEnd w:id="280"/>
            <w:r>
              <w:rPr>
                <w:rStyle w:val="StrongEmphasis"/>
                <w:rFonts w:ascii="Times New Roman" w:hAnsi="Times New Roman"/>
                <w:sz w:val="20"/>
              </w:rPr>
              <w:t>(1,159</w:t>
            </w:r>
          </w:p>
        </w:tc>
        <w:tc>
          <w:tcPr>
            <w:tcW w:w="209" w:type="dxa"/>
            <w:tcBorders/>
            <w:shd w:fill="CCFFCC" w:val="clear"/>
            <w:tcMar>
              <w:bottom w:w="0" w:type="dxa"/>
            </w:tcMar>
            <w:vAlign w:val="bottom"/>
          </w:tcPr>
          <w:p>
            <w:pPr>
              <w:pStyle w:val="TableContents"/>
              <w:spacing w:lineRule="auto" w:line="300" w:before="0" w:after="0"/>
              <w:ind w:left="0" w:right="0" w:hanging="0"/>
              <w:jc w:val="left"/>
              <w:rPr/>
            </w:pPr>
            <w:bookmarkStart w:id="281" w:name="TAB1160"/>
            <w:bookmarkStart w:id="282" w:name="TAB1161"/>
            <w:bookmarkEnd w:id="281"/>
            <w:bookmarkEnd w:id="282"/>
            <w:r>
              <w:rPr>
                <w:rStyle w:val="StrongEmphasis"/>
                <w:rFonts w:ascii="Times New Roman" w:hAnsi="Times New Roman"/>
                <w:sz w:val="20"/>
              </w:rPr>
              <w:t>)</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83" w:name="TAB1162"/>
            <w:bookmarkStart w:id="284" w:name="TAB1163"/>
            <w:bookmarkEnd w:id="283"/>
            <w:bookmarkEnd w:id="284"/>
            <w:r>
              <w:rPr>
                <w:rFonts w:ascii="Times New Roman" w:hAnsi="Times New Roman"/>
                <w:sz w:val="20"/>
              </w:rPr>
              <w:t>1,268</w:t>
            </w:r>
          </w:p>
        </w:tc>
        <w:tc>
          <w:tcPr>
            <w:tcW w:w="124" w:type="dxa"/>
            <w:tcBorders/>
            <w:shd w:fill="CCFFCC" w:val="clear"/>
            <w:tcMar>
              <w:bottom w:w="0" w:type="dxa"/>
            </w:tcMar>
            <w:vAlign w:val="bottom"/>
          </w:tcPr>
          <w:p>
            <w:pPr>
              <w:pStyle w:val="TableContents"/>
              <w:spacing w:before="0" w:after="283"/>
              <w:jc w:val="left"/>
              <w:rPr/>
            </w:pPr>
            <w:r>
              <w:rPr/>
              <w:t> </w:t>
            </w:r>
          </w:p>
        </w:tc>
      </w:tr>
      <w:tr>
        <w:trPr/>
        <w:tc>
          <w:tcPr>
            <w:tcW w:w="6988" w:type="dxa"/>
            <w:tcBorders/>
            <w:shd w:fill="FFFF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Prepaid expenses</w:t>
            </w:r>
          </w:p>
        </w:tc>
        <w:tc>
          <w:tcPr>
            <w:tcW w:w="204" w:type="dxa"/>
            <w:tcBorders/>
            <w:shd w:fill="FFFFFF" w:val="clear"/>
            <w:tcMar>
              <w:bottom w:w="0" w:type="dxa"/>
            </w:tcMar>
            <w:vAlign w:val="center"/>
          </w:tcPr>
          <w:p>
            <w:pPr>
              <w:pStyle w:val="TableContents"/>
              <w:spacing w:before="0" w:after="283"/>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shd w:fill="FFFFFF" w:val="clear"/>
            <w:tcMar>
              <w:bottom w:w="0" w:type="dxa"/>
            </w:tcMar>
            <w:vAlign w:val="bottom"/>
          </w:tcPr>
          <w:p>
            <w:pPr>
              <w:pStyle w:val="TableContents"/>
              <w:spacing w:lineRule="auto" w:line="300" w:before="0" w:after="0"/>
              <w:ind w:left="0" w:right="0" w:hanging="0"/>
              <w:jc w:val="right"/>
              <w:rPr/>
            </w:pPr>
            <w:bookmarkStart w:id="285" w:name="TAB1164"/>
            <w:bookmarkStart w:id="286" w:name="TAB1165"/>
            <w:bookmarkEnd w:id="285"/>
            <w:bookmarkEnd w:id="286"/>
            <w:r>
              <w:rPr>
                <w:rStyle w:val="StrongEmphasis"/>
                <w:rFonts w:ascii="Times New Roman" w:hAnsi="Times New Roman"/>
                <w:sz w:val="20"/>
              </w:rPr>
              <w:t>(1,196</w:t>
            </w:r>
          </w:p>
        </w:tc>
        <w:tc>
          <w:tcPr>
            <w:tcW w:w="209" w:type="dxa"/>
            <w:tcBorders/>
            <w:shd w:fill="FFFFFF" w:val="clear"/>
            <w:tcMar>
              <w:bottom w:w="0" w:type="dxa"/>
            </w:tcMar>
            <w:vAlign w:val="bottom"/>
          </w:tcPr>
          <w:p>
            <w:pPr>
              <w:pStyle w:val="TableContents"/>
              <w:spacing w:lineRule="auto" w:line="300" w:before="0" w:after="0"/>
              <w:ind w:left="0" w:right="0" w:hanging="0"/>
              <w:jc w:val="left"/>
              <w:rPr/>
            </w:pPr>
            <w:bookmarkStart w:id="287" w:name="TAB1166"/>
            <w:bookmarkStart w:id="288" w:name="TAB1167"/>
            <w:bookmarkEnd w:id="287"/>
            <w:bookmarkEnd w:id="288"/>
            <w:r>
              <w:rPr>
                <w:rStyle w:val="StrongEmphasis"/>
                <w:rFonts w:ascii="Times New Roman" w:hAnsi="Times New Roman"/>
                <w:sz w:val="20"/>
              </w:rPr>
              <w:t>)</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89" w:name="TAB1168"/>
            <w:bookmarkStart w:id="290" w:name="TAB1169"/>
            <w:bookmarkEnd w:id="289"/>
            <w:bookmarkEnd w:id="290"/>
            <w:r>
              <w:rPr>
                <w:rFonts w:ascii="Times New Roman" w:hAnsi="Times New Roman"/>
                <w:sz w:val="20"/>
              </w:rPr>
              <w:t>(454</w:t>
            </w:r>
          </w:p>
        </w:tc>
        <w:tc>
          <w:tcPr>
            <w:tcW w:w="12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91" w:name="TAB1170"/>
            <w:bookmarkStart w:id="292" w:name="TAB1171"/>
            <w:bookmarkEnd w:id="291"/>
            <w:bookmarkEnd w:id="292"/>
            <w:r>
              <w:rPr>
                <w:rFonts w:ascii="Times New Roman" w:hAnsi="Times New Roman"/>
                <w:sz w:val="20"/>
              </w:rPr>
              <w:t>)</w:t>
            </w:r>
          </w:p>
        </w:tc>
      </w:tr>
      <w:tr>
        <w:trPr/>
        <w:tc>
          <w:tcPr>
            <w:tcW w:w="6988" w:type="dxa"/>
            <w:tcBorders/>
            <w:shd w:fill="CCFFCC" w:val="clear"/>
            <w:tcMar>
              <w:bottom w:w="0" w:type="dxa"/>
            </w:tcM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Other assets</w:t>
            </w:r>
          </w:p>
        </w:tc>
        <w:tc>
          <w:tcPr>
            <w:tcW w:w="204" w:type="dxa"/>
            <w:tcBorders/>
            <w:shd w:fill="CCFFCC" w:val="clear"/>
            <w:tcMar>
              <w:bottom w:w="0" w:type="dxa"/>
            </w:tcMar>
            <w:vAlign w:val="center"/>
          </w:tcPr>
          <w:p>
            <w:pPr>
              <w:pStyle w:val="TableContents"/>
              <w:spacing w:before="0" w:after="283"/>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lineRule="auto" w:line="300" w:before="0" w:after="0"/>
              <w:ind w:left="0" w:right="0" w:hanging="0"/>
              <w:jc w:val="right"/>
              <w:rPr/>
            </w:pPr>
            <w:bookmarkStart w:id="293" w:name="TAB1172"/>
            <w:bookmarkStart w:id="294" w:name="TAB1173"/>
            <w:bookmarkEnd w:id="293"/>
            <w:bookmarkEnd w:id="294"/>
            <w:r>
              <w:rPr>
                <w:rStyle w:val="StrongEmphasis"/>
                <w:rFonts w:ascii="Times New Roman" w:hAnsi="Times New Roman"/>
                <w:sz w:val="20"/>
              </w:rPr>
              <w:t>180</w:t>
            </w:r>
          </w:p>
        </w:tc>
        <w:tc>
          <w:tcPr>
            <w:tcW w:w="209" w:type="dxa"/>
            <w:tcBorders/>
            <w:shd w:fill="CCFFCC" w:val="clear"/>
            <w:tcMar>
              <w:bottom w:w="0" w:type="dxa"/>
            </w:tcMar>
            <w:vAlign w:val="bottom"/>
          </w:tcPr>
          <w:p>
            <w:pPr>
              <w:pStyle w:val="TableContents"/>
              <w:spacing w:before="0" w:after="283"/>
              <w:jc w:val="left"/>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95" w:name="TAB1174"/>
            <w:bookmarkStart w:id="296" w:name="TAB1175"/>
            <w:bookmarkEnd w:id="295"/>
            <w:bookmarkEnd w:id="296"/>
            <w:r>
              <w:rPr>
                <w:rFonts w:ascii="Times New Roman" w:hAnsi="Times New Roman"/>
                <w:sz w:val="20"/>
              </w:rPr>
              <w:t>(201</w:t>
            </w:r>
          </w:p>
        </w:tc>
        <w:tc>
          <w:tcPr>
            <w:tcW w:w="124"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97" w:name="TAB1176"/>
            <w:bookmarkStart w:id="298" w:name="TAB1177"/>
            <w:bookmarkEnd w:id="297"/>
            <w:bookmarkEnd w:id="298"/>
            <w:r>
              <w:rPr>
                <w:rFonts w:ascii="Times New Roman" w:hAnsi="Times New Roman"/>
                <w:sz w:val="20"/>
              </w:rPr>
              <w:t>)</w:t>
            </w:r>
          </w:p>
        </w:tc>
      </w:tr>
      <w:tr>
        <w:trPr/>
        <w:tc>
          <w:tcPr>
            <w:tcW w:w="6988"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Increase (Decrease) in:</w:t>
            </w:r>
          </w:p>
        </w:tc>
        <w:tc>
          <w:tcPr>
            <w:tcW w:w="204" w:type="dxa"/>
            <w:tcBorders/>
            <w:shd w:fill="FFFFFF" w:val="clear"/>
            <w:tcMar>
              <w:bottom w:w="0" w:type="dxa"/>
            </w:tcMar>
            <w:vAlign w:val="center"/>
          </w:tcPr>
          <w:p>
            <w:pPr>
              <w:pStyle w:val="TableContents"/>
              <w:spacing w:before="0" w:after="283"/>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shd w:fill="FFFFFF" w:val="clear"/>
            <w:tcMar>
              <w:bottom w:w="0" w:type="dxa"/>
            </w:tcMar>
            <w:vAlign w:val="bottom"/>
          </w:tcPr>
          <w:p>
            <w:pPr>
              <w:pStyle w:val="TableContents"/>
              <w:spacing w:before="0" w:after="283"/>
              <w:jc w:val="right"/>
              <w:rPr/>
            </w:pPr>
            <w:r>
              <w:rPr/>
              <w:t> </w:t>
            </w:r>
          </w:p>
        </w:tc>
        <w:tc>
          <w:tcPr>
            <w:tcW w:w="209" w:type="dxa"/>
            <w:tcBorders/>
            <w:shd w:fill="FFFFFF" w:val="clear"/>
            <w:tcMar>
              <w:bottom w:w="0" w:type="dxa"/>
            </w:tcMar>
            <w:vAlign w:val="bottom"/>
          </w:tcPr>
          <w:p>
            <w:pPr>
              <w:pStyle w:val="TableContents"/>
              <w:spacing w:before="0" w:after="283"/>
              <w:jc w:val="left"/>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shd w:fill="FFFFFF" w:val="clear"/>
            <w:tcMar>
              <w:bottom w:w="0" w:type="dxa"/>
            </w:tcMar>
            <w:vAlign w:val="bottom"/>
          </w:tcPr>
          <w:p>
            <w:pPr>
              <w:pStyle w:val="TableContents"/>
              <w:spacing w:before="0" w:after="283"/>
              <w:jc w:val="right"/>
              <w:rPr/>
            </w:pPr>
            <w:r>
              <w:rPr/>
              <w:t>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988" w:type="dxa"/>
            <w:tcBorders/>
            <w:shd w:fill="CCFFCC" w:val="clear"/>
            <w:tcMar>
              <w:bottom w:w="0" w:type="dxa"/>
            </w:tcM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Accounts payable</w:t>
            </w:r>
          </w:p>
        </w:tc>
        <w:tc>
          <w:tcPr>
            <w:tcW w:w="204" w:type="dxa"/>
            <w:tcBorders/>
            <w:shd w:fill="CCFFCC" w:val="clear"/>
            <w:tcMar>
              <w:bottom w:w="0" w:type="dxa"/>
            </w:tcMar>
            <w:vAlign w:val="center"/>
          </w:tcPr>
          <w:p>
            <w:pPr>
              <w:pStyle w:val="TableContents"/>
              <w:spacing w:before="0" w:after="283"/>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lineRule="auto" w:line="300" w:before="0" w:after="0"/>
              <w:ind w:left="0" w:right="0" w:hanging="0"/>
              <w:jc w:val="right"/>
              <w:rPr/>
            </w:pPr>
            <w:bookmarkStart w:id="299" w:name="TAB1178"/>
            <w:bookmarkStart w:id="300" w:name="TAB1179"/>
            <w:bookmarkEnd w:id="299"/>
            <w:bookmarkEnd w:id="300"/>
            <w:r>
              <w:rPr>
                <w:rStyle w:val="StrongEmphasis"/>
                <w:rFonts w:ascii="Times New Roman" w:hAnsi="Times New Roman"/>
                <w:sz w:val="20"/>
              </w:rPr>
              <w:t>144</w:t>
            </w:r>
          </w:p>
        </w:tc>
        <w:tc>
          <w:tcPr>
            <w:tcW w:w="209" w:type="dxa"/>
            <w:tcBorders/>
            <w:shd w:fill="CCFFCC" w:val="clear"/>
            <w:tcMar>
              <w:bottom w:w="0" w:type="dxa"/>
            </w:tcMar>
            <w:vAlign w:val="bottom"/>
          </w:tcPr>
          <w:p>
            <w:pPr>
              <w:pStyle w:val="TableContents"/>
              <w:spacing w:before="0" w:after="283"/>
              <w:jc w:val="left"/>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01" w:name="TAB1180"/>
            <w:bookmarkStart w:id="302" w:name="TAB1181"/>
            <w:bookmarkEnd w:id="301"/>
            <w:bookmarkEnd w:id="302"/>
            <w:r>
              <w:rPr>
                <w:rFonts w:ascii="Times New Roman" w:hAnsi="Times New Roman"/>
                <w:sz w:val="20"/>
              </w:rPr>
              <w:t>(968</w:t>
            </w:r>
          </w:p>
        </w:tc>
        <w:tc>
          <w:tcPr>
            <w:tcW w:w="124"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03" w:name="TAB1182"/>
            <w:bookmarkStart w:id="304" w:name="TAB1183"/>
            <w:bookmarkEnd w:id="303"/>
            <w:bookmarkEnd w:id="304"/>
            <w:r>
              <w:rPr>
                <w:rFonts w:ascii="Times New Roman" w:hAnsi="Times New Roman"/>
                <w:sz w:val="20"/>
              </w:rPr>
              <w:t>)</w:t>
            </w:r>
          </w:p>
        </w:tc>
      </w:tr>
      <w:tr>
        <w:trPr/>
        <w:tc>
          <w:tcPr>
            <w:tcW w:w="6988" w:type="dxa"/>
            <w:tcBorders/>
            <w:shd w:fill="FFFF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Accrued expenses</w:t>
            </w:r>
          </w:p>
        </w:tc>
        <w:tc>
          <w:tcPr>
            <w:tcW w:w="204" w:type="dxa"/>
            <w:tcBorders/>
            <w:shd w:fill="FFFFFF" w:val="clear"/>
            <w:tcMar>
              <w:bottom w:w="0" w:type="dxa"/>
            </w:tcMar>
            <w:vAlign w:val="center"/>
          </w:tcPr>
          <w:p>
            <w:pPr>
              <w:pStyle w:val="TableContents"/>
              <w:spacing w:before="0" w:after="283"/>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shd w:fill="FFFFFF" w:val="clear"/>
            <w:tcMar>
              <w:bottom w:w="0" w:type="dxa"/>
            </w:tcMar>
            <w:vAlign w:val="bottom"/>
          </w:tcPr>
          <w:p>
            <w:pPr>
              <w:pStyle w:val="TableContents"/>
              <w:spacing w:lineRule="auto" w:line="300" w:before="0" w:after="0"/>
              <w:ind w:left="0" w:right="0" w:hanging="0"/>
              <w:jc w:val="right"/>
              <w:rPr/>
            </w:pPr>
            <w:bookmarkStart w:id="305" w:name="TAB1184"/>
            <w:bookmarkStart w:id="306" w:name="TAB1185"/>
            <w:bookmarkEnd w:id="305"/>
            <w:bookmarkEnd w:id="306"/>
            <w:r>
              <w:rPr>
                <w:rStyle w:val="StrongEmphasis"/>
                <w:rFonts w:ascii="Times New Roman" w:hAnsi="Times New Roman"/>
                <w:sz w:val="20"/>
              </w:rPr>
              <w:t>(1,893</w:t>
            </w:r>
          </w:p>
        </w:tc>
        <w:tc>
          <w:tcPr>
            <w:tcW w:w="209" w:type="dxa"/>
            <w:tcBorders/>
            <w:shd w:fill="FFFFFF" w:val="clear"/>
            <w:tcMar>
              <w:bottom w:w="0" w:type="dxa"/>
            </w:tcMar>
            <w:vAlign w:val="bottom"/>
          </w:tcPr>
          <w:p>
            <w:pPr>
              <w:pStyle w:val="TableContents"/>
              <w:spacing w:lineRule="auto" w:line="300" w:before="0" w:after="0"/>
              <w:ind w:left="0" w:right="0" w:hanging="0"/>
              <w:jc w:val="left"/>
              <w:rPr/>
            </w:pPr>
            <w:bookmarkStart w:id="307" w:name="TAB1186"/>
            <w:bookmarkStart w:id="308" w:name="TAB1187"/>
            <w:bookmarkEnd w:id="307"/>
            <w:bookmarkEnd w:id="308"/>
            <w:r>
              <w:rPr>
                <w:rStyle w:val="StrongEmphasis"/>
                <w:rFonts w:ascii="Times New Roman" w:hAnsi="Times New Roman"/>
                <w:sz w:val="20"/>
              </w:rPr>
              <w:t>)</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09" w:name="TAB1188"/>
            <w:bookmarkStart w:id="310" w:name="TAB1189"/>
            <w:bookmarkEnd w:id="309"/>
            <w:bookmarkEnd w:id="310"/>
            <w:r>
              <w:rPr>
                <w:rFonts w:ascii="Times New Roman" w:hAnsi="Times New Roman"/>
                <w:sz w:val="20"/>
              </w:rPr>
              <w:t>(95</w:t>
            </w:r>
          </w:p>
        </w:tc>
        <w:tc>
          <w:tcPr>
            <w:tcW w:w="12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11" w:name="TAB1190"/>
            <w:bookmarkStart w:id="312" w:name="TAB1191"/>
            <w:bookmarkEnd w:id="311"/>
            <w:bookmarkEnd w:id="312"/>
            <w:r>
              <w:rPr>
                <w:rFonts w:ascii="Times New Roman" w:hAnsi="Times New Roman"/>
                <w:sz w:val="20"/>
              </w:rPr>
              <w:t>)</w:t>
            </w:r>
          </w:p>
        </w:tc>
      </w:tr>
      <w:tr>
        <w:trPr/>
        <w:tc>
          <w:tcPr>
            <w:tcW w:w="6988" w:type="dxa"/>
            <w:tcBorders/>
            <w:shd w:fill="CCFFCC" w:val="clear"/>
            <w:tcMar>
              <w:bottom w:w="0" w:type="dxa"/>
            </w:tcM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Deferred compensation</w:t>
            </w:r>
          </w:p>
        </w:tc>
        <w:tc>
          <w:tcPr>
            <w:tcW w:w="204" w:type="dxa"/>
            <w:tcBorders/>
            <w:shd w:fill="CCFFCC" w:val="clear"/>
            <w:tcMar>
              <w:bottom w:w="0" w:type="dxa"/>
            </w:tcMar>
            <w:vAlign w:val="center"/>
          </w:tcPr>
          <w:p>
            <w:pPr>
              <w:pStyle w:val="TableContents"/>
              <w:spacing w:before="0" w:after="283"/>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lineRule="auto" w:line="300" w:before="0" w:after="0"/>
              <w:ind w:left="0" w:right="0" w:hanging="0"/>
              <w:jc w:val="right"/>
              <w:rPr/>
            </w:pPr>
            <w:bookmarkStart w:id="313" w:name="TAB1192"/>
            <w:bookmarkStart w:id="314" w:name="TAB1193"/>
            <w:bookmarkEnd w:id="313"/>
            <w:bookmarkEnd w:id="314"/>
            <w:r>
              <w:rPr>
                <w:rStyle w:val="StrongEmphasis"/>
                <w:rFonts w:ascii="Times New Roman" w:hAnsi="Times New Roman"/>
                <w:sz w:val="20"/>
              </w:rPr>
              <w:t>202</w:t>
            </w:r>
          </w:p>
        </w:tc>
        <w:tc>
          <w:tcPr>
            <w:tcW w:w="209" w:type="dxa"/>
            <w:tcBorders/>
            <w:shd w:fill="CCFFCC" w:val="clear"/>
            <w:tcMar>
              <w:bottom w:w="0" w:type="dxa"/>
            </w:tcMar>
            <w:vAlign w:val="bottom"/>
          </w:tcPr>
          <w:p>
            <w:pPr>
              <w:pStyle w:val="TableContents"/>
              <w:spacing w:before="0" w:after="283"/>
              <w:jc w:val="left"/>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15" w:name="TAB1194"/>
            <w:bookmarkStart w:id="316" w:name="TAB1195"/>
            <w:bookmarkEnd w:id="315"/>
            <w:bookmarkEnd w:id="316"/>
            <w:r>
              <w:rPr>
                <w:rFonts w:ascii="Times New Roman" w:hAnsi="Times New Roman"/>
                <w:sz w:val="20"/>
              </w:rPr>
              <w:t>89</w:t>
            </w:r>
          </w:p>
        </w:tc>
        <w:tc>
          <w:tcPr>
            <w:tcW w:w="124" w:type="dxa"/>
            <w:tcBorders/>
            <w:shd w:fill="CCFFCC" w:val="clear"/>
            <w:tcMar>
              <w:bottom w:w="0" w:type="dxa"/>
            </w:tcMar>
            <w:vAlign w:val="bottom"/>
          </w:tcPr>
          <w:p>
            <w:pPr>
              <w:pStyle w:val="TableContents"/>
              <w:spacing w:before="0" w:after="283"/>
              <w:jc w:val="left"/>
              <w:rPr/>
            </w:pPr>
            <w:r>
              <w:rPr/>
              <w:t> </w:t>
            </w:r>
          </w:p>
        </w:tc>
      </w:tr>
      <w:tr>
        <w:trPr/>
        <w:tc>
          <w:tcPr>
            <w:tcW w:w="6988" w:type="dxa"/>
            <w:tcBorders>
              <w:bottom w:val="single" w:sz="4" w:space="0" w:color="FFFFFF"/>
            </w:tcBorders>
            <w:shd w:fill="FFFFFF" w:val="cle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Other liabilities</w:t>
            </w:r>
          </w:p>
        </w:tc>
        <w:tc>
          <w:tcPr>
            <w:tcW w:w="204" w:type="dxa"/>
            <w:tcBorders>
              <w:bottom w:val="single" w:sz="4" w:space="0" w:color="FFFFFF"/>
            </w:tcBorders>
            <w:shd w:fill="FFFFFF" w:val="clear"/>
            <w:vAlign w:val="center"/>
          </w:tcPr>
          <w:p>
            <w:pPr>
              <w:pStyle w:val="TableContents"/>
              <w:spacing w:before="0" w:after="283"/>
              <w:rPr/>
            </w:pPr>
            <w:r>
              <w:rPr/>
              <w:t> </w:t>
            </w:r>
          </w:p>
        </w:tc>
        <w:tc>
          <w:tcPr>
            <w:tcW w:w="128" w:type="dxa"/>
            <w:tcBorders>
              <w:bottom w:val="single" w:sz="2" w:space="0" w:color="000000"/>
            </w:tcBorders>
            <w:shd w:fill="FFFFFF" w:val="clear"/>
            <w:vAlign w:val="bottom"/>
          </w:tcPr>
          <w:p>
            <w:pPr>
              <w:pStyle w:val="TableContents"/>
              <w:spacing w:before="0" w:after="283"/>
              <w:jc w:val="left"/>
              <w:rPr/>
            </w:pPr>
            <w:r>
              <w:rPr/>
              <w:t> </w:t>
            </w:r>
          </w:p>
        </w:tc>
        <w:tc>
          <w:tcPr>
            <w:tcW w:w="1212"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317" w:name="TAB1196"/>
            <w:bookmarkStart w:id="318" w:name="TAB1197"/>
            <w:bookmarkEnd w:id="317"/>
            <w:bookmarkEnd w:id="318"/>
            <w:r>
              <w:rPr>
                <w:rStyle w:val="StrongEmphasis"/>
                <w:rFonts w:ascii="Times New Roman" w:hAnsi="Times New Roman"/>
                <w:sz w:val="20"/>
              </w:rPr>
              <w:t>372</w:t>
            </w:r>
          </w:p>
        </w:tc>
        <w:tc>
          <w:tcPr>
            <w:tcW w:w="209" w:type="dxa"/>
            <w:tcBorders>
              <w:bottom w:val="single" w:sz="4" w:space="0" w:color="FFFFFF"/>
            </w:tcBorders>
            <w:shd w:fill="FFFFFF" w:val="clear"/>
            <w:vAlign w:val="bottom"/>
          </w:tcPr>
          <w:p>
            <w:pPr>
              <w:pStyle w:val="TableContents"/>
              <w:spacing w:before="0" w:after="283"/>
              <w:jc w:val="left"/>
              <w:rPr/>
            </w:pPr>
            <w:r>
              <w:rPr/>
              <w:t> </w:t>
            </w:r>
          </w:p>
        </w:tc>
        <w:tc>
          <w:tcPr>
            <w:tcW w:w="128" w:type="dxa"/>
            <w:tcBorders>
              <w:bottom w:val="single" w:sz="2" w:space="0" w:color="000000"/>
            </w:tcBorders>
            <w:shd w:fill="FFFFFF" w:val="clear"/>
            <w:vAlign w:val="bottom"/>
          </w:tcPr>
          <w:p>
            <w:pPr>
              <w:pStyle w:val="TableContents"/>
              <w:spacing w:before="0" w:after="283"/>
              <w:jc w:val="left"/>
              <w:rPr/>
            </w:pPr>
            <w:r>
              <w:rPr/>
              <w:t> </w:t>
            </w:r>
          </w:p>
        </w:tc>
        <w:tc>
          <w:tcPr>
            <w:tcW w:w="121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19" w:name="TAB1198"/>
            <w:bookmarkStart w:id="320" w:name="TAB1199"/>
            <w:bookmarkEnd w:id="319"/>
            <w:bookmarkEnd w:id="320"/>
            <w:r>
              <w:rPr>
                <w:rFonts w:ascii="Times New Roman" w:hAnsi="Times New Roman"/>
                <w:sz w:val="20"/>
              </w:rPr>
              <w:t xml:space="preserve">523 </w:t>
            </w:r>
          </w:p>
        </w:tc>
        <w:tc>
          <w:tcPr>
            <w:tcW w:w="124" w:type="dxa"/>
            <w:tcBorders>
              <w:bottom w:val="single" w:sz="4" w:space="0" w:color="FFFFFF"/>
            </w:tcBorders>
            <w:shd w:fill="FFFFFF" w:val="clear"/>
            <w:vAlign w:val="bottom"/>
          </w:tcPr>
          <w:p>
            <w:pPr>
              <w:pStyle w:val="TableContents"/>
              <w:spacing w:before="0" w:after="283"/>
              <w:jc w:val="left"/>
              <w:rPr/>
            </w:pPr>
            <w:r>
              <w:rPr/>
              <w:t> </w:t>
            </w:r>
          </w:p>
        </w:tc>
      </w:tr>
      <w:tr>
        <w:trPr/>
        <w:tc>
          <w:tcPr>
            <w:tcW w:w="6988" w:type="dxa"/>
            <w:tcBorders>
              <w:bottom w:val="single" w:sz="4" w:space="0" w:color="CCFFCC"/>
            </w:tcBorders>
            <w:shd w:fill="CCFFCC" w:val="clear"/>
            <w:vAlign w:val="bottom"/>
          </w:tcPr>
          <w:p>
            <w:pPr>
              <w:pStyle w:val="TableContents"/>
              <w:spacing w:lineRule="auto" w:line="300" w:before="0" w:after="0"/>
              <w:ind w:left="540" w:right="0" w:hanging="0"/>
              <w:jc w:val="left"/>
              <w:rPr/>
            </w:pPr>
            <w:r>
              <w:rPr>
                <w:rStyle w:val="StrongEmphasis"/>
                <w:rFonts w:ascii="Times New Roman" w:hAnsi="Times New Roman"/>
                <w:sz w:val="20"/>
              </w:rPr>
              <w:t>Total Adjustments</w:t>
            </w:r>
          </w:p>
        </w:tc>
        <w:tc>
          <w:tcPr>
            <w:tcW w:w="204" w:type="dxa"/>
            <w:tcBorders>
              <w:bottom w:val="single" w:sz="4" w:space="0" w:color="CCFFCC"/>
            </w:tcBorders>
            <w:shd w:fill="CCFFCC" w:val="clear"/>
            <w:vAlign w:val="center"/>
          </w:tcPr>
          <w:p>
            <w:pPr>
              <w:pStyle w:val="TableContents"/>
              <w:spacing w:before="0" w:after="283"/>
              <w:rPr/>
            </w:pPr>
            <w:r>
              <w:rPr/>
              <w:t> </w:t>
            </w:r>
          </w:p>
        </w:tc>
        <w:tc>
          <w:tcPr>
            <w:tcW w:w="128" w:type="dxa"/>
            <w:tcBorders>
              <w:bottom w:val="single" w:sz="2" w:space="0" w:color="000000"/>
            </w:tcBorders>
            <w:shd w:fill="CCFFCC" w:val="clear"/>
            <w:vAlign w:val="bottom"/>
          </w:tcPr>
          <w:p>
            <w:pPr>
              <w:pStyle w:val="TableContents"/>
              <w:spacing w:before="0" w:after="283"/>
              <w:jc w:val="left"/>
              <w:rPr/>
            </w:pPr>
            <w:r>
              <w:rPr/>
              <w:t> </w:t>
            </w:r>
          </w:p>
        </w:tc>
        <w:tc>
          <w:tcPr>
            <w:tcW w:w="1212"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321" w:name="TAB1200"/>
            <w:bookmarkStart w:id="322" w:name="TAB1201"/>
            <w:bookmarkEnd w:id="321"/>
            <w:bookmarkEnd w:id="322"/>
            <w:r>
              <w:rPr>
                <w:rStyle w:val="StrongEmphasis"/>
                <w:rFonts w:ascii="Times New Roman" w:hAnsi="Times New Roman"/>
                <w:sz w:val="20"/>
              </w:rPr>
              <w:t>(1,851</w:t>
            </w:r>
          </w:p>
        </w:tc>
        <w:tc>
          <w:tcPr>
            <w:tcW w:w="209" w:type="dxa"/>
            <w:tcBorders>
              <w:bottom w:val="single" w:sz="4" w:space="0" w:color="CCFFCC"/>
            </w:tcBorders>
            <w:shd w:fill="CCFFCC" w:val="clear"/>
            <w:vAlign w:val="bottom"/>
          </w:tcPr>
          <w:p>
            <w:pPr>
              <w:pStyle w:val="TableContents"/>
              <w:spacing w:lineRule="auto" w:line="300" w:before="0" w:after="0"/>
              <w:ind w:left="0" w:right="0" w:hanging="0"/>
              <w:jc w:val="left"/>
              <w:rPr/>
            </w:pPr>
            <w:bookmarkStart w:id="323" w:name="TAB1202"/>
            <w:bookmarkStart w:id="324" w:name="TAB1203"/>
            <w:bookmarkEnd w:id="323"/>
            <w:bookmarkEnd w:id="324"/>
            <w:r>
              <w:rPr>
                <w:rStyle w:val="StrongEmphasis"/>
                <w:rFonts w:ascii="Times New Roman" w:hAnsi="Times New Roman"/>
                <w:sz w:val="20"/>
              </w:rPr>
              <w:t>)</w:t>
            </w:r>
          </w:p>
        </w:tc>
        <w:tc>
          <w:tcPr>
            <w:tcW w:w="128" w:type="dxa"/>
            <w:tcBorders>
              <w:bottom w:val="single" w:sz="2" w:space="0" w:color="000000"/>
            </w:tcBorders>
            <w:shd w:fill="CCFFCC" w:val="clear"/>
            <w:vAlign w:val="bottom"/>
          </w:tcPr>
          <w:p>
            <w:pPr>
              <w:pStyle w:val="TableContents"/>
              <w:spacing w:before="0" w:after="283"/>
              <w:jc w:val="left"/>
              <w:rPr/>
            </w:pPr>
            <w:r>
              <w:rPr/>
              <w:t> </w:t>
            </w:r>
          </w:p>
        </w:tc>
        <w:tc>
          <w:tcPr>
            <w:tcW w:w="1212"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bookmarkStart w:id="325" w:name="TAB1204"/>
            <w:bookmarkStart w:id="326" w:name="TAB1205"/>
            <w:bookmarkEnd w:id="325"/>
            <w:bookmarkEnd w:id="326"/>
            <w:r>
              <w:rPr>
                <w:rFonts w:ascii="Times New Roman" w:hAnsi="Times New Roman"/>
                <w:sz w:val="20"/>
              </w:rPr>
              <w:t>3,503</w:t>
            </w:r>
          </w:p>
        </w:tc>
        <w:tc>
          <w:tcPr>
            <w:tcW w:w="124" w:type="dxa"/>
            <w:tcBorders>
              <w:bottom w:val="single" w:sz="4" w:space="0" w:color="CCFFCC"/>
            </w:tcBorders>
            <w:shd w:fill="CCFFCC" w:val="clear"/>
            <w:vAlign w:val="bottom"/>
          </w:tcPr>
          <w:p>
            <w:pPr>
              <w:pStyle w:val="TableContents"/>
              <w:spacing w:before="0" w:after="283"/>
              <w:jc w:val="left"/>
              <w:rPr/>
            </w:pPr>
            <w:r>
              <w:rPr/>
              <w:t> </w:t>
            </w:r>
          </w:p>
        </w:tc>
      </w:tr>
      <w:tr>
        <w:trPr/>
        <w:tc>
          <w:tcPr>
            <w:tcW w:w="6988" w:type="dxa"/>
            <w:tcBorders>
              <w:bottom w:val="single" w:sz="4" w:space="0" w:color="FFFFFF"/>
            </w:tcBorders>
            <w:shd w:fill="FFFFFF" w:val="clear"/>
            <w:vAlign w:val="bottom"/>
          </w:tcPr>
          <w:p>
            <w:pPr>
              <w:pStyle w:val="TableContents"/>
              <w:spacing w:lineRule="auto" w:line="300" w:before="0" w:after="0"/>
              <w:ind w:left="180" w:right="0" w:hanging="0"/>
              <w:jc w:val="left"/>
              <w:rPr/>
            </w:pPr>
            <w:r>
              <w:rPr>
                <w:rStyle w:val="StrongEmphasis"/>
                <w:rFonts w:ascii="Times New Roman" w:hAnsi="Times New Roman"/>
                <w:sz w:val="20"/>
              </w:rPr>
              <w:t>Net Cash Provided by Operating Activities</w:t>
            </w:r>
          </w:p>
        </w:tc>
        <w:tc>
          <w:tcPr>
            <w:tcW w:w="204" w:type="dxa"/>
            <w:tcBorders>
              <w:bottom w:val="single" w:sz="4" w:space="0" w:color="FFFFFF"/>
            </w:tcBorders>
            <w:shd w:fill="FFFFFF" w:val="clear"/>
            <w:vAlign w:val="center"/>
          </w:tcPr>
          <w:p>
            <w:pPr>
              <w:pStyle w:val="TableContents"/>
              <w:spacing w:before="0" w:after="283"/>
              <w:rPr/>
            </w:pPr>
            <w:r>
              <w:rPr/>
              <w:t> </w:t>
            </w:r>
          </w:p>
        </w:tc>
        <w:tc>
          <w:tcPr>
            <w:tcW w:w="128" w:type="dxa"/>
            <w:tcBorders>
              <w:bottom w:val="single" w:sz="2" w:space="0" w:color="000000"/>
            </w:tcBorders>
            <w:shd w:fill="FFFFFF" w:val="clear"/>
            <w:vAlign w:val="bottom"/>
          </w:tcPr>
          <w:p>
            <w:pPr>
              <w:pStyle w:val="TableContents"/>
              <w:spacing w:before="0" w:after="283"/>
              <w:jc w:val="left"/>
              <w:rPr/>
            </w:pPr>
            <w:r>
              <w:rPr/>
              <w:t> </w:t>
            </w:r>
          </w:p>
        </w:tc>
        <w:tc>
          <w:tcPr>
            <w:tcW w:w="1212"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327" w:name="TAB1206"/>
            <w:bookmarkStart w:id="328" w:name="TAB1207"/>
            <w:bookmarkEnd w:id="327"/>
            <w:bookmarkEnd w:id="328"/>
            <w:r>
              <w:rPr>
                <w:rStyle w:val="StrongEmphasis"/>
                <w:rFonts w:ascii="Times New Roman" w:hAnsi="Times New Roman"/>
                <w:sz w:val="20"/>
              </w:rPr>
              <w:t>2,722</w:t>
            </w:r>
          </w:p>
        </w:tc>
        <w:tc>
          <w:tcPr>
            <w:tcW w:w="209" w:type="dxa"/>
            <w:tcBorders>
              <w:bottom w:val="single" w:sz="4" w:space="0" w:color="FFFFFF"/>
            </w:tcBorders>
            <w:shd w:fill="FFFFFF" w:val="clear"/>
            <w:vAlign w:val="bottom"/>
          </w:tcPr>
          <w:p>
            <w:pPr>
              <w:pStyle w:val="TableContents"/>
              <w:spacing w:before="0" w:after="283"/>
              <w:jc w:val="left"/>
              <w:rPr/>
            </w:pPr>
            <w:r>
              <w:rPr/>
              <w:t> </w:t>
            </w:r>
          </w:p>
        </w:tc>
        <w:tc>
          <w:tcPr>
            <w:tcW w:w="128" w:type="dxa"/>
            <w:tcBorders>
              <w:bottom w:val="single" w:sz="2" w:space="0" w:color="000000"/>
            </w:tcBorders>
            <w:shd w:fill="FFFFFF" w:val="clear"/>
            <w:vAlign w:val="bottom"/>
          </w:tcPr>
          <w:p>
            <w:pPr>
              <w:pStyle w:val="TableContents"/>
              <w:spacing w:before="0" w:after="283"/>
              <w:jc w:val="left"/>
              <w:rPr/>
            </w:pPr>
            <w:r>
              <w:rPr/>
              <w:t> </w:t>
            </w:r>
          </w:p>
        </w:tc>
        <w:tc>
          <w:tcPr>
            <w:tcW w:w="121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29" w:name="TAB1208"/>
            <w:bookmarkStart w:id="330" w:name="TAB1209"/>
            <w:bookmarkEnd w:id="329"/>
            <w:bookmarkEnd w:id="330"/>
            <w:r>
              <w:rPr>
                <w:rFonts w:ascii="Times New Roman" w:hAnsi="Times New Roman"/>
                <w:sz w:val="20"/>
              </w:rPr>
              <w:t>7,113</w:t>
            </w:r>
          </w:p>
        </w:tc>
        <w:tc>
          <w:tcPr>
            <w:tcW w:w="124" w:type="dxa"/>
            <w:tcBorders>
              <w:bottom w:val="single" w:sz="4" w:space="0" w:color="FFFFFF"/>
            </w:tcBorders>
            <w:shd w:fill="FFFFFF" w:val="clear"/>
            <w:vAlign w:val="bottom"/>
          </w:tcPr>
          <w:p>
            <w:pPr>
              <w:pStyle w:val="TableContents"/>
              <w:spacing w:before="0" w:after="283"/>
              <w:jc w:val="left"/>
              <w:rPr/>
            </w:pPr>
            <w:r>
              <w:rPr/>
              <w:t> </w:t>
            </w:r>
          </w:p>
        </w:tc>
      </w:tr>
      <w:tr>
        <w:trPr/>
        <w:tc>
          <w:tcPr>
            <w:tcW w:w="6988" w:type="dxa"/>
            <w:tcBorders/>
            <w:shd w:fill="CCFFCC" w:val="clear"/>
            <w:tcMar>
              <w:bottom w:w="0" w:type="dxa"/>
            </w:tcMar>
            <w:vAlign w:val="bottom"/>
          </w:tcPr>
          <w:p>
            <w:pPr>
              <w:pStyle w:val="TableContents"/>
              <w:spacing w:before="0" w:after="283"/>
              <w:jc w:val="left"/>
              <w:rPr/>
            </w:pPr>
            <w:r>
              <w:rPr/>
              <w:t> </w:t>
            </w:r>
          </w:p>
        </w:tc>
        <w:tc>
          <w:tcPr>
            <w:tcW w:w="204" w:type="dxa"/>
            <w:tcBorders/>
            <w:shd w:fill="CCFFCC" w:val="clear"/>
            <w:tcMar>
              <w:bottom w:w="0" w:type="dxa"/>
            </w:tcMar>
            <w:vAlign w:val="center"/>
          </w:tcPr>
          <w:p>
            <w:pPr>
              <w:pStyle w:val="TableContents"/>
              <w:spacing w:before="0" w:after="283"/>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before="0" w:after="283"/>
              <w:jc w:val="right"/>
              <w:rPr/>
            </w:pPr>
            <w:r>
              <w:rPr/>
              <w:t> </w:t>
            </w:r>
          </w:p>
        </w:tc>
        <w:tc>
          <w:tcPr>
            <w:tcW w:w="209" w:type="dxa"/>
            <w:tcBorders/>
            <w:shd w:fill="CCFFCC" w:val="clear"/>
            <w:tcMar>
              <w:bottom w:w="0" w:type="dxa"/>
            </w:tcMar>
            <w:vAlign w:val="bottom"/>
          </w:tcPr>
          <w:p>
            <w:pPr>
              <w:pStyle w:val="TableContents"/>
              <w:spacing w:before="0" w:after="283"/>
              <w:jc w:val="left"/>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before="0" w:after="283"/>
              <w:jc w:val="right"/>
              <w:rPr/>
            </w:pPr>
            <w:r>
              <w:rPr/>
              <w:t> </w:t>
            </w:r>
          </w:p>
        </w:tc>
        <w:tc>
          <w:tcPr>
            <w:tcW w:w="124" w:type="dxa"/>
            <w:tcBorders/>
            <w:shd w:fill="CCFFCC" w:val="clear"/>
            <w:tcMar>
              <w:bottom w:w="0" w:type="dxa"/>
            </w:tcMar>
            <w:vAlign w:val="bottom"/>
          </w:tcPr>
          <w:p>
            <w:pPr>
              <w:pStyle w:val="TableContents"/>
              <w:spacing w:before="0" w:after="283"/>
              <w:jc w:val="left"/>
              <w:rPr/>
            </w:pPr>
            <w:r>
              <w:rPr/>
              <w:t> </w:t>
            </w:r>
          </w:p>
        </w:tc>
      </w:tr>
      <w:tr>
        <w:trPr/>
        <w:tc>
          <w:tcPr>
            <w:tcW w:w="6988" w:type="dxa"/>
            <w:tcBorders>
              <w:bottom w:val="single" w:sz="2"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u w:val="single"/>
              </w:rPr>
              <w:t>CASH FLOWS FROM INVESTING ACTIVITIES</w:t>
            </w:r>
          </w:p>
        </w:tc>
        <w:tc>
          <w:tcPr>
            <w:tcW w:w="204" w:type="dxa"/>
            <w:tcBorders>
              <w:bottom w:val="single" w:sz="2" w:space="0" w:color="FFFFFF"/>
            </w:tcBorders>
            <w:shd w:fill="FFFFFF" w:val="clear"/>
            <w:vAlign w:val="center"/>
          </w:tcPr>
          <w:p>
            <w:pPr>
              <w:pStyle w:val="TableContents"/>
              <w:spacing w:before="0" w:after="283"/>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bottom w:val="single" w:sz="2" w:space="0" w:color="FFFFFF"/>
            </w:tcBorders>
            <w:shd w:fill="FFFFFF" w:val="clear"/>
            <w:vAlign w:val="bottom"/>
          </w:tcPr>
          <w:p>
            <w:pPr>
              <w:pStyle w:val="TableContents"/>
              <w:spacing w:before="0" w:after="283"/>
              <w:jc w:val="right"/>
              <w:rPr/>
            </w:pPr>
            <w:r>
              <w:rPr/>
              <w:t> </w:t>
            </w:r>
          </w:p>
        </w:tc>
        <w:tc>
          <w:tcPr>
            <w:tcW w:w="209" w:type="dxa"/>
            <w:tcBorders>
              <w:bottom w:val="single" w:sz="2" w:space="0" w:color="FFFFFF"/>
            </w:tcBorders>
            <w:shd w:fill="FFFFFF" w:val="clear"/>
            <w:vAlign w:val="bottom"/>
          </w:tcPr>
          <w:p>
            <w:pPr>
              <w:pStyle w:val="TableContents"/>
              <w:spacing w:before="0" w:after="283"/>
              <w:jc w:val="left"/>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bottom w:val="single" w:sz="2" w:space="0" w:color="FFFFFF"/>
            </w:tcBorders>
            <w:shd w:fill="FFFFFF" w:val="clear"/>
            <w:vAlign w:val="bottom"/>
          </w:tcPr>
          <w:p>
            <w:pPr>
              <w:pStyle w:val="TableContents"/>
              <w:spacing w:before="0" w:after="283"/>
              <w:jc w:val="right"/>
              <w:rPr/>
            </w:pPr>
            <w:r>
              <w:rPr/>
              <w:t> </w:t>
            </w:r>
          </w:p>
        </w:tc>
        <w:tc>
          <w:tcPr>
            <w:tcW w:w="124" w:type="dxa"/>
            <w:tcBorders>
              <w:bottom w:val="single" w:sz="2" w:space="0" w:color="FFFFFF"/>
            </w:tcBorders>
            <w:shd w:fill="FFFFFF" w:val="clear"/>
            <w:vAlign w:val="bottom"/>
          </w:tcPr>
          <w:p>
            <w:pPr>
              <w:pStyle w:val="TableContents"/>
              <w:spacing w:before="0" w:after="283"/>
              <w:jc w:val="left"/>
              <w:rPr/>
            </w:pPr>
            <w:r>
              <w:rPr/>
              <w:t> </w:t>
            </w:r>
          </w:p>
        </w:tc>
      </w:tr>
      <w:tr>
        <w:trPr/>
        <w:tc>
          <w:tcPr>
            <w:tcW w:w="6988"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Capital expenditures</w:t>
            </w:r>
          </w:p>
        </w:tc>
        <w:tc>
          <w:tcPr>
            <w:tcW w:w="204" w:type="dxa"/>
            <w:tcBorders/>
            <w:shd w:fill="CCFFCC" w:val="clear"/>
            <w:tcMar>
              <w:bottom w:w="0" w:type="dxa"/>
            </w:tcMar>
            <w:vAlign w:val="center"/>
          </w:tcPr>
          <w:p>
            <w:pPr>
              <w:pStyle w:val="TableContents"/>
              <w:spacing w:before="0" w:after="283"/>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lineRule="auto" w:line="300" w:before="0" w:after="0"/>
              <w:ind w:left="0" w:right="0" w:hanging="0"/>
              <w:jc w:val="right"/>
              <w:rPr/>
            </w:pPr>
            <w:bookmarkStart w:id="331" w:name="TAB1210"/>
            <w:bookmarkStart w:id="332" w:name="TAB1211"/>
            <w:bookmarkEnd w:id="331"/>
            <w:bookmarkEnd w:id="332"/>
            <w:r>
              <w:rPr>
                <w:rStyle w:val="StrongEmphasis"/>
                <w:rFonts w:ascii="Times New Roman" w:hAnsi="Times New Roman"/>
                <w:sz w:val="20"/>
              </w:rPr>
              <w:t>(3,828</w:t>
            </w:r>
          </w:p>
        </w:tc>
        <w:tc>
          <w:tcPr>
            <w:tcW w:w="209" w:type="dxa"/>
            <w:tcBorders/>
            <w:shd w:fill="CCFFCC" w:val="clear"/>
            <w:tcMar>
              <w:bottom w:w="0" w:type="dxa"/>
            </w:tcMar>
            <w:vAlign w:val="bottom"/>
          </w:tcPr>
          <w:p>
            <w:pPr>
              <w:pStyle w:val="TableContents"/>
              <w:spacing w:lineRule="auto" w:line="300" w:before="0" w:after="0"/>
              <w:ind w:left="0" w:right="0" w:hanging="0"/>
              <w:jc w:val="left"/>
              <w:rPr/>
            </w:pPr>
            <w:bookmarkStart w:id="333" w:name="TAB1212"/>
            <w:bookmarkStart w:id="334" w:name="TAB1213"/>
            <w:bookmarkEnd w:id="333"/>
            <w:bookmarkEnd w:id="334"/>
            <w:r>
              <w:rPr>
                <w:rStyle w:val="StrongEmphasis"/>
                <w:rFonts w:ascii="Times New Roman" w:hAnsi="Times New Roman"/>
                <w:sz w:val="20"/>
              </w:rPr>
              <w:t>)</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35" w:name="TAB1214"/>
            <w:bookmarkStart w:id="336" w:name="TAB1215"/>
            <w:bookmarkEnd w:id="335"/>
            <w:bookmarkEnd w:id="336"/>
            <w:r>
              <w:rPr>
                <w:rFonts w:ascii="Times New Roman" w:hAnsi="Times New Roman"/>
                <w:sz w:val="20"/>
              </w:rPr>
              <w:t>(4,098</w:t>
            </w:r>
          </w:p>
        </w:tc>
        <w:tc>
          <w:tcPr>
            <w:tcW w:w="124"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37" w:name="TAB1216"/>
            <w:bookmarkStart w:id="338" w:name="TAB1217"/>
            <w:bookmarkEnd w:id="337"/>
            <w:bookmarkEnd w:id="338"/>
            <w:r>
              <w:rPr>
                <w:rFonts w:ascii="Times New Roman" w:hAnsi="Times New Roman"/>
                <w:sz w:val="20"/>
              </w:rPr>
              <w:t>)</w:t>
            </w:r>
          </w:p>
        </w:tc>
      </w:tr>
      <w:tr>
        <w:trPr/>
        <w:tc>
          <w:tcPr>
            <w:tcW w:w="6988"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Proceeds from sale of property, plant and equipment</w:t>
            </w:r>
          </w:p>
        </w:tc>
        <w:tc>
          <w:tcPr>
            <w:tcW w:w="204" w:type="dxa"/>
            <w:tcBorders/>
            <w:shd w:fill="FFFFFF" w:val="clear"/>
            <w:tcMar>
              <w:bottom w:w="0" w:type="dxa"/>
            </w:tcMar>
            <w:vAlign w:val="center"/>
          </w:tcPr>
          <w:p>
            <w:pPr>
              <w:pStyle w:val="TableContents"/>
              <w:spacing w:before="0" w:after="283"/>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shd w:fill="FFFFFF" w:val="clear"/>
            <w:tcMar>
              <w:bottom w:w="0" w:type="dxa"/>
            </w:tcMar>
            <w:vAlign w:val="bottom"/>
          </w:tcPr>
          <w:p>
            <w:pPr>
              <w:pStyle w:val="TableContents"/>
              <w:spacing w:lineRule="auto" w:line="300" w:before="0" w:after="0"/>
              <w:ind w:left="0" w:right="0" w:hanging="0"/>
              <w:jc w:val="right"/>
              <w:rPr/>
            </w:pPr>
            <w:bookmarkStart w:id="339" w:name="TAB1218"/>
            <w:bookmarkStart w:id="340" w:name="TAB1219"/>
            <w:bookmarkEnd w:id="339"/>
            <w:bookmarkEnd w:id="340"/>
            <w:r>
              <w:rPr>
                <w:rStyle w:val="StrongEmphasis"/>
                <w:rFonts w:ascii="Times New Roman" w:hAnsi="Times New Roman"/>
                <w:sz w:val="20"/>
              </w:rPr>
              <w:t>28</w:t>
            </w:r>
          </w:p>
        </w:tc>
        <w:tc>
          <w:tcPr>
            <w:tcW w:w="209" w:type="dxa"/>
            <w:tcBorders/>
            <w:shd w:fill="FFFFFF" w:val="clear"/>
            <w:tcMar>
              <w:bottom w:w="0" w:type="dxa"/>
            </w:tcMar>
            <w:vAlign w:val="bottom"/>
          </w:tcPr>
          <w:p>
            <w:pPr>
              <w:pStyle w:val="TableContents"/>
              <w:spacing w:before="0" w:after="283"/>
              <w:jc w:val="left"/>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41" w:name="TAB1220"/>
            <w:bookmarkStart w:id="342" w:name="TAB1221"/>
            <w:bookmarkEnd w:id="341"/>
            <w:bookmarkEnd w:id="342"/>
            <w:r>
              <w:rPr>
                <w:rFonts w:ascii="Times New Roman" w:hAnsi="Times New Roman"/>
                <w:sz w:val="20"/>
              </w:rPr>
              <w:t xml:space="preserve">30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988"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Purchases of investment securities</w:t>
            </w:r>
          </w:p>
        </w:tc>
        <w:tc>
          <w:tcPr>
            <w:tcW w:w="204" w:type="dxa"/>
            <w:tcBorders/>
            <w:shd w:fill="CCFFCC" w:val="clear"/>
            <w:tcMar>
              <w:bottom w:w="0" w:type="dxa"/>
            </w:tcMar>
            <w:vAlign w:val="center"/>
          </w:tcPr>
          <w:p>
            <w:pPr>
              <w:pStyle w:val="TableContents"/>
              <w:spacing w:before="0" w:after="283"/>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lineRule="auto" w:line="300" w:before="0" w:after="0"/>
              <w:ind w:left="0" w:right="0" w:hanging="0"/>
              <w:jc w:val="right"/>
              <w:rPr/>
            </w:pPr>
            <w:bookmarkStart w:id="343" w:name="TAB1222"/>
            <w:bookmarkStart w:id="344" w:name="TAB1223"/>
            <w:bookmarkEnd w:id="343"/>
            <w:bookmarkEnd w:id="344"/>
            <w:r>
              <w:rPr>
                <w:rStyle w:val="StrongEmphasis"/>
                <w:rFonts w:ascii="Times New Roman" w:hAnsi="Times New Roman"/>
                <w:sz w:val="20"/>
              </w:rPr>
              <w:t>(56,006</w:t>
            </w:r>
          </w:p>
        </w:tc>
        <w:tc>
          <w:tcPr>
            <w:tcW w:w="209" w:type="dxa"/>
            <w:tcBorders/>
            <w:shd w:fill="CCFFCC" w:val="clear"/>
            <w:tcMar>
              <w:bottom w:w="0" w:type="dxa"/>
            </w:tcMar>
            <w:vAlign w:val="bottom"/>
          </w:tcPr>
          <w:p>
            <w:pPr>
              <w:pStyle w:val="TableContents"/>
              <w:spacing w:lineRule="auto" w:line="300" w:before="0" w:after="0"/>
              <w:ind w:left="0" w:right="0" w:hanging="0"/>
              <w:jc w:val="left"/>
              <w:rPr/>
            </w:pPr>
            <w:bookmarkStart w:id="345" w:name="TAB1224"/>
            <w:bookmarkStart w:id="346" w:name="TAB1225"/>
            <w:bookmarkEnd w:id="345"/>
            <w:bookmarkEnd w:id="346"/>
            <w:r>
              <w:rPr>
                <w:rStyle w:val="StrongEmphasis"/>
                <w:rFonts w:ascii="Times New Roman" w:hAnsi="Times New Roman"/>
                <w:sz w:val="20"/>
              </w:rPr>
              <w:t>)</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47" w:name="TAB1226"/>
            <w:bookmarkStart w:id="348" w:name="TAB1227"/>
            <w:bookmarkEnd w:id="347"/>
            <w:bookmarkEnd w:id="348"/>
            <w:r>
              <w:rPr>
                <w:rFonts w:ascii="Times New Roman" w:hAnsi="Times New Roman"/>
                <w:sz w:val="20"/>
              </w:rPr>
              <w:t>(22,852</w:t>
            </w:r>
          </w:p>
        </w:tc>
        <w:tc>
          <w:tcPr>
            <w:tcW w:w="124"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49" w:name="TAB1228"/>
            <w:bookmarkStart w:id="350" w:name="TAB1229"/>
            <w:bookmarkEnd w:id="349"/>
            <w:bookmarkEnd w:id="350"/>
            <w:r>
              <w:rPr>
                <w:rFonts w:ascii="Times New Roman" w:hAnsi="Times New Roman"/>
                <w:sz w:val="20"/>
              </w:rPr>
              <w:t>)</w:t>
            </w:r>
          </w:p>
        </w:tc>
      </w:tr>
      <w:tr>
        <w:trPr/>
        <w:tc>
          <w:tcPr>
            <w:tcW w:w="6988" w:type="dxa"/>
            <w:tcBorders>
              <w:bottom w:val="single" w:sz="4" w:space="0" w:color="FFFFFF"/>
            </w:tcBorders>
            <w:shd w:fill="FFFFFF" w:val="cle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Dispositions of investment securities</w:t>
            </w:r>
          </w:p>
        </w:tc>
        <w:tc>
          <w:tcPr>
            <w:tcW w:w="204" w:type="dxa"/>
            <w:tcBorders>
              <w:bottom w:val="single" w:sz="4" w:space="0" w:color="FFFFFF"/>
            </w:tcBorders>
            <w:shd w:fill="FFFFFF" w:val="clear"/>
            <w:vAlign w:val="center"/>
          </w:tcPr>
          <w:p>
            <w:pPr>
              <w:pStyle w:val="TableContents"/>
              <w:spacing w:before="0" w:after="283"/>
              <w:rPr/>
            </w:pPr>
            <w:r>
              <w:rPr/>
              <w:t> </w:t>
            </w:r>
          </w:p>
        </w:tc>
        <w:tc>
          <w:tcPr>
            <w:tcW w:w="128" w:type="dxa"/>
            <w:tcBorders>
              <w:bottom w:val="single" w:sz="2" w:space="0" w:color="000000"/>
            </w:tcBorders>
            <w:shd w:fill="FFFFFF" w:val="clear"/>
            <w:vAlign w:val="bottom"/>
          </w:tcPr>
          <w:p>
            <w:pPr>
              <w:pStyle w:val="TableContents"/>
              <w:spacing w:before="0" w:after="283"/>
              <w:jc w:val="left"/>
              <w:rPr/>
            </w:pPr>
            <w:r>
              <w:rPr/>
              <w:t> </w:t>
            </w:r>
          </w:p>
        </w:tc>
        <w:tc>
          <w:tcPr>
            <w:tcW w:w="1212"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351" w:name="TAB1230"/>
            <w:bookmarkStart w:id="352" w:name="TAB1231"/>
            <w:bookmarkEnd w:id="351"/>
            <w:bookmarkEnd w:id="352"/>
            <w:r>
              <w:rPr>
                <w:rStyle w:val="StrongEmphasis"/>
                <w:rFonts w:ascii="Times New Roman" w:hAnsi="Times New Roman"/>
                <w:sz w:val="20"/>
              </w:rPr>
              <w:t>50,000</w:t>
            </w:r>
          </w:p>
        </w:tc>
        <w:tc>
          <w:tcPr>
            <w:tcW w:w="209" w:type="dxa"/>
            <w:tcBorders>
              <w:bottom w:val="single" w:sz="4" w:space="0" w:color="FFFFFF"/>
            </w:tcBorders>
            <w:shd w:fill="FFFFFF" w:val="clear"/>
            <w:vAlign w:val="bottom"/>
          </w:tcPr>
          <w:p>
            <w:pPr>
              <w:pStyle w:val="TableContents"/>
              <w:spacing w:before="0" w:after="283"/>
              <w:jc w:val="left"/>
              <w:rPr/>
            </w:pPr>
            <w:r>
              <w:rPr/>
              <w:t> </w:t>
            </w:r>
          </w:p>
        </w:tc>
        <w:tc>
          <w:tcPr>
            <w:tcW w:w="128" w:type="dxa"/>
            <w:tcBorders>
              <w:bottom w:val="single" w:sz="2" w:space="0" w:color="000000"/>
            </w:tcBorders>
            <w:shd w:fill="FFFFFF" w:val="clear"/>
            <w:vAlign w:val="bottom"/>
          </w:tcPr>
          <w:p>
            <w:pPr>
              <w:pStyle w:val="TableContents"/>
              <w:spacing w:before="0" w:after="283"/>
              <w:jc w:val="left"/>
              <w:rPr/>
            </w:pPr>
            <w:r>
              <w:rPr/>
              <w:t> </w:t>
            </w:r>
          </w:p>
        </w:tc>
        <w:tc>
          <w:tcPr>
            <w:tcW w:w="121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53" w:name="TAB1232"/>
            <w:bookmarkStart w:id="354" w:name="TAB1233"/>
            <w:bookmarkEnd w:id="353"/>
            <w:bookmarkEnd w:id="354"/>
            <w:r>
              <w:rPr>
                <w:rFonts w:ascii="Times New Roman" w:hAnsi="Times New Roman"/>
                <w:sz w:val="20"/>
              </w:rPr>
              <w:t xml:space="preserve">23,700 </w:t>
            </w:r>
          </w:p>
        </w:tc>
        <w:tc>
          <w:tcPr>
            <w:tcW w:w="124" w:type="dxa"/>
            <w:tcBorders>
              <w:bottom w:val="single" w:sz="4" w:space="0" w:color="FFFFFF"/>
            </w:tcBorders>
            <w:shd w:fill="FFFFFF" w:val="clear"/>
            <w:vAlign w:val="bottom"/>
          </w:tcPr>
          <w:p>
            <w:pPr>
              <w:pStyle w:val="TableContents"/>
              <w:spacing w:before="0" w:after="283"/>
              <w:jc w:val="left"/>
              <w:rPr/>
            </w:pPr>
            <w:r>
              <w:rPr/>
              <w:t> </w:t>
            </w:r>
          </w:p>
        </w:tc>
      </w:tr>
      <w:tr>
        <w:trPr/>
        <w:tc>
          <w:tcPr>
            <w:tcW w:w="6988" w:type="dxa"/>
            <w:tcBorders>
              <w:bottom w:val="single" w:sz="4" w:space="0" w:color="CCFFCC"/>
            </w:tcBorders>
            <w:shd w:fill="CCFFCC" w:val="clear"/>
            <w:vAlign w:val="bottom"/>
          </w:tcPr>
          <w:p>
            <w:pPr>
              <w:pStyle w:val="TableContents"/>
              <w:spacing w:lineRule="auto" w:line="300" w:before="0" w:after="0"/>
              <w:ind w:left="180" w:right="0" w:hanging="0"/>
              <w:jc w:val="left"/>
              <w:rPr/>
            </w:pPr>
            <w:r>
              <w:rPr>
                <w:rStyle w:val="StrongEmphasis"/>
                <w:rFonts w:ascii="Times New Roman" w:hAnsi="Times New Roman"/>
                <w:sz w:val="20"/>
              </w:rPr>
              <w:t>Net Cash Used in Investing Activities</w:t>
            </w:r>
          </w:p>
        </w:tc>
        <w:tc>
          <w:tcPr>
            <w:tcW w:w="204" w:type="dxa"/>
            <w:tcBorders>
              <w:bottom w:val="single" w:sz="4" w:space="0" w:color="CCFFCC"/>
            </w:tcBorders>
            <w:shd w:fill="CCFFCC" w:val="clear"/>
            <w:vAlign w:val="center"/>
          </w:tcPr>
          <w:p>
            <w:pPr>
              <w:pStyle w:val="TableContents"/>
              <w:spacing w:before="0" w:after="283"/>
              <w:rPr/>
            </w:pPr>
            <w:r>
              <w:rPr/>
              <w:t> </w:t>
            </w:r>
          </w:p>
        </w:tc>
        <w:tc>
          <w:tcPr>
            <w:tcW w:w="128" w:type="dxa"/>
            <w:tcBorders>
              <w:bottom w:val="single" w:sz="2" w:space="0" w:color="000000"/>
            </w:tcBorders>
            <w:shd w:fill="CCFFCC" w:val="clear"/>
            <w:vAlign w:val="bottom"/>
          </w:tcPr>
          <w:p>
            <w:pPr>
              <w:pStyle w:val="TableContents"/>
              <w:spacing w:before="0" w:after="283"/>
              <w:jc w:val="left"/>
              <w:rPr/>
            </w:pPr>
            <w:r>
              <w:rPr/>
              <w:t> </w:t>
            </w:r>
          </w:p>
        </w:tc>
        <w:tc>
          <w:tcPr>
            <w:tcW w:w="1212"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355" w:name="TAB1234"/>
            <w:bookmarkStart w:id="356" w:name="TAB1235"/>
            <w:bookmarkEnd w:id="355"/>
            <w:bookmarkEnd w:id="356"/>
            <w:r>
              <w:rPr>
                <w:rStyle w:val="StrongEmphasis"/>
                <w:rFonts w:ascii="Times New Roman" w:hAnsi="Times New Roman"/>
                <w:sz w:val="20"/>
              </w:rPr>
              <w:t>(9,806</w:t>
            </w:r>
          </w:p>
        </w:tc>
        <w:tc>
          <w:tcPr>
            <w:tcW w:w="209" w:type="dxa"/>
            <w:tcBorders>
              <w:bottom w:val="single" w:sz="4" w:space="0" w:color="CCFFCC"/>
            </w:tcBorders>
            <w:shd w:fill="CCFFCC" w:val="clear"/>
            <w:vAlign w:val="bottom"/>
          </w:tcPr>
          <w:p>
            <w:pPr>
              <w:pStyle w:val="TableContents"/>
              <w:spacing w:lineRule="auto" w:line="300" w:before="0" w:after="0"/>
              <w:ind w:left="0" w:right="0" w:hanging="0"/>
              <w:jc w:val="left"/>
              <w:rPr/>
            </w:pPr>
            <w:bookmarkStart w:id="357" w:name="TAB1236"/>
            <w:bookmarkStart w:id="358" w:name="TAB1237"/>
            <w:bookmarkEnd w:id="357"/>
            <w:bookmarkEnd w:id="358"/>
            <w:r>
              <w:rPr>
                <w:rStyle w:val="StrongEmphasis"/>
                <w:rFonts w:ascii="Times New Roman" w:hAnsi="Times New Roman"/>
                <w:sz w:val="20"/>
              </w:rPr>
              <w:t>)</w:t>
            </w:r>
          </w:p>
        </w:tc>
        <w:tc>
          <w:tcPr>
            <w:tcW w:w="128" w:type="dxa"/>
            <w:tcBorders>
              <w:bottom w:val="single" w:sz="2" w:space="0" w:color="000000"/>
            </w:tcBorders>
            <w:shd w:fill="CCFFCC" w:val="clear"/>
            <w:vAlign w:val="bottom"/>
          </w:tcPr>
          <w:p>
            <w:pPr>
              <w:pStyle w:val="TableContents"/>
              <w:spacing w:before="0" w:after="283"/>
              <w:jc w:val="left"/>
              <w:rPr/>
            </w:pPr>
            <w:r>
              <w:rPr/>
              <w:t> </w:t>
            </w:r>
          </w:p>
        </w:tc>
        <w:tc>
          <w:tcPr>
            <w:tcW w:w="1212"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bookmarkStart w:id="359" w:name="TAB1238"/>
            <w:bookmarkStart w:id="360" w:name="TAB1239"/>
            <w:bookmarkEnd w:id="359"/>
            <w:bookmarkEnd w:id="360"/>
            <w:r>
              <w:rPr>
                <w:rFonts w:ascii="Times New Roman" w:hAnsi="Times New Roman"/>
                <w:sz w:val="20"/>
              </w:rPr>
              <w:t>(3,220</w:t>
            </w:r>
          </w:p>
        </w:tc>
        <w:tc>
          <w:tcPr>
            <w:tcW w:w="124"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bookmarkStart w:id="361" w:name="TAB1240"/>
            <w:bookmarkStart w:id="362" w:name="TAB1241"/>
            <w:bookmarkEnd w:id="361"/>
            <w:bookmarkEnd w:id="362"/>
            <w:r>
              <w:rPr>
                <w:rFonts w:ascii="Times New Roman" w:hAnsi="Times New Roman"/>
                <w:sz w:val="20"/>
              </w:rPr>
              <w:t>)</w:t>
            </w:r>
          </w:p>
        </w:tc>
      </w:tr>
      <w:tr>
        <w:trPr/>
        <w:tc>
          <w:tcPr>
            <w:tcW w:w="6988" w:type="dxa"/>
            <w:tcBorders/>
            <w:shd w:fill="FFFFFF" w:val="clear"/>
            <w:tcMar>
              <w:bottom w:w="0" w:type="dxa"/>
            </w:tcMar>
            <w:vAlign w:val="bottom"/>
          </w:tcPr>
          <w:p>
            <w:pPr>
              <w:pStyle w:val="TableContents"/>
              <w:spacing w:before="0" w:after="283"/>
              <w:jc w:val="left"/>
              <w:rPr/>
            </w:pPr>
            <w:r>
              <w:rPr/>
              <w:t> </w:t>
            </w:r>
          </w:p>
        </w:tc>
        <w:tc>
          <w:tcPr>
            <w:tcW w:w="204" w:type="dxa"/>
            <w:tcBorders/>
            <w:shd w:fill="FFFFFF" w:val="clear"/>
            <w:tcMar>
              <w:bottom w:w="0" w:type="dxa"/>
            </w:tcMar>
            <w:vAlign w:val="center"/>
          </w:tcPr>
          <w:p>
            <w:pPr>
              <w:pStyle w:val="TableContents"/>
              <w:spacing w:before="0" w:after="283"/>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shd w:fill="FFFFFF" w:val="clear"/>
            <w:tcMar>
              <w:bottom w:w="0" w:type="dxa"/>
            </w:tcMar>
            <w:vAlign w:val="bottom"/>
          </w:tcPr>
          <w:p>
            <w:pPr>
              <w:pStyle w:val="TableContents"/>
              <w:spacing w:before="0" w:after="283"/>
              <w:jc w:val="right"/>
              <w:rPr/>
            </w:pPr>
            <w:r>
              <w:rPr/>
              <w:t> </w:t>
            </w:r>
          </w:p>
        </w:tc>
        <w:tc>
          <w:tcPr>
            <w:tcW w:w="209" w:type="dxa"/>
            <w:tcBorders/>
            <w:shd w:fill="FFFFFF" w:val="clear"/>
            <w:tcMar>
              <w:bottom w:w="0" w:type="dxa"/>
            </w:tcMar>
            <w:vAlign w:val="bottom"/>
          </w:tcPr>
          <w:p>
            <w:pPr>
              <w:pStyle w:val="TableContents"/>
              <w:spacing w:before="0" w:after="283"/>
              <w:jc w:val="left"/>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shd w:fill="FFFFFF" w:val="clear"/>
            <w:tcMar>
              <w:bottom w:w="0" w:type="dxa"/>
            </w:tcMar>
            <w:vAlign w:val="bottom"/>
          </w:tcPr>
          <w:p>
            <w:pPr>
              <w:pStyle w:val="TableContents"/>
              <w:spacing w:before="0" w:after="283"/>
              <w:jc w:val="right"/>
              <w:rPr/>
            </w:pPr>
            <w:r>
              <w:rPr/>
              <w:t>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988" w:type="dxa"/>
            <w:tcBorders>
              <w:bottom w:val="single" w:sz="2"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u w:val="single"/>
              </w:rPr>
              <w:t>CASH FLOWS FROM FINANCING ACTIVITIES</w:t>
            </w:r>
          </w:p>
        </w:tc>
        <w:tc>
          <w:tcPr>
            <w:tcW w:w="204" w:type="dxa"/>
            <w:tcBorders>
              <w:bottom w:val="single" w:sz="2" w:space="0" w:color="CCFFCC"/>
            </w:tcBorders>
            <w:shd w:fill="CCFFCC" w:val="clear"/>
            <w:vAlign w:val="center"/>
          </w:tcPr>
          <w:p>
            <w:pPr>
              <w:pStyle w:val="TableContents"/>
              <w:spacing w:before="0" w:after="283"/>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bottom w:val="single" w:sz="2" w:space="0" w:color="CCFFCC"/>
            </w:tcBorders>
            <w:shd w:fill="CCFFCC" w:val="clear"/>
            <w:vAlign w:val="bottom"/>
          </w:tcPr>
          <w:p>
            <w:pPr>
              <w:pStyle w:val="TableContents"/>
              <w:spacing w:before="0" w:after="283"/>
              <w:jc w:val="right"/>
              <w:rPr/>
            </w:pPr>
            <w:r>
              <w:rPr/>
              <w:t> </w:t>
            </w:r>
          </w:p>
        </w:tc>
        <w:tc>
          <w:tcPr>
            <w:tcW w:w="209" w:type="dxa"/>
            <w:tcBorders>
              <w:bottom w:val="single" w:sz="2" w:space="0" w:color="CCFFCC"/>
            </w:tcBorders>
            <w:shd w:fill="CCFFCC" w:val="clear"/>
            <w:vAlign w:val="bottom"/>
          </w:tcPr>
          <w:p>
            <w:pPr>
              <w:pStyle w:val="TableContents"/>
              <w:spacing w:before="0" w:after="283"/>
              <w:jc w:val="left"/>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bottom w:val="single" w:sz="2" w:space="0" w:color="CCFFCC"/>
            </w:tcBorders>
            <w:shd w:fill="CCFFCC" w:val="clear"/>
            <w:vAlign w:val="bottom"/>
          </w:tcPr>
          <w:p>
            <w:pPr>
              <w:pStyle w:val="TableContents"/>
              <w:spacing w:before="0" w:after="283"/>
              <w:jc w:val="right"/>
              <w:rPr/>
            </w:pPr>
            <w:r>
              <w:rPr/>
              <w:t> </w:t>
            </w:r>
          </w:p>
        </w:tc>
        <w:tc>
          <w:tcPr>
            <w:tcW w:w="124" w:type="dxa"/>
            <w:tcBorders>
              <w:bottom w:val="single" w:sz="2" w:space="0" w:color="CCFFCC"/>
            </w:tcBorders>
            <w:shd w:fill="CCFFCC" w:val="clear"/>
            <w:vAlign w:val="bottom"/>
          </w:tcPr>
          <w:p>
            <w:pPr>
              <w:pStyle w:val="TableContents"/>
              <w:spacing w:before="0" w:after="283"/>
              <w:jc w:val="left"/>
              <w:rPr/>
            </w:pPr>
            <w:r>
              <w:rPr/>
              <w:t> </w:t>
            </w:r>
          </w:p>
        </w:tc>
      </w:tr>
      <w:tr>
        <w:trPr/>
        <w:tc>
          <w:tcPr>
            <w:tcW w:w="6988"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Principal payments on notes payable</w:t>
            </w:r>
          </w:p>
        </w:tc>
        <w:tc>
          <w:tcPr>
            <w:tcW w:w="204" w:type="dxa"/>
            <w:tcBorders/>
            <w:shd w:fill="FFFFFF" w:val="clear"/>
            <w:tcMar>
              <w:bottom w:w="0" w:type="dxa"/>
            </w:tcMar>
            <w:vAlign w:val="center"/>
          </w:tcPr>
          <w:p>
            <w:pPr>
              <w:pStyle w:val="TableContents"/>
              <w:spacing w:before="0" w:after="283"/>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shd w:fill="FFFFFF" w:val="clear"/>
            <w:tcMar>
              <w:bottom w:w="0" w:type="dxa"/>
            </w:tcMar>
            <w:vAlign w:val="bottom"/>
          </w:tcPr>
          <w:p>
            <w:pPr>
              <w:pStyle w:val="TableContents"/>
              <w:spacing w:lineRule="auto" w:line="300" w:before="0" w:after="0"/>
              <w:ind w:left="0" w:right="0" w:hanging="0"/>
              <w:jc w:val="right"/>
              <w:rPr/>
            </w:pPr>
            <w:bookmarkStart w:id="363" w:name="TAB1242"/>
            <w:bookmarkStart w:id="364" w:name="TAB1243"/>
            <w:bookmarkEnd w:id="363"/>
            <w:bookmarkEnd w:id="364"/>
            <w:r>
              <w:rPr>
                <w:rStyle w:val="StrongEmphasis"/>
                <w:rFonts w:ascii="Times New Roman" w:hAnsi="Times New Roman"/>
                <w:sz w:val="20"/>
              </w:rPr>
              <w:t>(80</w:t>
            </w:r>
          </w:p>
        </w:tc>
        <w:tc>
          <w:tcPr>
            <w:tcW w:w="209" w:type="dxa"/>
            <w:tcBorders/>
            <w:shd w:fill="FFFFFF" w:val="clear"/>
            <w:tcMar>
              <w:bottom w:w="0" w:type="dxa"/>
            </w:tcMar>
            <w:vAlign w:val="bottom"/>
          </w:tcPr>
          <w:p>
            <w:pPr>
              <w:pStyle w:val="TableContents"/>
              <w:spacing w:lineRule="auto" w:line="300" w:before="0" w:after="0"/>
              <w:ind w:left="0" w:right="0" w:hanging="0"/>
              <w:jc w:val="left"/>
              <w:rPr/>
            </w:pPr>
            <w:bookmarkStart w:id="365" w:name="TAB1244"/>
            <w:bookmarkStart w:id="366" w:name="TAB1245"/>
            <w:bookmarkEnd w:id="365"/>
            <w:bookmarkEnd w:id="366"/>
            <w:r>
              <w:rPr>
                <w:rStyle w:val="StrongEmphasis"/>
                <w:rFonts w:ascii="Times New Roman" w:hAnsi="Times New Roman"/>
                <w:sz w:val="20"/>
              </w:rPr>
              <w:t>)</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67" w:name="TAB1246"/>
            <w:bookmarkStart w:id="368" w:name="TAB1247"/>
            <w:bookmarkEnd w:id="367"/>
            <w:bookmarkEnd w:id="368"/>
            <w:r>
              <w:rPr>
                <w:rFonts w:ascii="Times New Roman" w:hAnsi="Times New Roman"/>
                <w:sz w:val="20"/>
              </w:rPr>
              <w:t>(80</w:t>
            </w:r>
          </w:p>
        </w:tc>
        <w:tc>
          <w:tcPr>
            <w:tcW w:w="12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69" w:name="TAB1248"/>
            <w:bookmarkStart w:id="370" w:name="TAB1249"/>
            <w:bookmarkEnd w:id="369"/>
            <w:bookmarkEnd w:id="370"/>
            <w:r>
              <w:rPr>
                <w:rFonts w:ascii="Times New Roman" w:hAnsi="Times New Roman"/>
                <w:sz w:val="20"/>
              </w:rPr>
              <w:t>)</w:t>
            </w:r>
          </w:p>
        </w:tc>
      </w:tr>
      <w:tr>
        <w:trPr/>
        <w:tc>
          <w:tcPr>
            <w:tcW w:w="6988"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Dividends paid</w:t>
            </w:r>
          </w:p>
        </w:tc>
        <w:tc>
          <w:tcPr>
            <w:tcW w:w="204" w:type="dxa"/>
            <w:tcBorders/>
            <w:shd w:fill="CCFFCC" w:val="clear"/>
            <w:tcMar>
              <w:bottom w:w="0" w:type="dxa"/>
            </w:tcMar>
            <w:vAlign w:val="center"/>
          </w:tcPr>
          <w:p>
            <w:pPr>
              <w:pStyle w:val="TableContents"/>
              <w:spacing w:before="0" w:after="283"/>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lineRule="auto" w:line="300" w:before="0" w:after="0"/>
              <w:ind w:left="0" w:right="0" w:hanging="0"/>
              <w:jc w:val="right"/>
              <w:rPr/>
            </w:pPr>
            <w:bookmarkStart w:id="371" w:name="TAB1250"/>
            <w:bookmarkStart w:id="372" w:name="TAB1251"/>
            <w:bookmarkEnd w:id="371"/>
            <w:bookmarkEnd w:id="372"/>
            <w:r>
              <w:rPr>
                <w:rStyle w:val="StrongEmphasis"/>
                <w:rFonts w:ascii="Times New Roman" w:hAnsi="Times New Roman"/>
                <w:sz w:val="20"/>
              </w:rPr>
              <w:t>(1,678</w:t>
            </w:r>
          </w:p>
        </w:tc>
        <w:tc>
          <w:tcPr>
            <w:tcW w:w="209" w:type="dxa"/>
            <w:tcBorders/>
            <w:shd w:fill="CCFFCC" w:val="clear"/>
            <w:tcMar>
              <w:bottom w:w="0" w:type="dxa"/>
            </w:tcMar>
            <w:vAlign w:val="bottom"/>
          </w:tcPr>
          <w:p>
            <w:pPr>
              <w:pStyle w:val="TableContents"/>
              <w:spacing w:lineRule="auto" w:line="300" w:before="0" w:after="0"/>
              <w:ind w:left="0" w:right="0" w:hanging="0"/>
              <w:jc w:val="left"/>
              <w:rPr/>
            </w:pPr>
            <w:bookmarkStart w:id="373" w:name="TAB1252"/>
            <w:bookmarkStart w:id="374" w:name="TAB1253"/>
            <w:bookmarkEnd w:id="373"/>
            <w:bookmarkEnd w:id="374"/>
            <w:r>
              <w:rPr>
                <w:rStyle w:val="StrongEmphasis"/>
                <w:rFonts w:ascii="Times New Roman" w:hAnsi="Times New Roman"/>
                <w:sz w:val="20"/>
              </w:rPr>
              <w:t>)</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5" w:name="TAB1254"/>
            <w:bookmarkStart w:id="376" w:name="TAB1255"/>
            <w:bookmarkEnd w:id="375"/>
            <w:bookmarkEnd w:id="376"/>
            <w:r>
              <w:rPr>
                <w:rFonts w:ascii="Times New Roman" w:hAnsi="Times New Roman"/>
                <w:sz w:val="20"/>
              </w:rPr>
              <w:t>(1,509</w:t>
            </w:r>
          </w:p>
        </w:tc>
        <w:tc>
          <w:tcPr>
            <w:tcW w:w="124"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7" w:name="TAB1256"/>
            <w:bookmarkStart w:id="378" w:name="TAB1257"/>
            <w:bookmarkEnd w:id="377"/>
            <w:bookmarkEnd w:id="378"/>
            <w:r>
              <w:rPr>
                <w:rFonts w:ascii="Times New Roman" w:hAnsi="Times New Roman"/>
                <w:sz w:val="20"/>
              </w:rPr>
              <w:t>)</w:t>
            </w:r>
          </w:p>
        </w:tc>
      </w:tr>
      <w:tr>
        <w:trPr/>
        <w:tc>
          <w:tcPr>
            <w:tcW w:w="6988"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Proceeds from issuance of common stock</w:t>
            </w:r>
          </w:p>
        </w:tc>
        <w:tc>
          <w:tcPr>
            <w:tcW w:w="204" w:type="dxa"/>
            <w:tcBorders/>
            <w:shd w:fill="FFFFFF" w:val="clear"/>
            <w:tcMar>
              <w:bottom w:w="0" w:type="dxa"/>
            </w:tcMar>
            <w:vAlign w:val="center"/>
          </w:tcPr>
          <w:p>
            <w:pPr>
              <w:pStyle w:val="TableContents"/>
              <w:spacing w:before="0" w:after="283"/>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shd w:fill="FFFFFF" w:val="clear"/>
            <w:tcMar>
              <w:bottom w:w="0" w:type="dxa"/>
            </w:tcMar>
            <w:vAlign w:val="bottom"/>
          </w:tcPr>
          <w:p>
            <w:pPr>
              <w:pStyle w:val="TableContents"/>
              <w:spacing w:lineRule="auto" w:line="300" w:before="0" w:after="0"/>
              <w:ind w:left="0" w:right="0" w:hanging="0"/>
              <w:jc w:val="right"/>
              <w:rPr/>
            </w:pPr>
            <w:bookmarkStart w:id="379" w:name="TAB1258"/>
            <w:bookmarkStart w:id="380" w:name="TAB1259"/>
            <w:bookmarkEnd w:id="379"/>
            <w:bookmarkEnd w:id="380"/>
            <w:r>
              <w:rPr>
                <w:rStyle w:val="StrongEmphasis"/>
                <w:rFonts w:ascii="Times New Roman" w:hAnsi="Times New Roman"/>
                <w:sz w:val="20"/>
              </w:rPr>
              <w:t>893</w:t>
            </w:r>
          </w:p>
        </w:tc>
        <w:tc>
          <w:tcPr>
            <w:tcW w:w="209" w:type="dxa"/>
            <w:tcBorders/>
            <w:shd w:fill="FFFFFF" w:val="clear"/>
            <w:tcMar>
              <w:bottom w:w="0" w:type="dxa"/>
            </w:tcMar>
            <w:vAlign w:val="bottom"/>
          </w:tcPr>
          <w:p>
            <w:pPr>
              <w:pStyle w:val="TableContents"/>
              <w:spacing w:before="0" w:after="283"/>
              <w:jc w:val="left"/>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81" w:name="TAB1260"/>
            <w:bookmarkStart w:id="382" w:name="TAB1261"/>
            <w:bookmarkEnd w:id="381"/>
            <w:bookmarkEnd w:id="382"/>
            <w:r>
              <w:rPr>
                <w:rFonts w:ascii="Times New Roman" w:hAnsi="Times New Roman"/>
                <w:sz w:val="20"/>
              </w:rPr>
              <w:t xml:space="preserve">496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988"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Excess tax benefits for share-based payments</w:t>
            </w:r>
          </w:p>
        </w:tc>
        <w:tc>
          <w:tcPr>
            <w:tcW w:w="204" w:type="dxa"/>
            <w:tcBorders/>
            <w:shd w:fill="CCFFCC" w:val="clear"/>
            <w:tcMar>
              <w:bottom w:w="0" w:type="dxa"/>
            </w:tcMar>
            <w:vAlign w:val="center"/>
          </w:tcPr>
          <w:p>
            <w:pPr>
              <w:pStyle w:val="TableContents"/>
              <w:spacing w:before="0" w:after="283"/>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lineRule="auto" w:line="300" w:before="0" w:after="0"/>
              <w:ind w:left="0" w:right="0" w:hanging="0"/>
              <w:jc w:val="right"/>
              <w:rPr/>
            </w:pPr>
            <w:bookmarkStart w:id="383" w:name="TAB1262"/>
            <w:bookmarkStart w:id="384" w:name="TAB1263"/>
            <w:bookmarkEnd w:id="383"/>
            <w:bookmarkEnd w:id="384"/>
            <w:r>
              <w:rPr>
                <w:rStyle w:val="StrongEmphasis"/>
                <w:rFonts w:ascii="Times New Roman" w:hAnsi="Times New Roman"/>
                <w:sz w:val="20"/>
              </w:rPr>
              <w:t>238</w:t>
            </w:r>
          </w:p>
        </w:tc>
        <w:tc>
          <w:tcPr>
            <w:tcW w:w="209" w:type="dxa"/>
            <w:tcBorders/>
            <w:shd w:fill="CCFFCC" w:val="clear"/>
            <w:tcMar>
              <w:bottom w:w="0" w:type="dxa"/>
            </w:tcMar>
            <w:vAlign w:val="bottom"/>
          </w:tcPr>
          <w:p>
            <w:pPr>
              <w:pStyle w:val="TableContents"/>
              <w:spacing w:before="0" w:after="283"/>
              <w:jc w:val="left"/>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85" w:name="TAB1264"/>
            <w:bookmarkStart w:id="386" w:name="TAB1265"/>
            <w:bookmarkEnd w:id="385"/>
            <w:bookmarkEnd w:id="386"/>
            <w:r>
              <w:rPr>
                <w:rFonts w:ascii="Times New Roman" w:hAnsi="Times New Roman"/>
                <w:sz w:val="20"/>
              </w:rPr>
              <w:t>86</w:t>
            </w:r>
          </w:p>
        </w:tc>
        <w:tc>
          <w:tcPr>
            <w:tcW w:w="124" w:type="dxa"/>
            <w:tcBorders/>
            <w:shd w:fill="CCFFCC" w:val="clear"/>
            <w:tcMar>
              <w:bottom w:w="0" w:type="dxa"/>
            </w:tcMar>
            <w:vAlign w:val="bottom"/>
          </w:tcPr>
          <w:p>
            <w:pPr>
              <w:pStyle w:val="TableContents"/>
              <w:spacing w:before="0" w:after="283"/>
              <w:jc w:val="left"/>
              <w:rPr/>
            </w:pPr>
            <w:r>
              <w:rPr/>
              <w:t> </w:t>
            </w:r>
          </w:p>
        </w:tc>
      </w:tr>
      <w:tr>
        <w:trPr/>
        <w:tc>
          <w:tcPr>
            <w:tcW w:w="6988" w:type="dxa"/>
            <w:tcBorders>
              <w:bottom w:val="single" w:sz="4" w:space="0" w:color="FFFFFF"/>
            </w:tcBorders>
            <w:shd w:fill="FFFFFF" w:val="cle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Other, net</w:t>
            </w:r>
          </w:p>
        </w:tc>
        <w:tc>
          <w:tcPr>
            <w:tcW w:w="204" w:type="dxa"/>
            <w:tcBorders>
              <w:bottom w:val="single" w:sz="4" w:space="0" w:color="FFFFFF"/>
            </w:tcBorders>
            <w:shd w:fill="FFFFFF" w:val="clear"/>
            <w:vAlign w:val="center"/>
          </w:tcPr>
          <w:p>
            <w:pPr>
              <w:pStyle w:val="TableContents"/>
              <w:spacing w:before="0" w:after="283"/>
              <w:rPr/>
            </w:pPr>
            <w:r>
              <w:rPr/>
              <w:t> </w:t>
            </w:r>
          </w:p>
        </w:tc>
        <w:tc>
          <w:tcPr>
            <w:tcW w:w="128" w:type="dxa"/>
            <w:tcBorders>
              <w:bottom w:val="single" w:sz="2" w:space="0" w:color="000000"/>
            </w:tcBorders>
            <w:shd w:fill="FFFFFF" w:val="clear"/>
            <w:vAlign w:val="bottom"/>
          </w:tcPr>
          <w:p>
            <w:pPr>
              <w:pStyle w:val="TableContents"/>
              <w:spacing w:before="0" w:after="283"/>
              <w:jc w:val="left"/>
              <w:rPr/>
            </w:pPr>
            <w:r>
              <w:rPr/>
              <w:t> </w:t>
            </w:r>
          </w:p>
        </w:tc>
        <w:tc>
          <w:tcPr>
            <w:tcW w:w="1212"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387" w:name="TAB1266"/>
            <w:bookmarkStart w:id="388" w:name="TAB1267"/>
            <w:bookmarkEnd w:id="387"/>
            <w:bookmarkEnd w:id="388"/>
            <w:r>
              <w:rPr>
                <w:rStyle w:val="StrongEmphasis"/>
                <w:rFonts w:ascii="Times New Roman" w:hAnsi="Times New Roman"/>
                <w:sz w:val="20"/>
              </w:rPr>
              <w:t>68</w:t>
            </w:r>
          </w:p>
        </w:tc>
        <w:tc>
          <w:tcPr>
            <w:tcW w:w="209" w:type="dxa"/>
            <w:tcBorders>
              <w:bottom w:val="single" w:sz="4" w:space="0" w:color="FFFFFF"/>
            </w:tcBorders>
            <w:shd w:fill="FFFFFF" w:val="clear"/>
            <w:vAlign w:val="bottom"/>
          </w:tcPr>
          <w:p>
            <w:pPr>
              <w:pStyle w:val="TableContents"/>
              <w:spacing w:before="0" w:after="283"/>
              <w:jc w:val="left"/>
              <w:rPr/>
            </w:pPr>
            <w:r>
              <w:rPr/>
              <w:t> </w:t>
            </w:r>
          </w:p>
        </w:tc>
        <w:tc>
          <w:tcPr>
            <w:tcW w:w="128" w:type="dxa"/>
            <w:tcBorders>
              <w:bottom w:val="single" w:sz="2" w:space="0" w:color="000000"/>
            </w:tcBorders>
            <w:shd w:fill="FFFFFF" w:val="clear"/>
            <w:vAlign w:val="bottom"/>
          </w:tcPr>
          <w:p>
            <w:pPr>
              <w:pStyle w:val="TableContents"/>
              <w:spacing w:before="0" w:after="283"/>
              <w:jc w:val="left"/>
              <w:rPr/>
            </w:pPr>
            <w:r>
              <w:rPr/>
              <w:t> </w:t>
            </w:r>
          </w:p>
        </w:tc>
        <w:tc>
          <w:tcPr>
            <w:tcW w:w="121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89" w:name="TAB1268"/>
            <w:bookmarkStart w:id="390" w:name="TAB1269"/>
            <w:bookmarkEnd w:id="389"/>
            <w:bookmarkEnd w:id="390"/>
            <w:r>
              <w:rPr>
                <w:rFonts w:ascii="Times New Roman" w:hAnsi="Times New Roman"/>
                <w:sz w:val="20"/>
              </w:rPr>
              <w:t>36</w:t>
            </w:r>
          </w:p>
        </w:tc>
        <w:tc>
          <w:tcPr>
            <w:tcW w:w="124" w:type="dxa"/>
            <w:tcBorders>
              <w:bottom w:val="single" w:sz="4" w:space="0" w:color="FFFFFF"/>
            </w:tcBorders>
            <w:shd w:fill="FFFFFF" w:val="clear"/>
            <w:vAlign w:val="bottom"/>
          </w:tcPr>
          <w:p>
            <w:pPr>
              <w:pStyle w:val="TableContents"/>
              <w:spacing w:before="0" w:after="283"/>
              <w:jc w:val="left"/>
              <w:rPr/>
            </w:pPr>
            <w:r>
              <w:rPr/>
              <w:t> </w:t>
            </w:r>
          </w:p>
        </w:tc>
      </w:tr>
      <w:tr>
        <w:trPr/>
        <w:tc>
          <w:tcPr>
            <w:tcW w:w="6988" w:type="dxa"/>
            <w:tcBorders>
              <w:bottom w:val="single" w:sz="4" w:space="0" w:color="CCFFCC"/>
            </w:tcBorders>
            <w:shd w:fill="CCFFCC" w:val="clear"/>
            <w:vAlign w:val="bottom"/>
          </w:tcPr>
          <w:p>
            <w:pPr>
              <w:pStyle w:val="TableContents"/>
              <w:spacing w:lineRule="auto" w:line="300" w:before="0" w:after="0"/>
              <w:ind w:left="180" w:right="0" w:hanging="0"/>
              <w:jc w:val="left"/>
              <w:rPr/>
            </w:pPr>
            <w:r>
              <w:rPr>
                <w:rStyle w:val="StrongEmphasis"/>
                <w:rFonts w:ascii="Times New Roman" w:hAnsi="Times New Roman"/>
                <w:sz w:val="20"/>
              </w:rPr>
              <w:t>Net Cash Used in Financing Activities</w:t>
            </w:r>
          </w:p>
        </w:tc>
        <w:tc>
          <w:tcPr>
            <w:tcW w:w="204" w:type="dxa"/>
            <w:tcBorders>
              <w:bottom w:val="single" w:sz="4" w:space="0" w:color="CCFFCC"/>
            </w:tcBorders>
            <w:shd w:fill="CCFFCC" w:val="clear"/>
            <w:vAlign w:val="center"/>
          </w:tcPr>
          <w:p>
            <w:pPr>
              <w:pStyle w:val="TableContents"/>
              <w:spacing w:before="0" w:after="283"/>
              <w:rPr/>
            </w:pPr>
            <w:r>
              <w:rPr/>
              <w:t> </w:t>
            </w:r>
          </w:p>
        </w:tc>
        <w:tc>
          <w:tcPr>
            <w:tcW w:w="128" w:type="dxa"/>
            <w:tcBorders>
              <w:bottom w:val="single" w:sz="2" w:space="0" w:color="000000"/>
            </w:tcBorders>
            <w:shd w:fill="CCFFCC" w:val="clear"/>
            <w:vAlign w:val="bottom"/>
          </w:tcPr>
          <w:p>
            <w:pPr>
              <w:pStyle w:val="TableContents"/>
              <w:spacing w:before="0" w:after="283"/>
              <w:jc w:val="left"/>
              <w:rPr/>
            </w:pPr>
            <w:r>
              <w:rPr/>
              <w:t> </w:t>
            </w:r>
          </w:p>
        </w:tc>
        <w:tc>
          <w:tcPr>
            <w:tcW w:w="1212"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391" w:name="TAB1270"/>
            <w:bookmarkStart w:id="392" w:name="TAB1271"/>
            <w:bookmarkEnd w:id="391"/>
            <w:bookmarkEnd w:id="392"/>
            <w:r>
              <w:rPr>
                <w:rStyle w:val="StrongEmphasis"/>
                <w:rFonts w:ascii="Times New Roman" w:hAnsi="Times New Roman"/>
                <w:sz w:val="20"/>
              </w:rPr>
              <w:t>(559</w:t>
            </w:r>
          </w:p>
        </w:tc>
        <w:tc>
          <w:tcPr>
            <w:tcW w:w="209" w:type="dxa"/>
            <w:tcBorders>
              <w:bottom w:val="single" w:sz="4" w:space="0" w:color="CCFFCC"/>
            </w:tcBorders>
            <w:shd w:fill="CCFFCC" w:val="clear"/>
            <w:vAlign w:val="bottom"/>
          </w:tcPr>
          <w:p>
            <w:pPr>
              <w:pStyle w:val="TableContents"/>
              <w:spacing w:lineRule="auto" w:line="300" w:before="0" w:after="0"/>
              <w:ind w:left="0" w:right="0" w:hanging="0"/>
              <w:jc w:val="left"/>
              <w:rPr/>
            </w:pPr>
            <w:bookmarkStart w:id="393" w:name="TAB1272"/>
            <w:bookmarkStart w:id="394" w:name="TAB1273"/>
            <w:bookmarkEnd w:id="393"/>
            <w:bookmarkEnd w:id="394"/>
            <w:r>
              <w:rPr>
                <w:rStyle w:val="StrongEmphasis"/>
                <w:rFonts w:ascii="Times New Roman" w:hAnsi="Times New Roman"/>
                <w:sz w:val="20"/>
              </w:rPr>
              <w:t>)</w:t>
            </w:r>
          </w:p>
        </w:tc>
        <w:tc>
          <w:tcPr>
            <w:tcW w:w="128" w:type="dxa"/>
            <w:tcBorders>
              <w:bottom w:val="single" w:sz="2" w:space="0" w:color="000000"/>
            </w:tcBorders>
            <w:shd w:fill="CCFFCC" w:val="clear"/>
            <w:vAlign w:val="bottom"/>
          </w:tcPr>
          <w:p>
            <w:pPr>
              <w:pStyle w:val="TableContents"/>
              <w:spacing w:before="0" w:after="283"/>
              <w:jc w:val="left"/>
              <w:rPr/>
            </w:pPr>
            <w:r>
              <w:rPr/>
              <w:t> </w:t>
            </w:r>
          </w:p>
        </w:tc>
        <w:tc>
          <w:tcPr>
            <w:tcW w:w="1212"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bookmarkStart w:id="395" w:name="TAB1274"/>
            <w:bookmarkStart w:id="396" w:name="TAB1275"/>
            <w:bookmarkEnd w:id="395"/>
            <w:bookmarkEnd w:id="396"/>
            <w:r>
              <w:rPr>
                <w:rFonts w:ascii="Times New Roman" w:hAnsi="Times New Roman"/>
                <w:sz w:val="20"/>
              </w:rPr>
              <w:t>(971</w:t>
            </w:r>
          </w:p>
        </w:tc>
        <w:tc>
          <w:tcPr>
            <w:tcW w:w="124"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bookmarkStart w:id="397" w:name="TAB1276"/>
            <w:bookmarkStart w:id="398" w:name="TAB1277"/>
            <w:bookmarkEnd w:id="397"/>
            <w:bookmarkEnd w:id="398"/>
            <w:r>
              <w:rPr>
                <w:rFonts w:ascii="Times New Roman" w:hAnsi="Times New Roman"/>
                <w:sz w:val="20"/>
              </w:rPr>
              <w:t>)</w:t>
            </w:r>
          </w:p>
        </w:tc>
      </w:tr>
      <w:tr>
        <w:trPr/>
        <w:tc>
          <w:tcPr>
            <w:tcW w:w="6988" w:type="dxa"/>
            <w:tcBorders/>
            <w:shd w:fill="FFFFFF" w:val="clear"/>
            <w:tcMar>
              <w:bottom w:w="0" w:type="dxa"/>
            </w:tcMar>
            <w:vAlign w:val="bottom"/>
          </w:tcPr>
          <w:p>
            <w:pPr>
              <w:pStyle w:val="TableContents"/>
              <w:spacing w:before="0" w:after="283"/>
              <w:jc w:val="left"/>
              <w:rPr/>
            </w:pPr>
            <w:r>
              <w:rPr/>
              <w:t> </w:t>
            </w:r>
          </w:p>
        </w:tc>
        <w:tc>
          <w:tcPr>
            <w:tcW w:w="204" w:type="dxa"/>
            <w:tcBorders/>
            <w:shd w:fill="FFFFFF" w:val="clear"/>
            <w:tcMar>
              <w:bottom w:w="0" w:type="dxa"/>
            </w:tcMar>
            <w:vAlign w:val="center"/>
          </w:tcPr>
          <w:p>
            <w:pPr>
              <w:pStyle w:val="TableContents"/>
              <w:spacing w:before="0" w:after="283"/>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shd w:fill="FFFFFF" w:val="clear"/>
            <w:tcMar>
              <w:bottom w:w="0" w:type="dxa"/>
            </w:tcMar>
            <w:vAlign w:val="bottom"/>
          </w:tcPr>
          <w:p>
            <w:pPr>
              <w:pStyle w:val="TableContents"/>
              <w:spacing w:before="0" w:after="283"/>
              <w:jc w:val="right"/>
              <w:rPr/>
            </w:pPr>
            <w:r>
              <w:rPr/>
              <w:t> </w:t>
            </w:r>
          </w:p>
        </w:tc>
        <w:tc>
          <w:tcPr>
            <w:tcW w:w="209" w:type="dxa"/>
            <w:tcBorders/>
            <w:shd w:fill="FFFFFF" w:val="clear"/>
            <w:tcMar>
              <w:bottom w:w="0" w:type="dxa"/>
            </w:tcMar>
            <w:vAlign w:val="bottom"/>
          </w:tcPr>
          <w:p>
            <w:pPr>
              <w:pStyle w:val="TableContents"/>
              <w:spacing w:before="0" w:after="283"/>
              <w:jc w:val="left"/>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shd w:fill="FFFFFF" w:val="clear"/>
            <w:tcMar>
              <w:bottom w:w="0" w:type="dxa"/>
            </w:tcMar>
            <w:vAlign w:val="bottom"/>
          </w:tcPr>
          <w:p>
            <w:pPr>
              <w:pStyle w:val="TableContents"/>
              <w:spacing w:before="0" w:after="283"/>
              <w:jc w:val="right"/>
              <w:rPr/>
            </w:pPr>
            <w:r>
              <w:rPr/>
              <w:t>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988"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Effect of exchange rate changes on cash and cash equivalents</w:t>
            </w:r>
          </w:p>
        </w:tc>
        <w:tc>
          <w:tcPr>
            <w:tcW w:w="204" w:type="dxa"/>
            <w:tcBorders/>
            <w:shd w:fill="CCFFCC" w:val="clear"/>
            <w:tcMar>
              <w:bottom w:w="0" w:type="dxa"/>
            </w:tcMar>
            <w:vAlign w:val="center"/>
          </w:tcPr>
          <w:p>
            <w:pPr>
              <w:pStyle w:val="TableContents"/>
              <w:spacing w:before="0" w:after="283"/>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(165</w:t>
            </w:r>
          </w:p>
        </w:tc>
        <w:tc>
          <w:tcPr>
            <w:tcW w:w="209"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43</w:t>
            </w:r>
          </w:p>
        </w:tc>
        <w:tc>
          <w:tcPr>
            <w:tcW w:w="124" w:type="dxa"/>
            <w:tcBorders/>
            <w:shd w:fill="CCFFCC" w:val="clear"/>
            <w:tcMar>
              <w:bottom w:w="0" w:type="dxa"/>
            </w:tcMar>
            <w:vAlign w:val="bottom"/>
          </w:tcPr>
          <w:p>
            <w:pPr>
              <w:pStyle w:val="TableContents"/>
              <w:spacing w:before="0" w:after="283"/>
              <w:jc w:val="left"/>
              <w:rPr/>
            </w:pPr>
            <w:r>
              <w:rPr/>
              <w:t> </w:t>
            </w:r>
          </w:p>
        </w:tc>
      </w:tr>
      <w:tr>
        <w:trPr/>
        <w:tc>
          <w:tcPr>
            <w:tcW w:w="6988" w:type="dxa"/>
            <w:tcBorders/>
            <w:shd w:fill="FFFFFF" w:val="clear"/>
            <w:tcMar>
              <w:bottom w:w="0" w:type="dxa"/>
            </w:tcMar>
            <w:vAlign w:val="bottom"/>
          </w:tcPr>
          <w:p>
            <w:pPr>
              <w:pStyle w:val="TableContents"/>
              <w:spacing w:before="0" w:after="283"/>
              <w:jc w:val="left"/>
              <w:rPr/>
            </w:pPr>
            <w:r>
              <w:rPr/>
              <w:t> </w:t>
            </w:r>
          </w:p>
        </w:tc>
        <w:tc>
          <w:tcPr>
            <w:tcW w:w="204" w:type="dxa"/>
            <w:tcBorders/>
            <w:shd w:fill="FFFFFF" w:val="clear"/>
            <w:tcMar>
              <w:bottom w:w="0" w:type="dxa"/>
            </w:tcMar>
            <w:vAlign w:val="center"/>
          </w:tcPr>
          <w:p>
            <w:pPr>
              <w:pStyle w:val="TableContents"/>
              <w:spacing w:before="0" w:after="283"/>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shd w:fill="FFFFFF" w:val="clear"/>
            <w:tcMar>
              <w:bottom w:w="0" w:type="dxa"/>
            </w:tcMar>
            <w:vAlign w:val="bottom"/>
          </w:tcPr>
          <w:p>
            <w:pPr>
              <w:pStyle w:val="TableContents"/>
              <w:spacing w:before="0" w:after="283"/>
              <w:jc w:val="right"/>
              <w:rPr/>
            </w:pPr>
            <w:r>
              <w:rPr/>
              <w:t> </w:t>
            </w:r>
          </w:p>
        </w:tc>
        <w:tc>
          <w:tcPr>
            <w:tcW w:w="209" w:type="dxa"/>
            <w:tcBorders/>
            <w:shd w:fill="FFFFFF" w:val="clear"/>
            <w:tcMar>
              <w:bottom w:w="0" w:type="dxa"/>
            </w:tcMar>
            <w:vAlign w:val="bottom"/>
          </w:tcPr>
          <w:p>
            <w:pPr>
              <w:pStyle w:val="TableContents"/>
              <w:spacing w:before="0" w:after="283"/>
              <w:jc w:val="left"/>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12" w:type="dxa"/>
            <w:tcBorders/>
            <w:shd w:fill="FFFFFF" w:val="clear"/>
            <w:tcMar>
              <w:bottom w:w="0" w:type="dxa"/>
            </w:tcMar>
            <w:vAlign w:val="bottom"/>
          </w:tcPr>
          <w:p>
            <w:pPr>
              <w:pStyle w:val="TableContents"/>
              <w:spacing w:before="0" w:after="283"/>
              <w:jc w:val="right"/>
              <w:rPr/>
            </w:pPr>
            <w:r>
              <w:rPr/>
              <w:t>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988"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Net (Decrease) Increase in Cash and Cash Equivalents</w:t>
            </w:r>
          </w:p>
        </w:tc>
        <w:tc>
          <w:tcPr>
            <w:tcW w:w="204" w:type="dxa"/>
            <w:tcBorders/>
            <w:shd w:fill="CCFFCC" w:val="clear"/>
            <w:tcMar>
              <w:bottom w:w="0" w:type="dxa"/>
            </w:tcMar>
            <w:vAlign w:val="center"/>
          </w:tcPr>
          <w:p>
            <w:pPr>
              <w:pStyle w:val="TableContents"/>
              <w:spacing w:before="0" w:after="283"/>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lineRule="auto" w:line="300" w:before="0" w:after="0"/>
              <w:ind w:left="0" w:right="0" w:hanging="0"/>
              <w:jc w:val="right"/>
              <w:rPr/>
            </w:pPr>
            <w:bookmarkStart w:id="399" w:name="TAB1278"/>
            <w:bookmarkStart w:id="400" w:name="TAB1279"/>
            <w:bookmarkEnd w:id="399"/>
            <w:bookmarkEnd w:id="400"/>
            <w:r>
              <w:rPr>
                <w:rStyle w:val="StrongEmphasis"/>
                <w:rFonts w:ascii="Times New Roman" w:hAnsi="Times New Roman"/>
                <w:sz w:val="20"/>
              </w:rPr>
              <w:t>(7,808</w:t>
            </w:r>
          </w:p>
        </w:tc>
        <w:tc>
          <w:tcPr>
            <w:tcW w:w="209" w:type="dxa"/>
            <w:tcBorders/>
            <w:shd w:fill="CCFFCC" w:val="clear"/>
            <w:tcMar>
              <w:bottom w:w="0" w:type="dxa"/>
            </w:tcMar>
            <w:vAlign w:val="bottom"/>
          </w:tcPr>
          <w:p>
            <w:pPr>
              <w:pStyle w:val="TableContents"/>
              <w:spacing w:lineRule="auto" w:line="300" w:before="0" w:after="0"/>
              <w:ind w:left="0" w:right="0" w:hanging="0"/>
              <w:jc w:val="left"/>
              <w:rPr/>
            </w:pPr>
            <w:bookmarkStart w:id="401" w:name="TAB1280"/>
            <w:bookmarkStart w:id="402" w:name="TAB1281"/>
            <w:bookmarkEnd w:id="401"/>
            <w:bookmarkEnd w:id="402"/>
            <w:r>
              <w:rPr>
                <w:rStyle w:val="StrongEmphasis"/>
                <w:rFonts w:ascii="Times New Roman" w:hAnsi="Times New Roman"/>
                <w:sz w:val="20"/>
              </w:rPr>
              <w:t>)</w:t>
            </w:r>
          </w:p>
        </w:tc>
        <w:tc>
          <w:tcPr>
            <w:tcW w:w="128" w:type="dxa"/>
            <w:tcBorders/>
            <w:shd w:fill="CCFFCC" w:val="clear"/>
            <w:tcMar>
              <w:bottom w:w="0" w:type="dxa"/>
            </w:tcMar>
            <w:vAlign w:val="bottom"/>
          </w:tcPr>
          <w:p>
            <w:pPr>
              <w:pStyle w:val="TableContents"/>
              <w:spacing w:before="0" w:after="283"/>
              <w:jc w:val="left"/>
              <w:rPr/>
            </w:pPr>
            <w:r>
              <w:rPr/>
              <w:t> </w:t>
            </w:r>
          </w:p>
        </w:tc>
        <w:tc>
          <w:tcPr>
            <w:tcW w:w="121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03" w:name="TAB1282"/>
            <w:bookmarkStart w:id="404" w:name="TAB1283"/>
            <w:bookmarkEnd w:id="403"/>
            <w:bookmarkEnd w:id="404"/>
            <w:r>
              <w:rPr>
                <w:rFonts w:ascii="Times New Roman" w:hAnsi="Times New Roman"/>
                <w:sz w:val="20"/>
              </w:rPr>
              <w:t>2,965</w:t>
            </w:r>
          </w:p>
        </w:tc>
        <w:tc>
          <w:tcPr>
            <w:tcW w:w="124" w:type="dxa"/>
            <w:tcBorders/>
            <w:shd w:fill="CCFFCC" w:val="clear"/>
            <w:tcMar>
              <w:bottom w:w="0" w:type="dxa"/>
            </w:tcMar>
            <w:vAlign w:val="bottom"/>
          </w:tcPr>
          <w:p>
            <w:pPr>
              <w:pStyle w:val="TableContents"/>
              <w:spacing w:before="0" w:after="283"/>
              <w:jc w:val="left"/>
              <w:rPr/>
            </w:pPr>
            <w:r>
              <w:rPr/>
              <w:t> </w:t>
            </w:r>
          </w:p>
        </w:tc>
      </w:tr>
      <w:tr>
        <w:trPr/>
        <w:tc>
          <w:tcPr>
            <w:tcW w:w="6988" w:type="dxa"/>
            <w:tcBorders>
              <w:bottom w:val="single" w:sz="4"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Cash and Cash Equivalents, Beginning of Year</w:t>
            </w:r>
          </w:p>
        </w:tc>
        <w:tc>
          <w:tcPr>
            <w:tcW w:w="204" w:type="dxa"/>
            <w:tcBorders>
              <w:bottom w:val="single" w:sz="4" w:space="0" w:color="FFFFFF"/>
            </w:tcBorders>
            <w:shd w:fill="FFFFFF" w:val="clear"/>
            <w:vAlign w:val="center"/>
          </w:tcPr>
          <w:p>
            <w:pPr>
              <w:pStyle w:val="TableContents"/>
              <w:spacing w:before="0" w:after="283"/>
              <w:rPr/>
            </w:pPr>
            <w:r>
              <w:rPr/>
              <w:t> </w:t>
            </w:r>
          </w:p>
        </w:tc>
        <w:tc>
          <w:tcPr>
            <w:tcW w:w="128" w:type="dxa"/>
            <w:tcBorders>
              <w:bottom w:val="single" w:sz="2" w:space="0" w:color="000000"/>
            </w:tcBorders>
            <w:shd w:fill="FFFFFF" w:val="clear"/>
            <w:vAlign w:val="bottom"/>
          </w:tcPr>
          <w:p>
            <w:pPr>
              <w:pStyle w:val="TableContents"/>
              <w:spacing w:before="0" w:after="283"/>
              <w:jc w:val="left"/>
              <w:rPr/>
            </w:pPr>
            <w:r>
              <w:rPr/>
              <w:t> </w:t>
            </w:r>
          </w:p>
        </w:tc>
        <w:tc>
          <w:tcPr>
            <w:tcW w:w="1212"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405" w:name="TAB1284"/>
            <w:bookmarkStart w:id="406" w:name="TAB1285"/>
            <w:bookmarkEnd w:id="405"/>
            <w:bookmarkEnd w:id="406"/>
            <w:r>
              <w:rPr>
                <w:rStyle w:val="StrongEmphasis"/>
                <w:rFonts w:ascii="Times New Roman" w:hAnsi="Times New Roman"/>
                <w:sz w:val="20"/>
              </w:rPr>
              <w:t>12,133</w:t>
            </w:r>
          </w:p>
        </w:tc>
        <w:tc>
          <w:tcPr>
            <w:tcW w:w="209" w:type="dxa"/>
            <w:tcBorders>
              <w:bottom w:val="single" w:sz="4" w:space="0" w:color="FFFFFF"/>
            </w:tcBorders>
            <w:shd w:fill="FFFFFF" w:val="clear"/>
            <w:vAlign w:val="bottom"/>
          </w:tcPr>
          <w:p>
            <w:pPr>
              <w:pStyle w:val="TableContents"/>
              <w:spacing w:before="0" w:after="283"/>
              <w:jc w:val="left"/>
              <w:rPr/>
            </w:pPr>
            <w:r>
              <w:rPr/>
              <w:t> </w:t>
            </w:r>
          </w:p>
        </w:tc>
        <w:tc>
          <w:tcPr>
            <w:tcW w:w="128" w:type="dxa"/>
            <w:tcBorders>
              <w:bottom w:val="single" w:sz="2" w:space="0" w:color="000000"/>
            </w:tcBorders>
            <w:shd w:fill="FFFFFF" w:val="clear"/>
            <w:vAlign w:val="bottom"/>
          </w:tcPr>
          <w:p>
            <w:pPr>
              <w:pStyle w:val="TableContents"/>
              <w:spacing w:before="0" w:after="283"/>
              <w:jc w:val="left"/>
              <w:rPr/>
            </w:pPr>
            <w:r>
              <w:rPr/>
              <w:t> </w:t>
            </w:r>
          </w:p>
        </w:tc>
        <w:tc>
          <w:tcPr>
            <w:tcW w:w="121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07" w:name="TAB1286"/>
            <w:bookmarkStart w:id="408" w:name="TAB1287"/>
            <w:bookmarkEnd w:id="407"/>
            <w:bookmarkEnd w:id="408"/>
            <w:r>
              <w:rPr>
                <w:rFonts w:ascii="Times New Roman" w:hAnsi="Times New Roman"/>
                <w:sz w:val="20"/>
              </w:rPr>
              <w:t xml:space="preserve">6,607 </w:t>
            </w:r>
          </w:p>
        </w:tc>
        <w:tc>
          <w:tcPr>
            <w:tcW w:w="124" w:type="dxa"/>
            <w:tcBorders>
              <w:bottom w:val="single" w:sz="4" w:space="0" w:color="FFFFFF"/>
            </w:tcBorders>
            <w:shd w:fill="FFFFFF" w:val="clear"/>
            <w:vAlign w:val="bottom"/>
          </w:tcPr>
          <w:p>
            <w:pPr>
              <w:pStyle w:val="TableContents"/>
              <w:spacing w:before="0" w:after="283"/>
              <w:jc w:val="left"/>
              <w:rPr/>
            </w:pPr>
            <w:r>
              <w:rPr/>
              <w:t> </w:t>
            </w:r>
          </w:p>
        </w:tc>
      </w:tr>
      <w:tr>
        <w:trPr/>
        <w:tc>
          <w:tcPr>
            <w:tcW w:w="6988" w:type="dxa"/>
            <w:tcBorders>
              <w:bottom w:val="single" w:sz="4"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Cash and Cash Equivalents, January 31</w:t>
            </w:r>
          </w:p>
        </w:tc>
        <w:tc>
          <w:tcPr>
            <w:tcW w:w="204" w:type="dxa"/>
            <w:tcBorders>
              <w:bottom w:val="single" w:sz="4" w:space="0" w:color="CCFFCC"/>
            </w:tcBorders>
            <w:shd w:fill="CCFFCC" w:val="clear"/>
            <w:vAlign w:val="center"/>
          </w:tcPr>
          <w:p>
            <w:pPr>
              <w:pStyle w:val="TableContents"/>
              <w:spacing w:before="0" w:after="283"/>
              <w:rPr/>
            </w:pPr>
            <w:r>
              <w:rPr/>
              <w:t> </w:t>
            </w:r>
          </w:p>
        </w:tc>
        <w:tc>
          <w:tcPr>
            <w:tcW w:w="128" w:type="dxa"/>
            <w:tcBorders>
              <w:bottom w:val="double" w:sz="2" w:space="0" w:color="000000"/>
            </w:tcBorders>
            <w:shd w:fill="CCFFCC" w:val="clear"/>
            <w:vAlign w:val="bottom"/>
          </w:tcPr>
          <w:p>
            <w:pPr>
              <w:pStyle w:val="TableContents"/>
              <w:spacing w:lineRule="auto" w:line="300" w:before="0" w:after="0"/>
              <w:ind w:left="0" w:right="0" w:hanging="0"/>
              <w:jc w:val="left"/>
              <w:rPr/>
            </w:pPr>
            <w:bookmarkStart w:id="409" w:name="TAB1288"/>
            <w:bookmarkEnd w:id="409"/>
            <w:r>
              <w:rPr>
                <w:rStyle w:val="StrongEmphasis"/>
                <w:rFonts w:ascii="Times New Roman" w:hAnsi="Times New Roman"/>
                <w:sz w:val="20"/>
              </w:rPr>
              <w:t>$</w:t>
            </w:r>
            <w:bookmarkStart w:id="410" w:name="TAB227"/>
            <w:bookmarkEnd w:id="410"/>
          </w:p>
        </w:tc>
        <w:tc>
          <w:tcPr>
            <w:tcW w:w="1212" w:type="dxa"/>
            <w:tcBorders>
              <w:bottom w:val="double" w:sz="2" w:space="0" w:color="000000"/>
            </w:tcBorders>
            <w:shd w:fill="CCFFCC" w:val="clear"/>
            <w:vAlign w:val="bottom"/>
          </w:tcPr>
          <w:p>
            <w:pPr>
              <w:pStyle w:val="TableContents"/>
              <w:spacing w:lineRule="auto" w:line="300" w:before="0" w:after="0"/>
              <w:ind w:left="0" w:right="0" w:hanging="0"/>
              <w:jc w:val="right"/>
              <w:rPr/>
            </w:pPr>
            <w:bookmarkStart w:id="411" w:name="TAB228"/>
            <w:bookmarkStart w:id="412" w:name="TAB1289"/>
            <w:bookmarkEnd w:id="411"/>
            <w:bookmarkEnd w:id="412"/>
            <w:r>
              <w:rPr>
                <w:rStyle w:val="StrongEmphasis"/>
                <w:rFonts w:ascii="Times New Roman" w:hAnsi="Times New Roman"/>
                <w:sz w:val="20"/>
              </w:rPr>
              <w:t>4,325</w:t>
            </w:r>
          </w:p>
        </w:tc>
        <w:tc>
          <w:tcPr>
            <w:tcW w:w="209" w:type="dxa"/>
            <w:tcBorders>
              <w:bottom w:val="single" w:sz="4" w:space="0" w:color="CCFFCC"/>
            </w:tcBorders>
            <w:shd w:fill="CCFFCC" w:val="clear"/>
            <w:vAlign w:val="bottom"/>
          </w:tcPr>
          <w:p>
            <w:pPr>
              <w:pStyle w:val="TableContents"/>
              <w:spacing w:before="0" w:after="283"/>
              <w:jc w:val="left"/>
              <w:rPr/>
            </w:pPr>
            <w:r>
              <w:rPr/>
              <w:t> </w:t>
            </w:r>
          </w:p>
        </w:tc>
        <w:tc>
          <w:tcPr>
            <w:tcW w:w="128"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bookmarkStart w:id="413" w:name="TAB1290"/>
            <w:bookmarkEnd w:id="413"/>
            <w:r>
              <w:rPr>
                <w:rFonts w:ascii="Times New Roman" w:hAnsi="Times New Roman"/>
                <w:sz w:val="20"/>
              </w:rPr>
              <w:t>$</w:t>
            </w:r>
            <w:bookmarkStart w:id="414" w:name="TAB229"/>
            <w:bookmarkEnd w:id="414"/>
          </w:p>
        </w:tc>
        <w:tc>
          <w:tcPr>
            <w:tcW w:w="1212"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bookmarkStart w:id="415" w:name="TAB230"/>
            <w:bookmarkStart w:id="416" w:name="TAB1291"/>
            <w:bookmarkEnd w:id="415"/>
            <w:bookmarkEnd w:id="416"/>
            <w:r>
              <w:rPr>
                <w:rFonts w:ascii="Times New Roman" w:hAnsi="Times New Roman"/>
                <w:sz w:val="20"/>
              </w:rPr>
              <w:t xml:space="preserve">9,572 </w:t>
            </w:r>
          </w:p>
        </w:tc>
        <w:tc>
          <w:tcPr>
            <w:tcW w:w="124" w:type="dxa"/>
            <w:tcBorders>
              <w:bottom w:val="single" w:sz="4" w:space="0" w:color="CCFFCC"/>
            </w:tcBorders>
            <w:shd w:fill="CCFFCC"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accompanying notes are an integral part of the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7" w:name="PGBRK7"/>
      <w:bookmarkStart w:id="418" w:name="PGBRK7"/>
      <w:bookmarkEnd w:id="4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9" w:name="FTR7"/>
      <w:bookmarkStart w:id="420" w:name="FTR7"/>
      <w:bookmarkEnd w:id="4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1" w:name="GLFTR7"/>
      <w:bookmarkStart w:id="422" w:name="GLFTR7"/>
      <w:bookmarkEnd w:id="4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423" w:name="PN7"/>
      <w:bookmarkEnd w:id="423"/>
      <w:r>
        <w:rPr>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4" w:name="HDR7"/>
      <w:bookmarkStart w:id="425" w:name="HDR7"/>
      <w:bookmarkEnd w:id="4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6" w:name="GLHDR7"/>
      <w:bookmarkStart w:id="427" w:name="GLHDR7"/>
      <w:bookmarkEnd w:id="4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center"/>
        <w:rPr/>
      </w:pPr>
      <w:r>
        <w:rPr/>
      </w:r>
    </w:p>
    <w:p>
      <w:pPr>
        <w:pStyle w:val="TextBody"/>
        <w:spacing w:lineRule="auto" w:line="300" w:before="0" w:after="0"/>
        <w:ind w:left="0" w:right="0" w:hanging="0"/>
        <w:jc w:val="center"/>
        <w:rPr/>
      </w:pPr>
      <w:r>
        <w:rPr>
          <w:rStyle w:val="StrongEmphasis"/>
          <w:rFonts w:ascii="Times New Roman" w:hAnsi="Times New Roman"/>
          <w:sz w:val="20"/>
        </w:rPr>
        <w:t>OIL-DRI CORPORATION OF AMERICA &amp; SUBSIDIARIES</w:t>
      </w:r>
    </w:p>
    <w:p>
      <w:pPr>
        <w:pStyle w:val="TextBody"/>
        <w:spacing w:lineRule="auto" w:line="300" w:before="0" w:after="0"/>
        <w:ind w:left="0" w:right="0" w:hanging="0"/>
        <w:jc w:val="center"/>
        <w:rPr/>
      </w:pPr>
      <w:r>
        <w:rPr>
          <w:rStyle w:val="StrongEmphasis"/>
          <w:rFonts w:ascii="Times New Roman" w:hAnsi="Times New Roman"/>
          <w:sz w:val="20"/>
        </w:rPr>
        <w:t>Notes To Condensed Consolidated Financial Statements</w:t>
      </w:r>
    </w:p>
    <w:p>
      <w:pPr>
        <w:pStyle w:val="TextBody"/>
        <w:spacing w:lineRule="auto" w:line="300" w:before="0" w:after="0"/>
        <w:ind w:left="0" w:right="0" w:hanging="0"/>
        <w:jc w:val="center"/>
        <w:rPr/>
      </w:pPr>
      <w:r>
        <w:rPr>
          <w:rStyle w:val="StrongEmphasis"/>
          <w:rFonts w:ascii="Times New Roman" w:hAnsi="Times New Roman"/>
          <w:sz w:val="20"/>
        </w:rPr>
        <w:t>(Unaudited)</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Fonts w:ascii="Times New Roman" w:hAnsi="Times New Roman"/>
          <w:sz w:val="20"/>
        </w:rPr>
        <w:t>1.</w:t>
      </w:r>
      <w:bookmarkStart w:id="428" w:name="TAB231"/>
      <w:bookmarkEnd w:id="428"/>
      <w:r>
        <w:rPr>
          <w:color w:val="000000"/>
          <w:spacing w:val="180"/>
        </w:rPr>
        <w:t> </w:t>
      </w:r>
      <w:r>
        <w:rPr>
          <w:rStyle w:val="StrongEmphasis"/>
          <w:rFonts w:ascii="Times New Roman" w:hAnsi="Times New Roman"/>
          <w:sz w:val="20"/>
        </w:rPr>
        <w:t>BASIS OF STATEMENT PRESENTATION</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accompanying unaudited condensed consolidated financial statements have been prepared in accordance with accounting principles generally accepted in the United States of America (“U.S. GAAP”) for interim financial information and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year ended July 31, 2007, included in our Annual Report on Form 10-K filed with the Securities and Exchange Commission.</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unaudited condensed consolidated financial statements include the accounts of the parent company and its subsidiaries. All significant intercompany transactions are eliminated.</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unaudited condensed consolidated financial statements reflect all adjustments, consisting of normal recurring accruals, which are, in the opinion of management, necessary for a fair presentation of the statements contained herein. Operating results for the three months and the six months ended January 31, 2008 are not necessarily an indication of the results that may be expected for the fiscal year ending July 31, 2008.</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preparation of the unaudited financial statements in conformity with U.S. GAAP requires the use of estimates and assumptions related to the reporting of assets, liabilities, revenues, expenses and related disclosures. Estimates are revised periodically. Actual results could differ from these estimates.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Under the terms of our sales agreements with customers, we recognize revenue when title is transferred. Upon shipment an invoice is generated that sets the fixed and determinable price. Promotional reserves are provided for sales incentives made directly to consumers and customers and are netted against sales. Sales returns and allowances have historically not been material. Selling, general and administrative expenses include salaries, wages and benefits associated with staff outside the manufacturing and distribution functions, advertising costs, research and development costs and all other non-manufacturing and non-distribution expenses.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We evaluate our allowance for doubtful accounts utilizing a combination of a historical experience and a periodic review of our accounts receivable aging and specific customer account analysis. We maintain and monitor a list of customers whose creditworthiness has diminished.</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As part of our overall operations, we mine sorbent materials on property that we either own or lease. A significant part of our overall mining cost is incurred during the process of removing the overburden (non-usable material) from the mine site, thus exposing the sorbent material that is then used in a majority of our production processes. In accordance with EITF Issue No. 04-06, “Accounting for Stripping Costs Incurred during Production in the Mining Industry,” production stripping costs are treated as a variable inventory production cost and are included in cost of sales in the period they are incurred. We defer and amortize the pre-production overburden removal costs associated with opening a new mine.</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During the normal course of our overburden removal activities we perform on-going reclamation activities. As overburden is removed from a pit, it is hauled to previously mined pits and used to refill older sites. This process allows us to continuously reclaim older pits and dispose of overburden simultaneously, therefore minimizing the liability for the reclamation function.</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can be offset against future royalties due upon extraction of the mineral are also capitalized. All exploration related costs are expensed as incurred.</w:t>
      </w:r>
    </w:p>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9" w:name="PGBRK8"/>
      <w:bookmarkStart w:id="430" w:name="PGBRK8"/>
      <w:bookmarkEnd w:id="4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1" w:name="FTR8"/>
      <w:bookmarkStart w:id="432" w:name="FTR8"/>
      <w:bookmarkEnd w:id="4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3" w:name="GLFTR8"/>
      <w:bookmarkStart w:id="434" w:name="GLFTR8"/>
      <w:bookmarkEnd w:id="4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435" w:name="PN8"/>
      <w:bookmarkEnd w:id="435"/>
      <w:r>
        <w:rPr>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6" w:name="HDR8"/>
      <w:bookmarkStart w:id="437" w:name="HDR8"/>
      <w:bookmarkEnd w:id="4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8" w:name="GLHDR8"/>
      <w:bookmarkStart w:id="439" w:name="GLHDR8"/>
      <w:bookmarkEnd w:id="4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t> </w:t>
      </w:r>
    </w:p>
    <w:p>
      <w:pPr>
        <w:pStyle w:val="TextBody"/>
        <w:spacing w:lineRule="auto" w:line="300" w:before="0" w:after="0"/>
        <w:ind w:left="0" w:right="0" w:hanging="0"/>
        <w:jc w:val="left"/>
        <w:rPr/>
      </w:pPr>
      <w:r>
        <w:rPr>
          <w:rFonts w:ascii="Times New Roman" w:hAnsi="Times New Roman"/>
          <w:sz w:val="20"/>
        </w:rPr>
        <w:t>2.</w:t>
      </w:r>
      <w:bookmarkStart w:id="440" w:name="TAB232"/>
      <w:bookmarkEnd w:id="440"/>
      <w:r>
        <w:rPr>
          <w:color w:val="000000"/>
          <w:spacing w:val="180"/>
        </w:rPr>
        <w:t> </w:t>
      </w:r>
      <w:r>
        <w:rPr>
          <w:rStyle w:val="StrongEmphasis"/>
          <w:rFonts w:ascii="Times New Roman" w:hAnsi="Times New Roman"/>
          <w:sz w:val="20"/>
        </w:rPr>
        <w:t>INVENTORIES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composition of inventories is as follows (in thousands of dollars):</w:t>
      </w:r>
    </w:p>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441" w:name="ftable7"/>
      <w:bookmarkStart w:id="442" w:name="ftable7"/>
      <w:bookmarkEnd w:id="442"/>
    </w:p>
    <w:tbl>
      <w:tblPr>
        <w:tblW w:w="3000" w:type="pct"/>
        <w:jc w:val="center"/>
        <w:tblInd w:w="0" w:type="dxa"/>
        <w:tblCellMar>
          <w:top w:w="0" w:type="dxa"/>
          <w:left w:w="0" w:type="dxa"/>
          <w:bottom w:w="0" w:type="dxa"/>
          <w:right w:w="0" w:type="dxa"/>
        </w:tblCellMar>
      </w:tblPr>
      <w:tblGrid>
        <w:gridCol w:w="3032"/>
        <w:gridCol w:w="196"/>
        <w:gridCol w:w="128"/>
        <w:gridCol w:w="1165"/>
        <w:gridCol w:w="196"/>
        <w:gridCol w:w="128"/>
        <w:gridCol w:w="1165"/>
        <w:gridCol w:w="113"/>
      </w:tblGrid>
      <w:tr>
        <w:trPr/>
        <w:tc>
          <w:tcPr>
            <w:tcW w:w="3032" w:type="dxa"/>
            <w:tcBorders/>
            <w:shd w:fill="auto" w:val="clear"/>
            <w:vAlign w:val="bottom"/>
          </w:tcPr>
          <w:p>
            <w:pPr>
              <w:pStyle w:val="TableContents"/>
              <w:spacing w:before="0" w:after="283"/>
              <w:jc w:val="left"/>
              <w:rPr/>
            </w:pPr>
            <w:r>
              <w:rPr/>
              <w:t> </w:t>
            </w:r>
          </w:p>
        </w:tc>
        <w:tc>
          <w:tcPr>
            <w:tcW w:w="196" w:type="dxa"/>
            <w:tcBorders/>
            <w:shd w:fill="auto" w:val="clear"/>
            <w:vAlign w:val="center"/>
          </w:tcPr>
          <w:p>
            <w:pPr>
              <w:pStyle w:val="TableContents"/>
              <w:spacing w:before="0" w:after="283"/>
              <w:rPr/>
            </w:pPr>
            <w:r>
              <w:rPr/>
              <w:t> </w:t>
            </w:r>
          </w:p>
        </w:tc>
        <w:tc>
          <w:tcPr>
            <w:tcW w:w="1293" w:type="dxa"/>
            <w:gridSpan w:val="2"/>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January 31,</w:t>
            </w:r>
          </w:p>
        </w:tc>
        <w:tc>
          <w:tcPr>
            <w:tcW w:w="196" w:type="dxa"/>
            <w:tcBorders/>
            <w:shd w:fill="auto" w:val="clear"/>
            <w:vAlign w:val="bottom"/>
          </w:tcPr>
          <w:p>
            <w:pPr>
              <w:pStyle w:val="TableContents"/>
              <w:spacing w:before="0" w:after="283"/>
              <w:jc w:val="left"/>
              <w:rPr/>
            </w:pPr>
            <w:r>
              <w:rPr/>
              <w:t> </w:t>
            </w:r>
          </w:p>
        </w:tc>
        <w:tc>
          <w:tcPr>
            <w:tcW w:w="1293" w:type="dxa"/>
            <w:gridSpan w:val="2"/>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July 31,</w:t>
            </w:r>
          </w:p>
        </w:tc>
        <w:tc>
          <w:tcPr>
            <w:tcW w:w="113" w:type="dxa"/>
            <w:tcBorders/>
            <w:shd w:fill="auto" w:val="clear"/>
            <w:vAlign w:val="bottom"/>
          </w:tcPr>
          <w:p>
            <w:pPr>
              <w:pStyle w:val="TableContents"/>
              <w:spacing w:before="0" w:after="283"/>
              <w:jc w:val="left"/>
              <w:rPr/>
            </w:pPr>
            <w:r>
              <w:rPr/>
              <w:t> </w:t>
            </w:r>
          </w:p>
        </w:tc>
      </w:tr>
      <w:tr>
        <w:trPr/>
        <w:tc>
          <w:tcPr>
            <w:tcW w:w="3032"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196" w:type="dxa"/>
            <w:tcBorders>
              <w:bottom w:val="single" w:sz="4" w:space="0" w:color="FFFFFF"/>
            </w:tcBorders>
            <w:shd w:fill="auto" w:val="clear"/>
            <w:tcMar>
              <w:bottom w:w="28" w:type="dxa"/>
            </w:tcMar>
            <w:vAlign w:val="center"/>
          </w:tcPr>
          <w:p>
            <w:pPr>
              <w:pStyle w:val="TableContents"/>
              <w:spacing w:before="0" w:after="283"/>
              <w:rPr/>
            </w:pPr>
            <w:r>
              <w:rPr/>
              <w:t> </w:t>
            </w:r>
          </w:p>
        </w:tc>
        <w:tc>
          <w:tcPr>
            <w:tcW w:w="1293" w:type="dxa"/>
            <w:gridSpan w:val="2"/>
            <w:tcBorders>
              <w:bottom w:val="single" w:sz="2" w:space="0" w:color="000000"/>
            </w:tcBorders>
            <w:shd w:fill="auto" w:val="clear"/>
            <w:tcMar>
              <w:bottom w:w="28"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2008</w:t>
            </w:r>
          </w:p>
        </w:tc>
        <w:tc>
          <w:tcPr>
            <w:tcW w:w="196"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1293" w:type="dxa"/>
            <w:gridSpan w:val="2"/>
            <w:tcBorders>
              <w:bottom w:val="single" w:sz="2" w:space="0" w:color="000000"/>
            </w:tcBorders>
            <w:shd w:fill="auto" w:val="clear"/>
            <w:tcMar>
              <w:bottom w:w="28"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2007</w:t>
            </w:r>
          </w:p>
        </w:tc>
        <w:tc>
          <w:tcPr>
            <w:tcW w:w="113" w:type="dxa"/>
            <w:tcBorders>
              <w:bottom w:val="single" w:sz="4" w:space="0" w:color="FFFFFF"/>
            </w:tcBorders>
            <w:shd w:fill="auto" w:val="clear"/>
            <w:tcMar>
              <w:bottom w:w="28" w:type="dxa"/>
            </w:tcMar>
            <w:vAlign w:val="bottom"/>
          </w:tcPr>
          <w:p>
            <w:pPr>
              <w:pStyle w:val="TableContents"/>
              <w:spacing w:before="0" w:after="283"/>
              <w:jc w:val="left"/>
              <w:rPr/>
            </w:pPr>
            <w:r>
              <w:rPr/>
              <w:t> </w:t>
            </w:r>
          </w:p>
        </w:tc>
      </w:tr>
      <w:tr>
        <w:trPr/>
        <w:tc>
          <w:tcPr>
            <w:tcW w:w="3032" w:type="dxa"/>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Finished goods</w:t>
            </w:r>
          </w:p>
        </w:tc>
        <w:tc>
          <w:tcPr>
            <w:tcW w:w="196" w:type="dxa"/>
            <w:tcBorders/>
            <w:shd w:fill="CCFFCC" w:val="clear"/>
            <w:vAlign w:val="center"/>
          </w:tcPr>
          <w:p>
            <w:pPr>
              <w:pStyle w:val="TableContents"/>
              <w:spacing w:before="0" w:after="283"/>
              <w:rPr/>
            </w:pPr>
            <w:r>
              <w:rPr/>
              <w:t> </w:t>
            </w:r>
          </w:p>
        </w:tc>
        <w:tc>
          <w:tcPr>
            <w:tcW w:w="128" w:type="dxa"/>
            <w:tcBorders/>
            <w:shd w:fill="CCFFCC" w:val="clear"/>
            <w:vAlign w:val="bottom"/>
          </w:tcPr>
          <w:p>
            <w:pPr>
              <w:pStyle w:val="TableContents"/>
              <w:spacing w:lineRule="auto" w:line="300" w:before="0" w:after="0"/>
              <w:ind w:left="0" w:right="0" w:hanging="0"/>
              <w:jc w:val="left"/>
              <w:rPr>
                <w:rFonts w:ascii="Times New Roman" w:hAnsi="Times New Roman"/>
                <w:sz w:val="20"/>
              </w:rPr>
            </w:pPr>
            <w:bookmarkStart w:id="443" w:name="TAB234"/>
            <w:bookmarkEnd w:id="443"/>
            <w:r>
              <w:rPr>
                <w:rFonts w:ascii="Times New Roman" w:hAnsi="Times New Roman"/>
                <w:sz w:val="20"/>
              </w:rPr>
              <w:t>$</w:t>
            </w:r>
            <w:bookmarkStart w:id="444" w:name="TAB233"/>
            <w:bookmarkEnd w:id="444"/>
          </w:p>
        </w:tc>
        <w:tc>
          <w:tcPr>
            <w:tcW w:w="1165" w:type="dxa"/>
            <w:tcBorders/>
            <w:shd w:fill="CCFFCC" w:val="clear"/>
            <w:vAlign w:val="bottom"/>
          </w:tcPr>
          <w:p>
            <w:pPr>
              <w:pStyle w:val="TableContents"/>
              <w:spacing w:lineRule="auto" w:line="300" w:before="0" w:after="0"/>
              <w:ind w:left="0" w:right="0" w:hanging="0"/>
              <w:jc w:val="right"/>
              <w:rPr>
                <w:rFonts w:ascii="Times New Roman" w:hAnsi="Times New Roman"/>
                <w:sz w:val="20"/>
              </w:rPr>
            </w:pPr>
            <w:bookmarkStart w:id="445" w:name="TAB235"/>
            <w:bookmarkStart w:id="446" w:name="TAB236"/>
            <w:bookmarkEnd w:id="445"/>
            <w:bookmarkEnd w:id="446"/>
            <w:r>
              <w:rPr>
                <w:rFonts w:ascii="Times New Roman" w:hAnsi="Times New Roman"/>
                <w:sz w:val="20"/>
              </w:rPr>
              <w:t>9,734</w:t>
            </w:r>
          </w:p>
        </w:tc>
        <w:tc>
          <w:tcPr>
            <w:tcW w:w="196" w:type="dxa"/>
            <w:tcBorders/>
            <w:shd w:fill="CCFFCC" w:val="clear"/>
            <w:vAlign w:val="bottom"/>
          </w:tcPr>
          <w:p>
            <w:pPr>
              <w:pStyle w:val="TableContents"/>
              <w:spacing w:before="0" w:after="283"/>
              <w:jc w:val="left"/>
              <w:rPr/>
            </w:pPr>
            <w:r>
              <w:rPr/>
              <w:t> </w:t>
            </w:r>
          </w:p>
        </w:tc>
        <w:tc>
          <w:tcPr>
            <w:tcW w:w="128" w:type="dxa"/>
            <w:tcBorders/>
            <w:shd w:fill="CCFFCC" w:val="clear"/>
            <w:vAlign w:val="bottom"/>
          </w:tcPr>
          <w:p>
            <w:pPr>
              <w:pStyle w:val="TableContents"/>
              <w:spacing w:lineRule="auto" w:line="300" w:before="0" w:after="0"/>
              <w:ind w:left="0" w:right="0" w:hanging="0"/>
              <w:jc w:val="left"/>
              <w:rPr>
                <w:rFonts w:ascii="Times New Roman" w:hAnsi="Times New Roman"/>
                <w:sz w:val="20"/>
              </w:rPr>
            </w:pPr>
            <w:bookmarkStart w:id="447" w:name="TAB1292"/>
            <w:bookmarkEnd w:id="447"/>
            <w:r>
              <w:rPr>
                <w:rFonts w:ascii="Times New Roman" w:hAnsi="Times New Roman"/>
                <w:sz w:val="20"/>
              </w:rPr>
              <w:t>$</w:t>
            </w:r>
            <w:bookmarkStart w:id="448" w:name="TAB237"/>
            <w:bookmarkEnd w:id="448"/>
          </w:p>
        </w:tc>
        <w:tc>
          <w:tcPr>
            <w:tcW w:w="1165" w:type="dxa"/>
            <w:tcBorders/>
            <w:shd w:fill="CCFFCC" w:val="clear"/>
            <w:vAlign w:val="bottom"/>
          </w:tcPr>
          <w:p>
            <w:pPr>
              <w:pStyle w:val="TableContents"/>
              <w:spacing w:lineRule="auto" w:line="300" w:before="0" w:after="0"/>
              <w:ind w:left="0" w:right="0" w:hanging="0"/>
              <w:jc w:val="right"/>
              <w:rPr>
                <w:rFonts w:ascii="Times New Roman" w:hAnsi="Times New Roman"/>
                <w:sz w:val="20"/>
              </w:rPr>
            </w:pPr>
            <w:bookmarkStart w:id="449" w:name="TAB238"/>
            <w:bookmarkStart w:id="450" w:name="TAB1293"/>
            <w:bookmarkEnd w:id="449"/>
            <w:bookmarkEnd w:id="450"/>
            <w:r>
              <w:rPr>
                <w:rFonts w:ascii="Times New Roman" w:hAnsi="Times New Roman"/>
                <w:sz w:val="20"/>
              </w:rPr>
              <w:t>9,012</w:t>
            </w:r>
          </w:p>
        </w:tc>
        <w:tc>
          <w:tcPr>
            <w:tcW w:w="113" w:type="dxa"/>
            <w:tcBorders/>
            <w:shd w:fill="CCFFCC" w:val="clear"/>
            <w:vAlign w:val="bottom"/>
          </w:tcPr>
          <w:p>
            <w:pPr>
              <w:pStyle w:val="TableContents"/>
              <w:spacing w:before="0" w:after="283"/>
              <w:jc w:val="left"/>
              <w:rPr/>
            </w:pPr>
            <w:r>
              <w:rPr/>
              <w:t> </w:t>
            </w:r>
          </w:p>
        </w:tc>
      </w:tr>
      <w:tr>
        <w:trPr/>
        <w:tc>
          <w:tcPr>
            <w:tcW w:w="3032" w:type="dxa"/>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Packaging</w:t>
            </w:r>
          </w:p>
        </w:tc>
        <w:tc>
          <w:tcPr>
            <w:tcW w:w="196" w:type="dxa"/>
            <w:tcBorders/>
            <w:shd w:fill="FFFFFF" w:val="clear"/>
            <w:vAlign w:val="center"/>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1165" w:type="dxa"/>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3,615</w:t>
            </w:r>
          </w:p>
        </w:tc>
        <w:tc>
          <w:tcPr>
            <w:tcW w:w="196" w:type="dxa"/>
            <w:tcBorders/>
            <w:shd w:fill="FFFFFF" w:val="clear"/>
            <w:vAlign w:val="bottom"/>
          </w:tcPr>
          <w:p>
            <w:pPr>
              <w:pStyle w:val="TableContents"/>
              <w:spacing w:before="0" w:after="283"/>
              <w:jc w:val="left"/>
              <w:rPr/>
            </w:pPr>
            <w:r>
              <w:rPr/>
              <w:t> </w:t>
            </w:r>
          </w:p>
        </w:tc>
        <w:tc>
          <w:tcPr>
            <w:tcW w:w="128" w:type="dxa"/>
            <w:tcBorders/>
            <w:shd w:fill="FFFFFF" w:val="clear"/>
            <w:vAlign w:val="bottom"/>
          </w:tcPr>
          <w:p>
            <w:pPr>
              <w:pStyle w:val="TableContents"/>
              <w:spacing w:before="0" w:after="283"/>
              <w:jc w:val="left"/>
              <w:rPr/>
            </w:pPr>
            <w:r>
              <w:rPr/>
              <w:t> </w:t>
            </w:r>
          </w:p>
        </w:tc>
        <w:tc>
          <w:tcPr>
            <w:tcW w:w="1165" w:type="dxa"/>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51" w:name="TAB1294"/>
            <w:bookmarkStart w:id="452" w:name="TAB1295"/>
            <w:bookmarkEnd w:id="451"/>
            <w:bookmarkEnd w:id="452"/>
            <w:r>
              <w:rPr>
                <w:rFonts w:ascii="Times New Roman" w:hAnsi="Times New Roman"/>
                <w:sz w:val="20"/>
              </w:rPr>
              <w:t>3,118</w:t>
            </w:r>
          </w:p>
        </w:tc>
        <w:tc>
          <w:tcPr>
            <w:tcW w:w="113" w:type="dxa"/>
            <w:tcBorders/>
            <w:shd w:fill="FFFFFF" w:val="clear"/>
            <w:vAlign w:val="bottom"/>
          </w:tcPr>
          <w:p>
            <w:pPr>
              <w:pStyle w:val="TableContents"/>
              <w:spacing w:before="0" w:after="283"/>
              <w:jc w:val="left"/>
              <w:rPr/>
            </w:pPr>
            <w:r>
              <w:rPr/>
              <w:t> </w:t>
            </w:r>
          </w:p>
        </w:tc>
      </w:tr>
      <w:tr>
        <w:trPr/>
        <w:tc>
          <w:tcPr>
            <w:tcW w:w="3032" w:type="dxa"/>
            <w:tcBorders>
              <w:bottom w:val="single" w:sz="4" w:space="0" w:color="CCFFCC"/>
            </w:tcBorders>
            <w:shd w:fill="CCFFCC"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Other</w:t>
            </w:r>
          </w:p>
        </w:tc>
        <w:tc>
          <w:tcPr>
            <w:tcW w:w="196" w:type="dxa"/>
            <w:tcBorders>
              <w:bottom w:val="single" w:sz="4" w:space="0" w:color="CCFFCC"/>
            </w:tcBorders>
            <w:shd w:fill="CCFFCC" w:val="clear"/>
            <w:tcMar>
              <w:bottom w:w="28" w:type="dxa"/>
            </w:tcMar>
            <w:vAlign w:val="center"/>
          </w:tcPr>
          <w:p>
            <w:pPr>
              <w:pStyle w:val="TableContents"/>
              <w:spacing w:before="0" w:after="283"/>
              <w:rPr/>
            </w:pPr>
            <w:r>
              <w:rPr/>
              <w:t> </w:t>
            </w:r>
          </w:p>
        </w:tc>
        <w:tc>
          <w:tcPr>
            <w:tcW w:w="128" w:type="dxa"/>
            <w:tcBorders>
              <w:bottom w:val="single" w:sz="2" w:space="0" w:color="000000"/>
            </w:tcBorders>
            <w:shd w:fill="CCFFCC" w:val="clear"/>
            <w:tcMar>
              <w:bottom w:w="28" w:type="dxa"/>
            </w:tcMar>
            <w:vAlign w:val="bottom"/>
          </w:tcPr>
          <w:p>
            <w:pPr>
              <w:pStyle w:val="TableContents"/>
              <w:spacing w:before="0" w:after="283"/>
              <w:jc w:val="left"/>
              <w:rPr/>
            </w:pPr>
            <w:r>
              <w:rPr/>
              <w:t> </w:t>
            </w:r>
          </w:p>
        </w:tc>
        <w:tc>
          <w:tcPr>
            <w:tcW w:w="1165" w:type="dxa"/>
            <w:tcBorders>
              <w:bottom w:val="single" w:sz="2" w:space="0" w:color="000000"/>
            </w:tcBorders>
            <w:shd w:fill="CCFFCC"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3,047</w:t>
            </w:r>
          </w:p>
        </w:tc>
        <w:tc>
          <w:tcPr>
            <w:tcW w:w="196" w:type="dxa"/>
            <w:tcBorders>
              <w:bottom w:val="single" w:sz="4" w:space="0" w:color="CCFFCC"/>
            </w:tcBorders>
            <w:shd w:fill="CCFFCC" w:val="clear"/>
            <w:tcMar>
              <w:bottom w:w="28" w:type="dxa"/>
            </w:tcMar>
            <w:vAlign w:val="bottom"/>
          </w:tcPr>
          <w:p>
            <w:pPr>
              <w:pStyle w:val="TableContents"/>
              <w:spacing w:before="0" w:after="283"/>
              <w:jc w:val="left"/>
              <w:rPr/>
            </w:pPr>
            <w:r>
              <w:rPr/>
              <w:t> </w:t>
            </w:r>
          </w:p>
        </w:tc>
        <w:tc>
          <w:tcPr>
            <w:tcW w:w="128" w:type="dxa"/>
            <w:tcBorders>
              <w:bottom w:val="single" w:sz="2" w:space="0" w:color="000000"/>
            </w:tcBorders>
            <w:shd w:fill="CCFFCC" w:val="clear"/>
            <w:tcMar>
              <w:bottom w:w="28" w:type="dxa"/>
            </w:tcMar>
            <w:vAlign w:val="bottom"/>
          </w:tcPr>
          <w:p>
            <w:pPr>
              <w:pStyle w:val="TableContents"/>
              <w:spacing w:before="0" w:after="283"/>
              <w:jc w:val="left"/>
              <w:rPr/>
            </w:pPr>
            <w:r>
              <w:rPr/>
              <w:t> </w:t>
            </w:r>
          </w:p>
        </w:tc>
        <w:tc>
          <w:tcPr>
            <w:tcW w:w="1165" w:type="dxa"/>
            <w:tcBorders>
              <w:bottom w:val="single" w:sz="2" w:space="0" w:color="000000"/>
            </w:tcBorders>
            <w:shd w:fill="CCFFCC" w:val="clear"/>
            <w:tcMar>
              <w:bottom w:w="28" w:type="dxa"/>
            </w:tcMar>
            <w:vAlign w:val="bottom"/>
          </w:tcPr>
          <w:p>
            <w:pPr>
              <w:pStyle w:val="TableContents"/>
              <w:spacing w:lineRule="auto" w:line="300" w:before="0" w:after="0"/>
              <w:ind w:left="0" w:right="0" w:hanging="0"/>
              <w:jc w:val="right"/>
              <w:rPr>
                <w:rFonts w:ascii="Times New Roman" w:hAnsi="Times New Roman"/>
                <w:sz w:val="20"/>
              </w:rPr>
            </w:pPr>
            <w:bookmarkStart w:id="453" w:name="TAB1296"/>
            <w:bookmarkStart w:id="454" w:name="TAB1297"/>
            <w:bookmarkEnd w:id="453"/>
            <w:bookmarkEnd w:id="454"/>
            <w:r>
              <w:rPr>
                <w:rFonts w:ascii="Times New Roman" w:hAnsi="Times New Roman"/>
                <w:sz w:val="20"/>
              </w:rPr>
              <w:t>3,107</w:t>
            </w:r>
          </w:p>
        </w:tc>
        <w:tc>
          <w:tcPr>
            <w:tcW w:w="113" w:type="dxa"/>
            <w:tcBorders>
              <w:bottom w:val="single" w:sz="4" w:space="0" w:color="CCFFCC"/>
            </w:tcBorders>
            <w:shd w:fill="CCFFCC" w:val="clear"/>
            <w:tcMar>
              <w:bottom w:w="28" w:type="dxa"/>
            </w:tcMar>
            <w:vAlign w:val="bottom"/>
          </w:tcPr>
          <w:p>
            <w:pPr>
              <w:pStyle w:val="TableContents"/>
              <w:spacing w:before="0" w:after="283"/>
              <w:jc w:val="left"/>
              <w:rPr/>
            </w:pPr>
            <w:r>
              <w:rPr/>
              <w:t> </w:t>
            </w:r>
          </w:p>
        </w:tc>
      </w:tr>
      <w:tr>
        <w:trPr/>
        <w:tc>
          <w:tcPr>
            <w:tcW w:w="3032"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196" w:type="dxa"/>
            <w:tcBorders>
              <w:bottom w:val="single" w:sz="4" w:space="0" w:color="FFFFFF"/>
            </w:tcBorders>
            <w:shd w:fill="FFFFFF" w:val="clear"/>
            <w:tcMar>
              <w:bottom w:w="28" w:type="dxa"/>
            </w:tcMar>
            <w:vAlign w:val="center"/>
          </w:tcPr>
          <w:p>
            <w:pPr>
              <w:pStyle w:val="TableContents"/>
              <w:spacing w:before="0" w:after="283"/>
              <w:rPr/>
            </w:pPr>
            <w:r>
              <w:rPr/>
              <w:t> </w:t>
            </w:r>
          </w:p>
        </w:tc>
        <w:tc>
          <w:tcPr>
            <w:tcW w:w="128"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left"/>
              <w:rPr>
                <w:rFonts w:ascii="Times New Roman" w:hAnsi="Times New Roman"/>
                <w:sz w:val="20"/>
              </w:rPr>
            </w:pPr>
            <w:bookmarkStart w:id="455" w:name="TAB1298"/>
            <w:bookmarkEnd w:id="455"/>
            <w:r>
              <w:rPr>
                <w:rFonts w:ascii="Times New Roman" w:hAnsi="Times New Roman"/>
                <w:sz w:val="20"/>
              </w:rPr>
              <w:t>$</w:t>
            </w:r>
            <w:bookmarkStart w:id="456" w:name="TAB239"/>
            <w:bookmarkEnd w:id="456"/>
          </w:p>
        </w:tc>
        <w:tc>
          <w:tcPr>
            <w:tcW w:w="1165"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right"/>
              <w:rPr>
                <w:rFonts w:ascii="Times New Roman" w:hAnsi="Times New Roman"/>
                <w:sz w:val="20"/>
              </w:rPr>
            </w:pPr>
            <w:bookmarkStart w:id="457" w:name="TAB240"/>
            <w:bookmarkStart w:id="458" w:name="TAB1299"/>
            <w:bookmarkEnd w:id="457"/>
            <w:bookmarkEnd w:id="458"/>
            <w:r>
              <w:rPr>
                <w:rFonts w:ascii="Times New Roman" w:hAnsi="Times New Roman"/>
                <w:sz w:val="20"/>
              </w:rPr>
              <w:t>16,396</w:t>
            </w:r>
          </w:p>
        </w:tc>
        <w:tc>
          <w:tcPr>
            <w:tcW w:w="196"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128"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left"/>
              <w:rPr>
                <w:rFonts w:ascii="Times New Roman" w:hAnsi="Times New Roman"/>
                <w:sz w:val="20"/>
              </w:rPr>
            </w:pPr>
            <w:bookmarkStart w:id="459" w:name="TAB1300"/>
            <w:bookmarkEnd w:id="459"/>
            <w:r>
              <w:rPr>
                <w:rFonts w:ascii="Times New Roman" w:hAnsi="Times New Roman"/>
                <w:sz w:val="20"/>
              </w:rPr>
              <w:t>$</w:t>
            </w:r>
            <w:bookmarkStart w:id="460" w:name="TAB241"/>
            <w:bookmarkEnd w:id="460"/>
          </w:p>
        </w:tc>
        <w:tc>
          <w:tcPr>
            <w:tcW w:w="1165"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right"/>
              <w:rPr>
                <w:rFonts w:ascii="Times New Roman" w:hAnsi="Times New Roman"/>
                <w:sz w:val="20"/>
              </w:rPr>
            </w:pPr>
            <w:bookmarkStart w:id="461" w:name="TAB242"/>
            <w:bookmarkStart w:id="462" w:name="TAB1301"/>
            <w:bookmarkEnd w:id="461"/>
            <w:bookmarkEnd w:id="462"/>
            <w:r>
              <w:rPr>
                <w:rFonts w:ascii="Times New Roman" w:hAnsi="Times New Roman"/>
                <w:sz w:val="20"/>
              </w:rPr>
              <w:t>15,237</w:t>
            </w:r>
          </w:p>
        </w:tc>
        <w:tc>
          <w:tcPr>
            <w:tcW w:w="113" w:type="dxa"/>
            <w:tcBorders>
              <w:bottom w:val="single" w:sz="4" w:space="0" w:color="FFFFFF"/>
            </w:tcBorders>
            <w:shd w:fill="FFFFFF" w:val="clear"/>
            <w:tcMar>
              <w:bottom w:w="28" w:type="dxa"/>
            </w:tcM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Inventories are valued at the lower of cost (first-in, first-out) or market. Inventory costs include the cost of raw materials, packaging supplies, labor and other overhead costs. We perform a quarterly review of our inventory items to determine if an obsolescence reserve adjustment is necessary. The review surveys all of our operating facilities and sales groups to ensure that both historical issues and new market trends are considered. The allowance not only considers specific items, but also takes into consideration the overall value of the inventory as of the balance sheet date. The inventory obsolescence reserve values at January 31, 2008 and July 31, 2007 were $183,000 and $199,000, respectively. </w:t>
      </w:r>
    </w:p>
    <w:p>
      <w:pPr>
        <w:pStyle w:val="TextBody"/>
        <w:spacing w:lineRule="auto" w:line="300" w:before="0" w:after="0"/>
        <w:ind w:left="0" w:right="0" w:hanging="0"/>
        <w:jc w:val="both"/>
        <w:rPr/>
      </w:pPr>
      <w:r>
        <w:rPr/>
      </w:r>
    </w:p>
    <w:p>
      <w:pPr>
        <w:pStyle w:val="TextBody"/>
        <w:spacing w:lineRule="auto" w:line="300" w:before="0" w:after="0"/>
        <w:ind w:left="0" w:right="0" w:hanging="0"/>
        <w:jc w:val="left"/>
        <w:rPr/>
      </w:pPr>
      <w:r>
        <w:rPr>
          <w:rFonts w:ascii="Times New Roman" w:hAnsi="Times New Roman"/>
          <w:sz w:val="20"/>
        </w:rPr>
        <w:t>3.</w:t>
      </w:r>
      <w:bookmarkStart w:id="463" w:name="TAB243"/>
      <w:bookmarkEnd w:id="463"/>
      <w:r>
        <w:rPr>
          <w:color w:val="000000"/>
          <w:spacing w:val="540"/>
        </w:rPr>
        <w:t> </w:t>
      </w:r>
      <w:r>
        <w:rPr>
          <w:rStyle w:val="StrongEmphasis"/>
          <w:rFonts w:ascii="Times New Roman" w:hAnsi="Times New Roman"/>
          <w:sz w:val="20"/>
        </w:rPr>
        <w:t>PENSION AND OTHER POST RETIREMENT BENEFITS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components of net periodic pension benefits cost of our sponsored defined benefit plans were as follows:</w:t>
      </w:r>
    </w:p>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464" w:name="ftable8"/>
      <w:bookmarkStart w:id="465" w:name="ftable8"/>
      <w:bookmarkEnd w:id="465"/>
    </w:p>
    <w:tbl>
      <w:tblPr>
        <w:tblW w:w="5000" w:type="pct"/>
        <w:jc w:val="left"/>
        <w:tblInd w:w="0" w:type="dxa"/>
        <w:tblCellMar>
          <w:top w:w="0" w:type="dxa"/>
          <w:left w:w="0" w:type="dxa"/>
          <w:bottom w:w="0" w:type="dxa"/>
          <w:right w:w="0" w:type="dxa"/>
        </w:tblCellMar>
      </w:tblPr>
      <w:tblGrid>
        <w:gridCol w:w="3982"/>
        <w:gridCol w:w="191"/>
        <w:gridCol w:w="193"/>
        <w:gridCol w:w="1128"/>
        <w:gridCol w:w="203"/>
        <w:gridCol w:w="193"/>
        <w:gridCol w:w="1128"/>
        <w:gridCol w:w="203"/>
        <w:gridCol w:w="179"/>
        <w:gridCol w:w="1141"/>
        <w:gridCol w:w="203"/>
        <w:gridCol w:w="178"/>
        <w:gridCol w:w="1141"/>
        <w:gridCol w:w="142"/>
      </w:tblGrid>
      <w:tr>
        <w:trPr/>
        <w:tc>
          <w:tcPr>
            <w:tcW w:w="3982" w:type="dxa"/>
            <w:tcBorders/>
            <w:shd w:fill="auto" w:val="clear"/>
            <w:vAlign w:val="bottom"/>
          </w:tcPr>
          <w:p>
            <w:pPr>
              <w:pStyle w:val="TableContents"/>
              <w:spacing w:before="0" w:after="283"/>
              <w:jc w:val="left"/>
              <w:rPr/>
            </w:pPr>
            <w:r>
              <w:rPr/>
              <w:t> </w:t>
            </w:r>
          </w:p>
        </w:tc>
        <w:tc>
          <w:tcPr>
            <w:tcW w:w="191" w:type="dxa"/>
            <w:tcBorders/>
            <w:shd w:fill="auto" w:val="clear"/>
            <w:vAlign w:val="center"/>
          </w:tcPr>
          <w:p>
            <w:pPr>
              <w:pStyle w:val="TableContents"/>
              <w:spacing w:before="0" w:after="283"/>
              <w:rPr/>
            </w:pPr>
            <w:r>
              <w:rPr/>
              <w:t> </w:t>
            </w:r>
          </w:p>
        </w:tc>
        <w:tc>
          <w:tcPr>
            <w:tcW w:w="5890" w:type="dxa"/>
            <w:gridSpan w:val="11"/>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PENSION PLANS</w:t>
            </w:r>
          </w:p>
        </w:tc>
        <w:tc>
          <w:tcPr>
            <w:tcW w:w="142" w:type="dxa"/>
            <w:tcBorders/>
            <w:shd w:fill="auto" w:val="clear"/>
            <w:vAlign w:val="bottom"/>
          </w:tcPr>
          <w:p>
            <w:pPr>
              <w:pStyle w:val="TableContents"/>
              <w:spacing w:before="0" w:after="283"/>
              <w:jc w:val="left"/>
              <w:rPr/>
            </w:pPr>
            <w:r>
              <w:rPr/>
              <w:t> </w:t>
            </w:r>
          </w:p>
        </w:tc>
      </w:tr>
      <w:tr>
        <w:trPr/>
        <w:tc>
          <w:tcPr>
            <w:tcW w:w="3982" w:type="dxa"/>
            <w:tcBorders/>
            <w:shd w:fill="auto" w:val="clear"/>
            <w:vAlign w:val="bottom"/>
          </w:tcPr>
          <w:p>
            <w:pPr>
              <w:pStyle w:val="TableContents"/>
              <w:spacing w:before="0" w:after="283"/>
              <w:jc w:val="left"/>
              <w:rPr/>
            </w:pPr>
            <w:r>
              <w:rPr/>
              <w:t> </w:t>
            </w:r>
          </w:p>
        </w:tc>
        <w:tc>
          <w:tcPr>
            <w:tcW w:w="191" w:type="dxa"/>
            <w:tcBorders/>
            <w:shd w:fill="auto" w:val="clear"/>
            <w:vAlign w:val="center"/>
          </w:tcPr>
          <w:p>
            <w:pPr>
              <w:pStyle w:val="TableContents"/>
              <w:spacing w:before="0" w:after="283"/>
              <w:rPr/>
            </w:pPr>
            <w:r>
              <w:rPr/>
              <w:t> </w:t>
            </w:r>
          </w:p>
        </w:tc>
        <w:tc>
          <w:tcPr>
            <w:tcW w:w="2845" w:type="dxa"/>
            <w:gridSpan w:val="5"/>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Three Months Ended</w:t>
            </w:r>
          </w:p>
        </w:tc>
        <w:tc>
          <w:tcPr>
            <w:tcW w:w="203" w:type="dxa"/>
            <w:tcBorders/>
            <w:shd w:fill="auto" w:val="clear"/>
            <w:vAlign w:val="bottom"/>
          </w:tcPr>
          <w:p>
            <w:pPr>
              <w:pStyle w:val="TableContents"/>
              <w:spacing w:before="0" w:after="283"/>
              <w:jc w:val="left"/>
              <w:rPr/>
            </w:pPr>
            <w:r>
              <w:rPr/>
              <w:t> </w:t>
            </w:r>
          </w:p>
        </w:tc>
        <w:tc>
          <w:tcPr>
            <w:tcW w:w="2842" w:type="dxa"/>
            <w:gridSpan w:val="5"/>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Six Months Ended</w:t>
            </w:r>
          </w:p>
        </w:tc>
        <w:tc>
          <w:tcPr>
            <w:tcW w:w="142" w:type="dxa"/>
            <w:tcBorders/>
            <w:shd w:fill="auto" w:val="clear"/>
            <w:vAlign w:val="bottom"/>
          </w:tcPr>
          <w:p>
            <w:pPr>
              <w:pStyle w:val="TableContents"/>
              <w:spacing w:before="0" w:after="283"/>
              <w:jc w:val="left"/>
              <w:rPr/>
            </w:pPr>
            <w:r>
              <w:rPr/>
              <w:t> </w:t>
            </w:r>
          </w:p>
        </w:tc>
      </w:tr>
      <w:tr>
        <w:trPr/>
        <w:tc>
          <w:tcPr>
            <w:tcW w:w="3982" w:type="dxa"/>
            <w:tcBorders/>
            <w:shd w:fill="auto" w:val="clear"/>
            <w:vAlign w:val="bottom"/>
          </w:tcPr>
          <w:p>
            <w:pPr>
              <w:pStyle w:val="TableContents"/>
              <w:spacing w:before="0" w:after="283"/>
              <w:jc w:val="left"/>
              <w:rPr/>
            </w:pPr>
            <w:r>
              <w:rPr/>
              <w:t> </w:t>
            </w:r>
          </w:p>
        </w:tc>
        <w:tc>
          <w:tcPr>
            <w:tcW w:w="191" w:type="dxa"/>
            <w:tcBorders/>
            <w:shd w:fill="auto" w:val="clear"/>
            <w:vAlign w:val="center"/>
          </w:tcPr>
          <w:p>
            <w:pPr>
              <w:pStyle w:val="TableContents"/>
              <w:spacing w:before="0" w:after="283"/>
              <w:rPr/>
            </w:pPr>
            <w:r>
              <w:rPr/>
              <w:t> </w:t>
            </w:r>
          </w:p>
        </w:tc>
        <w:tc>
          <w:tcPr>
            <w:tcW w:w="1321" w:type="dxa"/>
            <w:gridSpan w:val="2"/>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January 31,</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2008</w:t>
            </w:r>
          </w:p>
        </w:tc>
        <w:tc>
          <w:tcPr>
            <w:tcW w:w="203" w:type="dxa"/>
            <w:tcBorders/>
            <w:shd w:fill="auto" w:val="clear"/>
            <w:vAlign w:val="bottom"/>
          </w:tcPr>
          <w:p>
            <w:pPr>
              <w:pStyle w:val="TableContents"/>
              <w:spacing w:before="0" w:after="283"/>
              <w:jc w:val="left"/>
              <w:rPr/>
            </w:pPr>
            <w:r>
              <w:rPr/>
              <w:t> </w:t>
            </w:r>
          </w:p>
        </w:tc>
        <w:tc>
          <w:tcPr>
            <w:tcW w:w="1321" w:type="dxa"/>
            <w:gridSpan w:val="2"/>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January 31,</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2007</w:t>
            </w:r>
          </w:p>
        </w:tc>
        <w:tc>
          <w:tcPr>
            <w:tcW w:w="203" w:type="dxa"/>
            <w:tcBorders/>
            <w:shd w:fill="auto" w:val="clear"/>
            <w:vAlign w:val="bottom"/>
          </w:tcPr>
          <w:p>
            <w:pPr>
              <w:pStyle w:val="TableContents"/>
              <w:spacing w:before="0" w:after="283"/>
              <w:jc w:val="left"/>
              <w:rPr/>
            </w:pPr>
            <w:r>
              <w:rPr/>
              <w:t> </w:t>
            </w:r>
          </w:p>
        </w:tc>
        <w:tc>
          <w:tcPr>
            <w:tcW w:w="1320" w:type="dxa"/>
            <w:gridSpan w:val="2"/>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January 31,</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2008</w:t>
            </w:r>
          </w:p>
        </w:tc>
        <w:tc>
          <w:tcPr>
            <w:tcW w:w="203" w:type="dxa"/>
            <w:tcBorders/>
            <w:shd w:fill="auto" w:val="clear"/>
            <w:vAlign w:val="bottom"/>
          </w:tcPr>
          <w:p>
            <w:pPr>
              <w:pStyle w:val="TableContents"/>
              <w:spacing w:before="0" w:after="283"/>
              <w:jc w:val="left"/>
              <w:rPr/>
            </w:pPr>
            <w:r>
              <w:rPr/>
              <w:t> </w:t>
            </w:r>
          </w:p>
        </w:tc>
        <w:tc>
          <w:tcPr>
            <w:tcW w:w="1319" w:type="dxa"/>
            <w:gridSpan w:val="2"/>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January 31,</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2007</w:t>
            </w:r>
          </w:p>
        </w:tc>
        <w:tc>
          <w:tcPr>
            <w:tcW w:w="142" w:type="dxa"/>
            <w:tcBorders/>
            <w:shd w:fill="auto" w:val="clear"/>
            <w:vAlign w:val="bottom"/>
          </w:tcPr>
          <w:p>
            <w:pPr>
              <w:pStyle w:val="TableContents"/>
              <w:spacing w:before="0" w:after="283"/>
              <w:jc w:val="left"/>
              <w:rPr/>
            </w:pPr>
            <w:r>
              <w:rPr/>
              <w:t> </w:t>
            </w:r>
          </w:p>
        </w:tc>
      </w:tr>
      <w:tr>
        <w:trPr/>
        <w:tc>
          <w:tcPr>
            <w:tcW w:w="3982" w:type="dxa"/>
            <w:tcBorders/>
            <w:shd w:fill="auto" w:val="clear"/>
            <w:vAlign w:val="bottom"/>
          </w:tcPr>
          <w:p>
            <w:pPr>
              <w:pStyle w:val="TableContents"/>
              <w:spacing w:lineRule="auto" w:line="300" w:before="0" w:after="0"/>
              <w:ind w:left="0" w:right="0" w:hanging="0"/>
              <w:jc w:val="left"/>
              <w:rPr/>
            </w:pPr>
            <w:r>
              <w:rPr/>
              <w:t> </w:t>
            </w:r>
          </w:p>
        </w:tc>
        <w:tc>
          <w:tcPr>
            <w:tcW w:w="191" w:type="dxa"/>
            <w:tcBorders/>
            <w:shd w:fill="auto" w:val="clear"/>
            <w:vAlign w:val="center"/>
          </w:tcPr>
          <w:p>
            <w:pPr>
              <w:pStyle w:val="TableContents"/>
              <w:spacing w:before="0" w:after="283"/>
              <w:rPr/>
            </w:pPr>
            <w:r>
              <w:rPr/>
              <w:t> </w:t>
            </w:r>
          </w:p>
        </w:tc>
        <w:tc>
          <w:tcPr>
            <w:tcW w:w="2845" w:type="dxa"/>
            <w:gridSpan w:val="5"/>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(dollars in thousands)</w:t>
            </w:r>
          </w:p>
        </w:tc>
        <w:tc>
          <w:tcPr>
            <w:tcW w:w="203" w:type="dxa"/>
            <w:tcBorders/>
            <w:shd w:fill="auto" w:val="clear"/>
            <w:vAlign w:val="bottom"/>
          </w:tcPr>
          <w:p>
            <w:pPr>
              <w:pStyle w:val="TableContents"/>
              <w:spacing w:before="0" w:after="283"/>
              <w:jc w:val="left"/>
              <w:rPr/>
            </w:pPr>
            <w:r>
              <w:rPr/>
              <w:t> </w:t>
            </w:r>
          </w:p>
        </w:tc>
        <w:tc>
          <w:tcPr>
            <w:tcW w:w="2842" w:type="dxa"/>
            <w:gridSpan w:val="5"/>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(dollars in thousands)</w:t>
            </w:r>
          </w:p>
        </w:tc>
        <w:tc>
          <w:tcPr>
            <w:tcW w:w="142" w:type="dxa"/>
            <w:tcBorders/>
            <w:shd w:fill="auto" w:val="clear"/>
            <w:vAlign w:val="bottom"/>
          </w:tcPr>
          <w:p>
            <w:pPr>
              <w:pStyle w:val="TableContents"/>
              <w:spacing w:before="0" w:after="283"/>
              <w:jc w:val="left"/>
              <w:rPr/>
            </w:pPr>
            <w:r>
              <w:rPr/>
              <w:t> </w:t>
            </w:r>
          </w:p>
        </w:tc>
      </w:tr>
      <w:tr>
        <w:trPr/>
        <w:tc>
          <w:tcPr>
            <w:tcW w:w="3982" w:type="dxa"/>
            <w:tcBorders/>
            <w:shd w:fill="CCFFCC" w:val="clear"/>
            <w:vAlign w:val="bottom"/>
          </w:tcPr>
          <w:p>
            <w:pPr>
              <w:pStyle w:val="TableContents"/>
              <w:spacing w:lineRule="auto" w:line="300" w:before="0" w:after="0"/>
              <w:ind w:left="0" w:right="0" w:hanging="0"/>
              <w:jc w:val="left"/>
              <w:rPr/>
            </w:pPr>
            <w:r>
              <w:rPr>
                <w:rFonts w:ascii="Times New Roman" w:hAnsi="Times New Roman"/>
                <w:sz w:val="20"/>
              </w:rPr>
              <w:t>Components of net periodic pension benefit cost:</w:t>
            </w:r>
            <w:r>
              <w:rPr/>
              <w:t> </w:t>
            </w:r>
          </w:p>
        </w:tc>
        <w:tc>
          <w:tcPr>
            <w:tcW w:w="191" w:type="dxa"/>
            <w:tcBorders/>
            <w:shd w:fill="CCFFCC" w:val="clear"/>
            <w:vAlign w:val="center"/>
          </w:tcPr>
          <w:p>
            <w:pPr>
              <w:pStyle w:val="TableContents"/>
              <w:spacing w:before="0" w:after="283"/>
              <w:rPr/>
            </w:pPr>
            <w:r>
              <w:rPr/>
              <w:t> </w:t>
            </w:r>
          </w:p>
        </w:tc>
        <w:tc>
          <w:tcPr>
            <w:tcW w:w="2845" w:type="dxa"/>
            <w:gridSpan w:val="5"/>
            <w:tcBorders/>
            <w:shd w:fill="CCFFCC" w:val="clear"/>
            <w:vAlign w:val="bottom"/>
          </w:tcPr>
          <w:p>
            <w:pPr>
              <w:pStyle w:val="TableContents"/>
              <w:spacing w:before="0" w:after="283"/>
              <w:rPr/>
            </w:pPr>
            <w:r>
              <w:rPr/>
              <w:t> </w:t>
            </w:r>
          </w:p>
        </w:tc>
        <w:tc>
          <w:tcPr>
            <w:tcW w:w="203" w:type="dxa"/>
            <w:tcBorders/>
            <w:shd w:fill="CCFFCC" w:val="clear"/>
            <w:vAlign w:val="bottom"/>
          </w:tcPr>
          <w:p>
            <w:pPr>
              <w:pStyle w:val="TableContents"/>
              <w:spacing w:before="0" w:after="283"/>
              <w:jc w:val="left"/>
              <w:rPr/>
            </w:pPr>
            <w:r>
              <w:rPr/>
              <w:t> </w:t>
            </w:r>
          </w:p>
        </w:tc>
        <w:tc>
          <w:tcPr>
            <w:tcW w:w="2842" w:type="dxa"/>
            <w:gridSpan w:val="5"/>
            <w:tcBorders/>
            <w:shd w:fill="CCFFCC" w:val="clear"/>
            <w:vAlign w:val="bottom"/>
          </w:tcPr>
          <w:p>
            <w:pPr>
              <w:pStyle w:val="TableContents"/>
              <w:spacing w:before="0" w:after="283"/>
              <w:rPr/>
            </w:pPr>
            <w:r>
              <w:rPr/>
              <w:t> </w:t>
            </w:r>
          </w:p>
        </w:tc>
        <w:tc>
          <w:tcPr>
            <w:tcW w:w="142" w:type="dxa"/>
            <w:tcBorders/>
            <w:shd w:fill="CCFFCC" w:val="clear"/>
            <w:vAlign w:val="bottom"/>
          </w:tcPr>
          <w:p>
            <w:pPr>
              <w:pStyle w:val="TableContents"/>
              <w:spacing w:before="0" w:after="283"/>
              <w:jc w:val="left"/>
              <w:rPr/>
            </w:pPr>
            <w:r>
              <w:rPr/>
              <w:t> </w:t>
            </w:r>
          </w:p>
        </w:tc>
      </w:tr>
      <w:tr>
        <w:trPr/>
        <w:tc>
          <w:tcPr>
            <w:tcW w:w="3982" w:type="dxa"/>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Service cost</w:t>
            </w:r>
          </w:p>
        </w:tc>
        <w:tc>
          <w:tcPr>
            <w:tcW w:w="191" w:type="dxa"/>
            <w:tcBorders/>
            <w:shd w:fill="FFFFFF" w:val="clear"/>
            <w:vAlign w:val="center"/>
          </w:tcPr>
          <w:p>
            <w:pPr>
              <w:pStyle w:val="TableContents"/>
              <w:spacing w:before="0" w:after="283"/>
              <w:rPr/>
            </w:pPr>
            <w:r>
              <w:rPr/>
              <w:t> </w:t>
            </w:r>
          </w:p>
        </w:tc>
        <w:tc>
          <w:tcPr>
            <w:tcW w:w="193" w:type="dxa"/>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28" w:type="dxa"/>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212</w:t>
            </w:r>
          </w:p>
        </w:tc>
        <w:tc>
          <w:tcPr>
            <w:tcW w:w="203" w:type="dxa"/>
            <w:tcBorders/>
            <w:shd w:fill="FFFFFF" w:val="clear"/>
            <w:vAlign w:val="bottom"/>
          </w:tcPr>
          <w:p>
            <w:pPr>
              <w:pStyle w:val="TableContents"/>
              <w:spacing w:before="0" w:after="283"/>
              <w:jc w:val="left"/>
              <w:rPr/>
            </w:pPr>
            <w:r>
              <w:rPr/>
              <w:t> </w:t>
            </w:r>
          </w:p>
        </w:tc>
        <w:tc>
          <w:tcPr>
            <w:tcW w:w="193" w:type="dxa"/>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28" w:type="dxa"/>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198</w:t>
            </w:r>
          </w:p>
        </w:tc>
        <w:tc>
          <w:tcPr>
            <w:tcW w:w="203" w:type="dxa"/>
            <w:tcBorders/>
            <w:shd w:fill="FFFFFF" w:val="clear"/>
            <w:vAlign w:val="bottom"/>
          </w:tcPr>
          <w:p>
            <w:pPr>
              <w:pStyle w:val="TableContents"/>
              <w:spacing w:before="0" w:after="283"/>
              <w:jc w:val="left"/>
              <w:rPr/>
            </w:pPr>
            <w:r>
              <w:rPr/>
              <w:t> </w:t>
            </w:r>
          </w:p>
        </w:tc>
        <w:tc>
          <w:tcPr>
            <w:tcW w:w="179" w:type="dxa"/>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41" w:type="dxa"/>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424</w:t>
            </w:r>
          </w:p>
        </w:tc>
        <w:tc>
          <w:tcPr>
            <w:tcW w:w="203" w:type="dxa"/>
            <w:tcBorders/>
            <w:shd w:fill="FFFFFF" w:val="clear"/>
            <w:vAlign w:val="bottom"/>
          </w:tcPr>
          <w:p>
            <w:pPr>
              <w:pStyle w:val="TableContents"/>
              <w:spacing w:before="0" w:after="283"/>
              <w:jc w:val="left"/>
              <w:rPr/>
            </w:pPr>
            <w:r>
              <w:rPr/>
              <w:t> </w:t>
            </w:r>
          </w:p>
        </w:tc>
        <w:tc>
          <w:tcPr>
            <w:tcW w:w="178" w:type="dxa"/>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41" w:type="dxa"/>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405</w:t>
            </w:r>
          </w:p>
        </w:tc>
        <w:tc>
          <w:tcPr>
            <w:tcW w:w="142" w:type="dxa"/>
            <w:tcBorders/>
            <w:shd w:fill="FFFFFF" w:val="clear"/>
            <w:vAlign w:val="bottom"/>
          </w:tcPr>
          <w:p>
            <w:pPr>
              <w:pStyle w:val="TableContents"/>
              <w:spacing w:before="0" w:after="283"/>
              <w:jc w:val="left"/>
              <w:rPr/>
            </w:pPr>
            <w:r>
              <w:rPr/>
              <w:t> </w:t>
            </w:r>
          </w:p>
        </w:tc>
      </w:tr>
      <w:tr>
        <w:trPr/>
        <w:tc>
          <w:tcPr>
            <w:tcW w:w="3982" w:type="dxa"/>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Interest cost</w:t>
            </w:r>
          </w:p>
        </w:tc>
        <w:tc>
          <w:tcPr>
            <w:tcW w:w="191" w:type="dxa"/>
            <w:tcBorders/>
            <w:shd w:fill="CCFFCC" w:val="clear"/>
            <w:vAlign w:val="center"/>
          </w:tcPr>
          <w:p>
            <w:pPr>
              <w:pStyle w:val="TableContents"/>
              <w:spacing w:before="0" w:after="283"/>
              <w:rPr/>
            </w:pPr>
            <w:r>
              <w:rPr/>
              <w:t> </w:t>
            </w:r>
          </w:p>
        </w:tc>
        <w:tc>
          <w:tcPr>
            <w:tcW w:w="193" w:type="dxa"/>
            <w:tcBorders/>
            <w:shd w:fill="CCFFCC" w:val="clear"/>
            <w:vAlign w:val="bottom"/>
          </w:tcPr>
          <w:p>
            <w:pPr>
              <w:pStyle w:val="TableContents"/>
              <w:spacing w:before="0" w:after="283"/>
              <w:jc w:val="left"/>
              <w:rPr/>
            </w:pPr>
            <w:r>
              <w:rPr/>
              <w:t> </w:t>
            </w:r>
          </w:p>
        </w:tc>
        <w:tc>
          <w:tcPr>
            <w:tcW w:w="1128" w:type="dxa"/>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292</w:t>
            </w:r>
          </w:p>
        </w:tc>
        <w:tc>
          <w:tcPr>
            <w:tcW w:w="203" w:type="dxa"/>
            <w:tcBorders/>
            <w:shd w:fill="CCFFCC" w:val="clear"/>
            <w:vAlign w:val="bottom"/>
          </w:tcPr>
          <w:p>
            <w:pPr>
              <w:pStyle w:val="TableContents"/>
              <w:spacing w:before="0" w:after="283"/>
              <w:jc w:val="left"/>
              <w:rPr/>
            </w:pPr>
            <w:r>
              <w:rPr/>
              <w:t> </w:t>
            </w:r>
          </w:p>
        </w:tc>
        <w:tc>
          <w:tcPr>
            <w:tcW w:w="193" w:type="dxa"/>
            <w:tcBorders/>
            <w:shd w:fill="CCFFCC" w:val="clear"/>
            <w:vAlign w:val="bottom"/>
          </w:tcPr>
          <w:p>
            <w:pPr>
              <w:pStyle w:val="TableContents"/>
              <w:spacing w:before="0" w:after="283"/>
              <w:jc w:val="left"/>
              <w:rPr/>
            </w:pPr>
            <w:r>
              <w:rPr/>
              <w:t> </w:t>
            </w:r>
          </w:p>
        </w:tc>
        <w:tc>
          <w:tcPr>
            <w:tcW w:w="1128" w:type="dxa"/>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270</w:t>
            </w:r>
          </w:p>
        </w:tc>
        <w:tc>
          <w:tcPr>
            <w:tcW w:w="203" w:type="dxa"/>
            <w:tcBorders/>
            <w:shd w:fill="CCFFCC" w:val="clear"/>
            <w:vAlign w:val="bottom"/>
          </w:tcPr>
          <w:p>
            <w:pPr>
              <w:pStyle w:val="TableContents"/>
              <w:spacing w:before="0" w:after="283"/>
              <w:jc w:val="left"/>
              <w:rPr/>
            </w:pPr>
            <w:r>
              <w:rPr/>
              <w:t> </w:t>
            </w:r>
          </w:p>
        </w:tc>
        <w:tc>
          <w:tcPr>
            <w:tcW w:w="179" w:type="dxa"/>
            <w:tcBorders/>
            <w:shd w:fill="CCFFCC" w:val="clear"/>
            <w:vAlign w:val="bottom"/>
          </w:tcPr>
          <w:p>
            <w:pPr>
              <w:pStyle w:val="TableContents"/>
              <w:spacing w:before="0" w:after="283"/>
              <w:jc w:val="left"/>
              <w:rPr/>
            </w:pPr>
            <w:r>
              <w:rPr/>
              <w:t> </w:t>
            </w:r>
          </w:p>
        </w:tc>
        <w:tc>
          <w:tcPr>
            <w:tcW w:w="1141" w:type="dxa"/>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584</w:t>
            </w:r>
          </w:p>
        </w:tc>
        <w:tc>
          <w:tcPr>
            <w:tcW w:w="203" w:type="dxa"/>
            <w:tcBorders/>
            <w:shd w:fill="CCFFCC" w:val="clear"/>
            <w:vAlign w:val="bottom"/>
          </w:tcPr>
          <w:p>
            <w:pPr>
              <w:pStyle w:val="TableContents"/>
              <w:spacing w:before="0" w:after="283"/>
              <w:jc w:val="left"/>
              <w:rPr/>
            </w:pPr>
            <w:r>
              <w:rPr/>
              <w:t> </w:t>
            </w:r>
          </w:p>
        </w:tc>
        <w:tc>
          <w:tcPr>
            <w:tcW w:w="178" w:type="dxa"/>
            <w:tcBorders/>
            <w:shd w:fill="CCFFCC" w:val="clear"/>
            <w:vAlign w:val="bottom"/>
          </w:tcPr>
          <w:p>
            <w:pPr>
              <w:pStyle w:val="TableContents"/>
              <w:spacing w:before="0" w:after="283"/>
              <w:jc w:val="left"/>
              <w:rPr/>
            </w:pPr>
            <w:r>
              <w:rPr/>
              <w:t> </w:t>
            </w:r>
          </w:p>
        </w:tc>
        <w:tc>
          <w:tcPr>
            <w:tcW w:w="1141" w:type="dxa"/>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545</w:t>
            </w:r>
          </w:p>
        </w:tc>
        <w:tc>
          <w:tcPr>
            <w:tcW w:w="142" w:type="dxa"/>
            <w:tcBorders/>
            <w:shd w:fill="CCFFCC" w:val="clear"/>
            <w:vAlign w:val="bottom"/>
          </w:tcPr>
          <w:p>
            <w:pPr>
              <w:pStyle w:val="TableContents"/>
              <w:spacing w:before="0" w:after="283"/>
              <w:jc w:val="left"/>
              <w:rPr/>
            </w:pPr>
            <w:r>
              <w:rPr/>
              <w:t> </w:t>
            </w:r>
          </w:p>
        </w:tc>
      </w:tr>
      <w:tr>
        <w:trPr/>
        <w:tc>
          <w:tcPr>
            <w:tcW w:w="3982" w:type="dxa"/>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Expected return on plan assets</w:t>
            </w:r>
          </w:p>
        </w:tc>
        <w:tc>
          <w:tcPr>
            <w:tcW w:w="191" w:type="dxa"/>
            <w:tcBorders/>
            <w:shd w:fill="FFFFFF" w:val="clear"/>
            <w:vAlign w:val="center"/>
          </w:tcPr>
          <w:p>
            <w:pPr>
              <w:pStyle w:val="TableContents"/>
              <w:spacing w:before="0" w:after="283"/>
              <w:rPr/>
            </w:pPr>
            <w:r>
              <w:rPr/>
              <w:t> </w:t>
            </w:r>
          </w:p>
        </w:tc>
        <w:tc>
          <w:tcPr>
            <w:tcW w:w="193" w:type="dxa"/>
            <w:tcBorders/>
            <w:shd w:fill="FFFFFF" w:val="clear"/>
            <w:vAlign w:val="bottom"/>
          </w:tcPr>
          <w:p>
            <w:pPr>
              <w:pStyle w:val="TableContents"/>
              <w:spacing w:before="0" w:after="283"/>
              <w:jc w:val="left"/>
              <w:rPr/>
            </w:pPr>
            <w:r>
              <w:rPr/>
              <w:t> </w:t>
            </w:r>
          </w:p>
        </w:tc>
        <w:tc>
          <w:tcPr>
            <w:tcW w:w="1128" w:type="dxa"/>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(347</w:t>
            </w:r>
          </w:p>
        </w:tc>
        <w:tc>
          <w:tcPr>
            <w:tcW w:w="203" w:type="dxa"/>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93" w:type="dxa"/>
            <w:tcBorders/>
            <w:shd w:fill="FFFFFF" w:val="clear"/>
            <w:vAlign w:val="bottom"/>
          </w:tcPr>
          <w:p>
            <w:pPr>
              <w:pStyle w:val="TableContents"/>
              <w:spacing w:before="0" w:after="283"/>
              <w:jc w:val="left"/>
              <w:rPr/>
            </w:pPr>
            <w:r>
              <w:rPr/>
              <w:t> </w:t>
            </w:r>
          </w:p>
        </w:tc>
        <w:tc>
          <w:tcPr>
            <w:tcW w:w="1128" w:type="dxa"/>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(301</w:t>
            </w:r>
          </w:p>
        </w:tc>
        <w:tc>
          <w:tcPr>
            <w:tcW w:w="203" w:type="dxa"/>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79"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(694</w:t>
            </w:r>
          </w:p>
        </w:tc>
        <w:tc>
          <w:tcPr>
            <w:tcW w:w="203" w:type="dxa"/>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78"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(602</w:t>
            </w:r>
          </w:p>
        </w:tc>
        <w:tc>
          <w:tcPr>
            <w:tcW w:w="142" w:type="dxa"/>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3982" w:type="dxa"/>
            <w:tcBorders>
              <w:bottom w:val="single" w:sz="4" w:space="0" w:color="CCFFCC"/>
            </w:tcBorders>
            <w:shd w:fill="CCFFCC"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amortization</w:t>
            </w:r>
          </w:p>
        </w:tc>
        <w:tc>
          <w:tcPr>
            <w:tcW w:w="191" w:type="dxa"/>
            <w:tcBorders>
              <w:bottom w:val="single" w:sz="4" w:space="0" w:color="CCFFCC"/>
            </w:tcBorders>
            <w:shd w:fill="CCFFCC" w:val="clear"/>
            <w:tcMar>
              <w:bottom w:w="28" w:type="dxa"/>
            </w:tcMar>
            <w:vAlign w:val="center"/>
          </w:tcPr>
          <w:p>
            <w:pPr>
              <w:pStyle w:val="TableContents"/>
              <w:spacing w:before="0" w:after="283"/>
              <w:rPr/>
            </w:pPr>
            <w:r>
              <w:rPr/>
              <w:t> </w:t>
            </w:r>
          </w:p>
        </w:tc>
        <w:tc>
          <w:tcPr>
            <w:tcW w:w="193" w:type="dxa"/>
            <w:tcBorders>
              <w:bottom w:val="single" w:sz="2" w:space="0" w:color="000000"/>
            </w:tcBorders>
            <w:shd w:fill="CCFFCC" w:val="clear"/>
            <w:tcMar>
              <w:bottom w:w="28" w:type="dxa"/>
            </w:tcMar>
            <w:vAlign w:val="bottom"/>
          </w:tcPr>
          <w:p>
            <w:pPr>
              <w:pStyle w:val="TableContents"/>
              <w:spacing w:before="0" w:after="283"/>
              <w:jc w:val="left"/>
              <w:rPr/>
            </w:pPr>
            <w:r>
              <w:rPr/>
              <w:t> </w:t>
            </w:r>
          </w:p>
        </w:tc>
        <w:tc>
          <w:tcPr>
            <w:tcW w:w="1128" w:type="dxa"/>
            <w:tcBorders>
              <w:bottom w:val="single" w:sz="2" w:space="0" w:color="000000"/>
            </w:tcBorders>
            <w:shd w:fill="CCFFCC"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37</w:t>
            </w:r>
          </w:p>
        </w:tc>
        <w:tc>
          <w:tcPr>
            <w:tcW w:w="203" w:type="dxa"/>
            <w:tcBorders>
              <w:bottom w:val="single" w:sz="4" w:space="0" w:color="CCFFCC"/>
            </w:tcBorders>
            <w:shd w:fill="CCFFCC" w:val="clear"/>
            <w:tcMar>
              <w:bottom w:w="28" w:type="dxa"/>
            </w:tcMar>
            <w:vAlign w:val="bottom"/>
          </w:tcPr>
          <w:p>
            <w:pPr>
              <w:pStyle w:val="TableContents"/>
              <w:spacing w:before="0" w:after="283"/>
              <w:jc w:val="left"/>
              <w:rPr/>
            </w:pPr>
            <w:r>
              <w:rPr/>
              <w:t> </w:t>
            </w:r>
          </w:p>
        </w:tc>
        <w:tc>
          <w:tcPr>
            <w:tcW w:w="193" w:type="dxa"/>
            <w:tcBorders>
              <w:bottom w:val="single" w:sz="2" w:space="0" w:color="000000"/>
            </w:tcBorders>
            <w:shd w:fill="CCFFCC" w:val="clear"/>
            <w:tcMar>
              <w:bottom w:w="28" w:type="dxa"/>
            </w:tcMar>
            <w:vAlign w:val="bottom"/>
          </w:tcPr>
          <w:p>
            <w:pPr>
              <w:pStyle w:val="TableContents"/>
              <w:spacing w:before="0" w:after="283"/>
              <w:jc w:val="left"/>
              <w:rPr/>
            </w:pPr>
            <w:r>
              <w:rPr/>
              <w:t> </w:t>
            </w:r>
          </w:p>
        </w:tc>
        <w:tc>
          <w:tcPr>
            <w:tcW w:w="1128" w:type="dxa"/>
            <w:tcBorders>
              <w:bottom w:val="single" w:sz="2" w:space="0" w:color="000000"/>
            </w:tcBorders>
            <w:shd w:fill="CCFFCC"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w:t>
            </w:r>
          </w:p>
        </w:tc>
        <w:tc>
          <w:tcPr>
            <w:tcW w:w="203" w:type="dxa"/>
            <w:tcBorders>
              <w:bottom w:val="single" w:sz="4" w:space="0" w:color="CCFFCC"/>
            </w:tcBorders>
            <w:shd w:fill="CCFFCC" w:val="clear"/>
            <w:tcMar>
              <w:bottom w:w="28" w:type="dxa"/>
            </w:tcMar>
            <w:vAlign w:val="bottom"/>
          </w:tcPr>
          <w:p>
            <w:pPr>
              <w:pStyle w:val="TableContents"/>
              <w:spacing w:before="0" w:after="283"/>
              <w:jc w:val="left"/>
              <w:rPr/>
            </w:pPr>
            <w:r>
              <w:rPr/>
              <w:t> </w:t>
            </w:r>
          </w:p>
        </w:tc>
        <w:tc>
          <w:tcPr>
            <w:tcW w:w="179" w:type="dxa"/>
            <w:tcBorders>
              <w:bottom w:val="single" w:sz="2" w:space="0" w:color="000000"/>
            </w:tcBorders>
            <w:shd w:fill="CCFFCC" w:val="clear"/>
            <w:tcMar>
              <w:bottom w:w="28" w:type="dxa"/>
            </w:tcMar>
            <w:vAlign w:val="bottom"/>
          </w:tcPr>
          <w:p>
            <w:pPr>
              <w:pStyle w:val="TableContents"/>
              <w:spacing w:before="0" w:after="283"/>
              <w:jc w:val="left"/>
              <w:rPr/>
            </w:pPr>
            <w:r>
              <w:rPr/>
              <w:t> </w:t>
            </w:r>
          </w:p>
        </w:tc>
        <w:tc>
          <w:tcPr>
            <w:tcW w:w="1141" w:type="dxa"/>
            <w:tcBorders>
              <w:bottom w:val="single" w:sz="2" w:space="0" w:color="000000"/>
            </w:tcBorders>
            <w:shd w:fill="CCFFCC"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86</w:t>
            </w:r>
          </w:p>
        </w:tc>
        <w:tc>
          <w:tcPr>
            <w:tcW w:w="203" w:type="dxa"/>
            <w:tcBorders>
              <w:bottom w:val="single" w:sz="4" w:space="0" w:color="CCFFCC"/>
            </w:tcBorders>
            <w:shd w:fill="CCFFCC" w:val="clear"/>
            <w:tcMar>
              <w:bottom w:w="28" w:type="dxa"/>
            </w:tcMar>
            <w:vAlign w:val="bottom"/>
          </w:tcPr>
          <w:p>
            <w:pPr>
              <w:pStyle w:val="TableContents"/>
              <w:spacing w:before="0" w:after="283"/>
              <w:jc w:val="left"/>
              <w:rPr/>
            </w:pPr>
            <w:r>
              <w:rPr/>
              <w:t> </w:t>
            </w:r>
          </w:p>
        </w:tc>
        <w:tc>
          <w:tcPr>
            <w:tcW w:w="178" w:type="dxa"/>
            <w:tcBorders>
              <w:bottom w:val="single" w:sz="2" w:space="0" w:color="000000"/>
            </w:tcBorders>
            <w:shd w:fill="CCFFCC" w:val="clear"/>
            <w:tcMar>
              <w:bottom w:w="28" w:type="dxa"/>
            </w:tcMar>
            <w:vAlign w:val="bottom"/>
          </w:tcPr>
          <w:p>
            <w:pPr>
              <w:pStyle w:val="TableContents"/>
              <w:spacing w:before="0" w:after="283"/>
              <w:jc w:val="left"/>
              <w:rPr/>
            </w:pPr>
            <w:r>
              <w:rPr/>
              <w:t> </w:t>
            </w:r>
          </w:p>
        </w:tc>
        <w:tc>
          <w:tcPr>
            <w:tcW w:w="1141" w:type="dxa"/>
            <w:tcBorders>
              <w:bottom w:val="single" w:sz="2" w:space="0" w:color="000000"/>
            </w:tcBorders>
            <w:shd w:fill="CCFFCC"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w:t>
            </w:r>
          </w:p>
        </w:tc>
        <w:tc>
          <w:tcPr>
            <w:tcW w:w="142" w:type="dxa"/>
            <w:tcBorders>
              <w:bottom w:val="single" w:sz="4" w:space="0" w:color="CCFFCC"/>
            </w:tcBorders>
            <w:shd w:fill="CCFFCC" w:val="clear"/>
            <w:tcMar>
              <w:bottom w:w="28" w:type="dxa"/>
            </w:tcMar>
            <w:vAlign w:val="bottom"/>
          </w:tcPr>
          <w:p>
            <w:pPr>
              <w:pStyle w:val="TableContents"/>
              <w:spacing w:before="0" w:after="283"/>
              <w:jc w:val="left"/>
              <w:rPr/>
            </w:pPr>
            <w:r>
              <w:rPr/>
              <w:t> </w:t>
            </w:r>
          </w:p>
        </w:tc>
      </w:tr>
      <w:tr>
        <w:trPr/>
        <w:tc>
          <w:tcPr>
            <w:tcW w:w="3982"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191" w:type="dxa"/>
            <w:tcBorders>
              <w:bottom w:val="single" w:sz="4" w:space="0" w:color="FFFFFF"/>
            </w:tcBorders>
            <w:shd w:fill="FFFFFF" w:val="clear"/>
            <w:tcMar>
              <w:bottom w:w="28" w:type="dxa"/>
            </w:tcMar>
            <w:vAlign w:val="center"/>
          </w:tcPr>
          <w:p>
            <w:pPr>
              <w:pStyle w:val="TableContents"/>
              <w:spacing w:before="0" w:after="283"/>
              <w:rPr/>
            </w:pPr>
            <w:r>
              <w:rPr/>
              <w:t> </w:t>
            </w:r>
          </w:p>
        </w:tc>
        <w:tc>
          <w:tcPr>
            <w:tcW w:w="193"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28"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194</w:t>
            </w:r>
          </w:p>
        </w:tc>
        <w:tc>
          <w:tcPr>
            <w:tcW w:w="203"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193"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28"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173</w:t>
            </w:r>
          </w:p>
        </w:tc>
        <w:tc>
          <w:tcPr>
            <w:tcW w:w="203"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179"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41"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400</w:t>
            </w:r>
          </w:p>
        </w:tc>
        <w:tc>
          <w:tcPr>
            <w:tcW w:w="203"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178"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41"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360</w:t>
            </w:r>
          </w:p>
        </w:tc>
        <w:tc>
          <w:tcPr>
            <w:tcW w:w="142" w:type="dxa"/>
            <w:tcBorders>
              <w:bottom w:val="single" w:sz="4" w:space="0" w:color="FFFFFF"/>
            </w:tcBorders>
            <w:shd w:fill="FFFFFF" w:val="clear"/>
            <w:tcMar>
              <w:bottom w:w="28" w:type="dxa"/>
            </w:tcM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We have funded the plan based upon actuarially determined contributions that take into account the amount deductible for income tax purposes, the normal cost and the minimum contribution required and the maximum contribution allowed under the Employee Retirement Income Security Act of 1974, as amended. We did not make a contribution to our pension plan during the first six months of fiscal 2008. We intend to make a contribution to the pension plan during the current fiscal year equal to the annual actuarial determined cost. We currently estimate this amount to be approximately $830,000.</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components of the net periodic postretirement health benefit cost were as follows:</w:t>
      </w:r>
    </w:p>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66" w:name="ftable9"/>
      <w:bookmarkStart w:id="467" w:name="ftable9"/>
      <w:bookmarkEnd w:id="467"/>
    </w:p>
    <w:tbl>
      <w:tblPr>
        <w:tblW w:w="5000" w:type="pct"/>
        <w:jc w:val="left"/>
        <w:tblInd w:w="0" w:type="dxa"/>
        <w:tblCellMar>
          <w:top w:w="0" w:type="dxa"/>
          <w:left w:w="0" w:type="dxa"/>
          <w:bottom w:w="0" w:type="dxa"/>
          <w:right w:w="0" w:type="dxa"/>
        </w:tblCellMar>
      </w:tblPr>
      <w:tblGrid>
        <w:gridCol w:w="3949"/>
        <w:gridCol w:w="186"/>
        <w:gridCol w:w="294"/>
        <w:gridCol w:w="1046"/>
        <w:gridCol w:w="201"/>
        <w:gridCol w:w="294"/>
        <w:gridCol w:w="1046"/>
        <w:gridCol w:w="186"/>
        <w:gridCol w:w="294"/>
        <w:gridCol w:w="1046"/>
        <w:gridCol w:w="186"/>
        <w:gridCol w:w="294"/>
        <w:gridCol w:w="1046"/>
        <w:gridCol w:w="137"/>
      </w:tblGrid>
      <w:tr>
        <w:trPr/>
        <w:tc>
          <w:tcPr>
            <w:tcW w:w="3949" w:type="dxa"/>
            <w:tcBorders/>
            <w:shd w:fill="auto" w:val="clear"/>
            <w:vAlign w:val="bottom"/>
          </w:tcPr>
          <w:p>
            <w:pPr>
              <w:pStyle w:val="TableContents"/>
              <w:spacing w:before="0" w:after="283"/>
              <w:jc w:val="left"/>
              <w:rPr/>
            </w:pPr>
            <w:r>
              <w:rPr/>
              <w:t> </w:t>
            </w:r>
          </w:p>
        </w:tc>
        <w:tc>
          <w:tcPr>
            <w:tcW w:w="186" w:type="dxa"/>
            <w:tcBorders/>
            <w:shd w:fill="auto" w:val="clear"/>
            <w:vAlign w:val="center"/>
          </w:tcPr>
          <w:p>
            <w:pPr>
              <w:pStyle w:val="TableContents"/>
              <w:spacing w:before="0" w:after="283"/>
              <w:rPr/>
            </w:pPr>
            <w:r>
              <w:rPr/>
              <w:t> </w:t>
            </w:r>
          </w:p>
        </w:tc>
        <w:tc>
          <w:tcPr>
            <w:tcW w:w="5933" w:type="dxa"/>
            <w:gridSpan w:val="11"/>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POST RETIREMENT HEALTH BENEFITS</w:t>
            </w:r>
          </w:p>
        </w:tc>
        <w:tc>
          <w:tcPr>
            <w:tcW w:w="137" w:type="dxa"/>
            <w:tcBorders/>
            <w:shd w:fill="auto" w:val="clear"/>
            <w:vAlign w:val="bottom"/>
          </w:tcPr>
          <w:p>
            <w:pPr>
              <w:pStyle w:val="TableContents"/>
              <w:spacing w:before="0" w:after="283"/>
              <w:jc w:val="left"/>
              <w:rPr/>
            </w:pPr>
            <w:r>
              <w:rPr/>
              <w:t> </w:t>
            </w:r>
          </w:p>
        </w:tc>
      </w:tr>
      <w:tr>
        <w:trPr/>
        <w:tc>
          <w:tcPr>
            <w:tcW w:w="3949" w:type="dxa"/>
            <w:tcBorders/>
            <w:shd w:fill="auto" w:val="clear"/>
            <w:vAlign w:val="bottom"/>
          </w:tcPr>
          <w:p>
            <w:pPr>
              <w:pStyle w:val="TableContents"/>
              <w:spacing w:before="0" w:after="283"/>
              <w:jc w:val="left"/>
              <w:rPr/>
            </w:pPr>
            <w:r>
              <w:rPr/>
              <w:t> </w:t>
            </w:r>
          </w:p>
        </w:tc>
        <w:tc>
          <w:tcPr>
            <w:tcW w:w="186" w:type="dxa"/>
            <w:tcBorders/>
            <w:shd w:fill="auto" w:val="clear"/>
            <w:vAlign w:val="center"/>
          </w:tcPr>
          <w:p>
            <w:pPr>
              <w:pStyle w:val="TableContents"/>
              <w:spacing w:before="0" w:after="283"/>
              <w:rPr/>
            </w:pPr>
            <w:r>
              <w:rPr/>
              <w:t> </w:t>
            </w:r>
          </w:p>
        </w:tc>
        <w:tc>
          <w:tcPr>
            <w:tcW w:w="2881" w:type="dxa"/>
            <w:gridSpan w:val="5"/>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Three Months Ended</w:t>
            </w:r>
          </w:p>
        </w:tc>
        <w:tc>
          <w:tcPr>
            <w:tcW w:w="186" w:type="dxa"/>
            <w:tcBorders/>
            <w:shd w:fill="auto" w:val="clear"/>
            <w:vAlign w:val="bottom"/>
          </w:tcPr>
          <w:p>
            <w:pPr>
              <w:pStyle w:val="TableContents"/>
              <w:spacing w:before="0" w:after="283"/>
              <w:jc w:val="left"/>
              <w:rPr/>
            </w:pPr>
            <w:r>
              <w:rPr/>
              <w:t> </w:t>
            </w:r>
          </w:p>
        </w:tc>
        <w:tc>
          <w:tcPr>
            <w:tcW w:w="2866" w:type="dxa"/>
            <w:gridSpan w:val="5"/>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Six Months Ended</w:t>
            </w:r>
          </w:p>
        </w:tc>
        <w:tc>
          <w:tcPr>
            <w:tcW w:w="137" w:type="dxa"/>
            <w:tcBorders/>
            <w:shd w:fill="auto" w:val="clear"/>
            <w:vAlign w:val="bottom"/>
          </w:tcPr>
          <w:p>
            <w:pPr>
              <w:pStyle w:val="TableContents"/>
              <w:spacing w:before="0" w:after="283"/>
              <w:jc w:val="left"/>
              <w:rPr/>
            </w:pPr>
            <w:r>
              <w:rPr/>
              <w:t> </w:t>
            </w:r>
          </w:p>
        </w:tc>
      </w:tr>
      <w:tr>
        <w:trPr/>
        <w:tc>
          <w:tcPr>
            <w:tcW w:w="3949" w:type="dxa"/>
            <w:tcBorders/>
            <w:shd w:fill="auto" w:val="clear"/>
            <w:vAlign w:val="bottom"/>
          </w:tcPr>
          <w:p>
            <w:pPr>
              <w:pStyle w:val="TableContents"/>
              <w:spacing w:before="0" w:after="283"/>
              <w:jc w:val="left"/>
              <w:rPr/>
            </w:pPr>
            <w:r>
              <w:rPr/>
              <w:t> </w:t>
            </w:r>
          </w:p>
        </w:tc>
        <w:tc>
          <w:tcPr>
            <w:tcW w:w="186" w:type="dxa"/>
            <w:tcBorders/>
            <w:shd w:fill="auto" w:val="clear"/>
            <w:vAlign w:val="center"/>
          </w:tcPr>
          <w:p>
            <w:pPr>
              <w:pStyle w:val="TableContents"/>
              <w:spacing w:before="0" w:after="283"/>
              <w:rPr/>
            </w:pPr>
            <w:r>
              <w:rPr/>
              <w:t> </w:t>
            </w:r>
          </w:p>
        </w:tc>
        <w:tc>
          <w:tcPr>
            <w:tcW w:w="1340" w:type="dxa"/>
            <w:gridSpan w:val="2"/>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January 31,</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2008</w:t>
            </w:r>
          </w:p>
        </w:tc>
        <w:tc>
          <w:tcPr>
            <w:tcW w:w="201" w:type="dxa"/>
            <w:tcBorders/>
            <w:shd w:fill="auto" w:val="clear"/>
            <w:vAlign w:val="bottom"/>
          </w:tcPr>
          <w:p>
            <w:pPr>
              <w:pStyle w:val="TableContents"/>
              <w:spacing w:before="0" w:after="283"/>
              <w:jc w:val="left"/>
              <w:rPr/>
            </w:pPr>
            <w:r>
              <w:rPr/>
              <w:t> </w:t>
            </w:r>
          </w:p>
        </w:tc>
        <w:tc>
          <w:tcPr>
            <w:tcW w:w="1340" w:type="dxa"/>
            <w:gridSpan w:val="2"/>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January 31,</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2007</w:t>
            </w:r>
          </w:p>
        </w:tc>
        <w:tc>
          <w:tcPr>
            <w:tcW w:w="186" w:type="dxa"/>
            <w:tcBorders/>
            <w:shd w:fill="auto" w:val="clear"/>
            <w:vAlign w:val="bottom"/>
          </w:tcPr>
          <w:p>
            <w:pPr>
              <w:pStyle w:val="TableContents"/>
              <w:spacing w:before="0" w:after="283"/>
              <w:jc w:val="left"/>
              <w:rPr/>
            </w:pPr>
            <w:r>
              <w:rPr/>
              <w:t> </w:t>
            </w:r>
          </w:p>
        </w:tc>
        <w:tc>
          <w:tcPr>
            <w:tcW w:w="1340" w:type="dxa"/>
            <w:gridSpan w:val="2"/>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January 31,</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2008</w:t>
            </w:r>
          </w:p>
        </w:tc>
        <w:tc>
          <w:tcPr>
            <w:tcW w:w="186" w:type="dxa"/>
            <w:tcBorders/>
            <w:shd w:fill="auto" w:val="clear"/>
            <w:vAlign w:val="bottom"/>
          </w:tcPr>
          <w:p>
            <w:pPr>
              <w:pStyle w:val="TableContents"/>
              <w:spacing w:before="0" w:after="283"/>
              <w:jc w:val="left"/>
              <w:rPr/>
            </w:pPr>
            <w:r>
              <w:rPr/>
              <w:t> </w:t>
            </w:r>
          </w:p>
        </w:tc>
        <w:tc>
          <w:tcPr>
            <w:tcW w:w="1340" w:type="dxa"/>
            <w:gridSpan w:val="2"/>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January 31,</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2007</w:t>
            </w:r>
          </w:p>
        </w:tc>
        <w:tc>
          <w:tcPr>
            <w:tcW w:w="137" w:type="dxa"/>
            <w:tcBorders/>
            <w:shd w:fill="auto" w:val="clear"/>
            <w:vAlign w:val="bottom"/>
          </w:tcPr>
          <w:p>
            <w:pPr>
              <w:pStyle w:val="TableContents"/>
              <w:spacing w:before="0" w:after="283"/>
              <w:jc w:val="left"/>
              <w:rPr/>
            </w:pPr>
            <w:r>
              <w:rPr/>
              <w:t> </w:t>
            </w:r>
          </w:p>
        </w:tc>
      </w:tr>
      <w:tr>
        <w:trPr/>
        <w:tc>
          <w:tcPr>
            <w:tcW w:w="3949" w:type="dxa"/>
            <w:tcBorders/>
            <w:shd w:fill="auto" w:val="clear"/>
            <w:vAlign w:val="bottom"/>
          </w:tcPr>
          <w:p>
            <w:pPr>
              <w:pStyle w:val="TableContents"/>
              <w:spacing w:lineRule="auto" w:line="300" w:before="0" w:after="0"/>
              <w:ind w:left="0" w:right="0" w:hanging="0"/>
              <w:jc w:val="left"/>
              <w:rPr/>
            </w:pPr>
            <w:r>
              <w:rPr/>
              <w:t> </w:t>
            </w:r>
          </w:p>
        </w:tc>
        <w:tc>
          <w:tcPr>
            <w:tcW w:w="186" w:type="dxa"/>
            <w:tcBorders/>
            <w:shd w:fill="auto" w:val="clear"/>
            <w:vAlign w:val="center"/>
          </w:tcPr>
          <w:p>
            <w:pPr>
              <w:pStyle w:val="TableContents"/>
              <w:spacing w:before="0" w:after="283"/>
              <w:rPr/>
            </w:pPr>
            <w:r>
              <w:rPr/>
              <w:t> </w:t>
            </w:r>
          </w:p>
        </w:tc>
        <w:tc>
          <w:tcPr>
            <w:tcW w:w="2881" w:type="dxa"/>
            <w:gridSpan w:val="5"/>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(dollars in thousands)</w:t>
            </w:r>
          </w:p>
        </w:tc>
        <w:tc>
          <w:tcPr>
            <w:tcW w:w="186" w:type="dxa"/>
            <w:tcBorders/>
            <w:shd w:fill="auto" w:val="clear"/>
            <w:vAlign w:val="bottom"/>
          </w:tcPr>
          <w:p>
            <w:pPr>
              <w:pStyle w:val="TableContents"/>
              <w:spacing w:before="0" w:after="283"/>
              <w:jc w:val="left"/>
              <w:rPr/>
            </w:pPr>
            <w:r>
              <w:rPr/>
              <w:t> </w:t>
            </w:r>
          </w:p>
        </w:tc>
        <w:tc>
          <w:tcPr>
            <w:tcW w:w="2866" w:type="dxa"/>
            <w:gridSpan w:val="5"/>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(dollars in thousands)</w:t>
            </w:r>
          </w:p>
        </w:tc>
        <w:tc>
          <w:tcPr>
            <w:tcW w:w="137" w:type="dxa"/>
            <w:tcBorders/>
            <w:shd w:fill="auto" w:val="clear"/>
            <w:vAlign w:val="bottom"/>
          </w:tcPr>
          <w:p>
            <w:pPr>
              <w:pStyle w:val="TableContents"/>
              <w:spacing w:before="0" w:after="283"/>
              <w:jc w:val="left"/>
              <w:rPr/>
            </w:pPr>
            <w:r>
              <w:rPr/>
              <w:t> </w:t>
            </w:r>
          </w:p>
        </w:tc>
      </w:tr>
      <w:tr>
        <w:trPr/>
        <w:tc>
          <w:tcPr>
            <w:tcW w:w="3949" w:type="dxa"/>
            <w:tcBorders/>
            <w:shd w:fill="CCFFCC" w:val="clear"/>
            <w:vAlign w:val="bottom"/>
          </w:tcPr>
          <w:p>
            <w:pPr>
              <w:pStyle w:val="TableContents"/>
              <w:spacing w:lineRule="auto" w:line="300" w:before="0" w:after="0"/>
              <w:ind w:left="0" w:right="0" w:hanging="0"/>
              <w:jc w:val="left"/>
              <w:rPr/>
            </w:pPr>
            <w:r>
              <w:rPr>
                <w:rFonts w:ascii="Times New Roman" w:hAnsi="Times New Roman"/>
                <w:sz w:val="20"/>
              </w:rPr>
              <w:t>Components of net periodic postretirement benefit cost:</w:t>
            </w:r>
            <w:r>
              <w:rPr/>
              <w:t> </w:t>
            </w:r>
          </w:p>
        </w:tc>
        <w:tc>
          <w:tcPr>
            <w:tcW w:w="186" w:type="dxa"/>
            <w:tcBorders/>
            <w:shd w:fill="CCFFCC" w:val="clear"/>
            <w:vAlign w:val="center"/>
          </w:tcPr>
          <w:p>
            <w:pPr>
              <w:pStyle w:val="TableContents"/>
              <w:spacing w:before="0" w:after="283"/>
              <w:rPr/>
            </w:pPr>
            <w:r>
              <w:rPr/>
              <w:t> </w:t>
            </w:r>
          </w:p>
        </w:tc>
        <w:tc>
          <w:tcPr>
            <w:tcW w:w="294" w:type="dxa"/>
            <w:tcBorders/>
            <w:shd w:fill="CCFFCC" w:val="clear"/>
            <w:vAlign w:val="bottom"/>
          </w:tcPr>
          <w:p>
            <w:pPr>
              <w:pStyle w:val="TableContents"/>
              <w:spacing w:before="0" w:after="283"/>
              <w:jc w:val="left"/>
              <w:rPr/>
            </w:pPr>
            <w:r>
              <w:rPr/>
              <w:t> </w:t>
            </w:r>
          </w:p>
        </w:tc>
        <w:tc>
          <w:tcPr>
            <w:tcW w:w="1046" w:type="dxa"/>
            <w:tcBorders/>
            <w:shd w:fill="CCFFCC" w:val="clear"/>
            <w:vAlign w:val="bottom"/>
          </w:tcPr>
          <w:p>
            <w:pPr>
              <w:pStyle w:val="TableContents"/>
              <w:spacing w:before="0" w:after="283"/>
              <w:jc w:val="right"/>
              <w:rPr/>
            </w:pPr>
            <w:r>
              <w:rPr/>
              <w:t> </w:t>
            </w:r>
          </w:p>
        </w:tc>
        <w:tc>
          <w:tcPr>
            <w:tcW w:w="201" w:type="dxa"/>
            <w:tcBorders/>
            <w:shd w:fill="CCFFCC" w:val="clear"/>
            <w:vAlign w:val="bottom"/>
          </w:tcPr>
          <w:p>
            <w:pPr>
              <w:pStyle w:val="TableContents"/>
              <w:spacing w:before="0" w:after="283"/>
              <w:jc w:val="left"/>
              <w:rPr/>
            </w:pPr>
            <w:r>
              <w:rPr/>
              <w:t> </w:t>
            </w:r>
          </w:p>
        </w:tc>
        <w:tc>
          <w:tcPr>
            <w:tcW w:w="294" w:type="dxa"/>
            <w:tcBorders/>
            <w:shd w:fill="CCFFCC" w:val="clear"/>
            <w:vAlign w:val="bottom"/>
          </w:tcPr>
          <w:p>
            <w:pPr>
              <w:pStyle w:val="TableContents"/>
              <w:spacing w:before="0" w:after="283"/>
              <w:jc w:val="left"/>
              <w:rPr/>
            </w:pPr>
            <w:r>
              <w:rPr/>
              <w:t> </w:t>
            </w:r>
          </w:p>
        </w:tc>
        <w:tc>
          <w:tcPr>
            <w:tcW w:w="1046" w:type="dxa"/>
            <w:tcBorders/>
            <w:shd w:fill="CCFFCC" w:val="clear"/>
            <w:vAlign w:val="bottom"/>
          </w:tcPr>
          <w:p>
            <w:pPr>
              <w:pStyle w:val="TableContents"/>
              <w:spacing w:before="0" w:after="283"/>
              <w:jc w:val="right"/>
              <w:rPr/>
            </w:pPr>
            <w:r>
              <w:rPr/>
              <w:t> </w:t>
            </w:r>
          </w:p>
        </w:tc>
        <w:tc>
          <w:tcPr>
            <w:tcW w:w="186" w:type="dxa"/>
            <w:tcBorders/>
            <w:shd w:fill="CCFFCC" w:val="clear"/>
            <w:vAlign w:val="bottom"/>
          </w:tcPr>
          <w:p>
            <w:pPr>
              <w:pStyle w:val="TableContents"/>
              <w:spacing w:before="0" w:after="283"/>
              <w:jc w:val="left"/>
              <w:rPr/>
            </w:pPr>
            <w:r>
              <w:rPr/>
              <w:t> </w:t>
            </w:r>
          </w:p>
        </w:tc>
        <w:tc>
          <w:tcPr>
            <w:tcW w:w="294" w:type="dxa"/>
            <w:tcBorders/>
            <w:shd w:fill="CCFFCC" w:val="clear"/>
            <w:vAlign w:val="bottom"/>
          </w:tcPr>
          <w:p>
            <w:pPr>
              <w:pStyle w:val="TableContents"/>
              <w:spacing w:before="0" w:after="283"/>
              <w:jc w:val="left"/>
              <w:rPr/>
            </w:pPr>
            <w:r>
              <w:rPr/>
              <w:t> </w:t>
            </w:r>
          </w:p>
        </w:tc>
        <w:tc>
          <w:tcPr>
            <w:tcW w:w="1046" w:type="dxa"/>
            <w:tcBorders/>
            <w:shd w:fill="CCFFCC" w:val="clear"/>
            <w:vAlign w:val="bottom"/>
          </w:tcPr>
          <w:p>
            <w:pPr>
              <w:pStyle w:val="TableContents"/>
              <w:spacing w:before="0" w:after="283"/>
              <w:jc w:val="right"/>
              <w:rPr/>
            </w:pPr>
            <w:r>
              <w:rPr/>
              <w:t> </w:t>
            </w:r>
          </w:p>
        </w:tc>
        <w:tc>
          <w:tcPr>
            <w:tcW w:w="186" w:type="dxa"/>
            <w:tcBorders/>
            <w:shd w:fill="CCFFCC" w:val="clear"/>
            <w:vAlign w:val="bottom"/>
          </w:tcPr>
          <w:p>
            <w:pPr>
              <w:pStyle w:val="TableContents"/>
              <w:spacing w:before="0" w:after="283"/>
              <w:jc w:val="left"/>
              <w:rPr/>
            </w:pPr>
            <w:r>
              <w:rPr/>
              <w:t> </w:t>
            </w:r>
          </w:p>
        </w:tc>
        <w:tc>
          <w:tcPr>
            <w:tcW w:w="294" w:type="dxa"/>
            <w:tcBorders/>
            <w:shd w:fill="CCFFCC" w:val="clear"/>
            <w:vAlign w:val="bottom"/>
          </w:tcPr>
          <w:p>
            <w:pPr>
              <w:pStyle w:val="TableContents"/>
              <w:spacing w:before="0" w:after="283"/>
              <w:jc w:val="left"/>
              <w:rPr/>
            </w:pPr>
            <w:r>
              <w:rPr/>
              <w:t> </w:t>
            </w:r>
          </w:p>
        </w:tc>
        <w:tc>
          <w:tcPr>
            <w:tcW w:w="1046" w:type="dxa"/>
            <w:tcBorders/>
            <w:shd w:fill="CCFFCC" w:val="clear"/>
            <w:vAlign w:val="bottom"/>
          </w:tcPr>
          <w:p>
            <w:pPr>
              <w:pStyle w:val="TableContents"/>
              <w:spacing w:before="0" w:after="283"/>
              <w:jc w:val="right"/>
              <w:rPr/>
            </w:pPr>
            <w:r>
              <w:rPr/>
              <w:t> </w:t>
            </w:r>
          </w:p>
        </w:tc>
        <w:tc>
          <w:tcPr>
            <w:tcW w:w="137" w:type="dxa"/>
            <w:tcBorders/>
            <w:shd w:fill="CCFFCC" w:val="clear"/>
            <w:vAlign w:val="bottom"/>
          </w:tcPr>
          <w:p>
            <w:pPr>
              <w:pStyle w:val="TableContents"/>
              <w:spacing w:before="0" w:after="283"/>
              <w:jc w:val="left"/>
              <w:rPr/>
            </w:pPr>
            <w:r>
              <w:rPr/>
              <w:t> </w:t>
            </w:r>
          </w:p>
        </w:tc>
      </w:tr>
      <w:tr>
        <w:trPr/>
        <w:tc>
          <w:tcPr>
            <w:tcW w:w="3949" w:type="dxa"/>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Service cost</w:t>
            </w:r>
          </w:p>
        </w:tc>
        <w:tc>
          <w:tcPr>
            <w:tcW w:w="186" w:type="dxa"/>
            <w:tcBorders/>
            <w:shd w:fill="FFFFFF" w:val="clear"/>
            <w:vAlign w:val="center"/>
          </w:tcPr>
          <w:p>
            <w:pPr>
              <w:pStyle w:val="TableContents"/>
              <w:spacing w:before="0" w:after="283"/>
              <w:rPr/>
            </w:pPr>
            <w:r>
              <w:rPr/>
              <w:t> </w:t>
            </w:r>
          </w:p>
        </w:tc>
        <w:tc>
          <w:tcPr>
            <w:tcW w:w="294" w:type="dxa"/>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46" w:type="dxa"/>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17</w:t>
            </w:r>
          </w:p>
        </w:tc>
        <w:tc>
          <w:tcPr>
            <w:tcW w:w="201" w:type="dxa"/>
            <w:tcBorders/>
            <w:shd w:fill="FFFFFF" w:val="clear"/>
            <w:vAlign w:val="bottom"/>
          </w:tcPr>
          <w:p>
            <w:pPr>
              <w:pStyle w:val="TableContents"/>
              <w:spacing w:before="0" w:after="283"/>
              <w:jc w:val="left"/>
              <w:rPr/>
            </w:pPr>
            <w:r>
              <w:rPr/>
              <w:t> </w:t>
            </w:r>
          </w:p>
        </w:tc>
        <w:tc>
          <w:tcPr>
            <w:tcW w:w="294" w:type="dxa"/>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46" w:type="dxa"/>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w:t>
            </w:r>
          </w:p>
        </w:tc>
        <w:tc>
          <w:tcPr>
            <w:tcW w:w="186" w:type="dxa"/>
            <w:tcBorders/>
            <w:shd w:fill="FFFFFF" w:val="clear"/>
            <w:vAlign w:val="bottom"/>
          </w:tcPr>
          <w:p>
            <w:pPr>
              <w:pStyle w:val="TableContents"/>
              <w:spacing w:before="0" w:after="283"/>
              <w:jc w:val="left"/>
              <w:rPr/>
            </w:pPr>
            <w:r>
              <w:rPr/>
              <w:t> </w:t>
            </w:r>
          </w:p>
        </w:tc>
        <w:tc>
          <w:tcPr>
            <w:tcW w:w="294" w:type="dxa"/>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46" w:type="dxa"/>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34</w:t>
            </w:r>
          </w:p>
        </w:tc>
        <w:tc>
          <w:tcPr>
            <w:tcW w:w="186" w:type="dxa"/>
            <w:tcBorders/>
            <w:shd w:fill="FFFFFF" w:val="clear"/>
            <w:vAlign w:val="bottom"/>
          </w:tcPr>
          <w:p>
            <w:pPr>
              <w:pStyle w:val="TableContents"/>
              <w:spacing w:before="0" w:after="283"/>
              <w:jc w:val="left"/>
              <w:rPr/>
            </w:pPr>
            <w:r>
              <w:rPr/>
              <w:t> </w:t>
            </w:r>
          </w:p>
        </w:tc>
        <w:tc>
          <w:tcPr>
            <w:tcW w:w="294" w:type="dxa"/>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46" w:type="dxa"/>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32</w:t>
            </w:r>
          </w:p>
        </w:tc>
        <w:tc>
          <w:tcPr>
            <w:tcW w:w="137" w:type="dxa"/>
            <w:tcBorders/>
            <w:shd w:fill="FFFFFF" w:val="clear"/>
            <w:vAlign w:val="bottom"/>
          </w:tcPr>
          <w:p>
            <w:pPr>
              <w:pStyle w:val="TableContents"/>
              <w:spacing w:before="0" w:after="283"/>
              <w:jc w:val="left"/>
              <w:rPr/>
            </w:pPr>
            <w:r>
              <w:rPr/>
              <w:t> </w:t>
            </w:r>
          </w:p>
        </w:tc>
      </w:tr>
      <w:tr>
        <w:trPr/>
        <w:tc>
          <w:tcPr>
            <w:tcW w:w="3949" w:type="dxa"/>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Interest cost</w:t>
            </w:r>
          </w:p>
        </w:tc>
        <w:tc>
          <w:tcPr>
            <w:tcW w:w="186" w:type="dxa"/>
            <w:tcBorders/>
            <w:shd w:fill="CCFFCC" w:val="clear"/>
            <w:vAlign w:val="center"/>
          </w:tcPr>
          <w:p>
            <w:pPr>
              <w:pStyle w:val="TableContents"/>
              <w:spacing w:before="0" w:after="283"/>
              <w:rPr/>
            </w:pPr>
            <w:r>
              <w:rPr/>
              <w:t> </w:t>
            </w:r>
          </w:p>
        </w:tc>
        <w:tc>
          <w:tcPr>
            <w:tcW w:w="294" w:type="dxa"/>
            <w:tcBorders/>
            <w:shd w:fill="CCFFCC" w:val="clear"/>
            <w:vAlign w:val="bottom"/>
          </w:tcPr>
          <w:p>
            <w:pPr>
              <w:pStyle w:val="TableContents"/>
              <w:spacing w:before="0" w:after="283"/>
              <w:jc w:val="left"/>
              <w:rPr/>
            </w:pPr>
            <w:r>
              <w:rPr/>
              <w:t> </w:t>
            </w:r>
          </w:p>
        </w:tc>
        <w:tc>
          <w:tcPr>
            <w:tcW w:w="1046" w:type="dxa"/>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18</w:t>
            </w:r>
          </w:p>
        </w:tc>
        <w:tc>
          <w:tcPr>
            <w:tcW w:w="201" w:type="dxa"/>
            <w:tcBorders/>
            <w:shd w:fill="CCFFCC" w:val="clear"/>
            <w:vAlign w:val="bottom"/>
          </w:tcPr>
          <w:p>
            <w:pPr>
              <w:pStyle w:val="TableContents"/>
              <w:spacing w:before="0" w:after="283"/>
              <w:jc w:val="left"/>
              <w:rPr/>
            </w:pPr>
            <w:r>
              <w:rPr/>
              <w:t> </w:t>
            </w:r>
          </w:p>
        </w:tc>
        <w:tc>
          <w:tcPr>
            <w:tcW w:w="294" w:type="dxa"/>
            <w:tcBorders/>
            <w:shd w:fill="CCFFCC" w:val="clear"/>
            <w:vAlign w:val="bottom"/>
          </w:tcPr>
          <w:p>
            <w:pPr>
              <w:pStyle w:val="TableContents"/>
              <w:spacing w:before="0" w:after="283"/>
              <w:jc w:val="left"/>
              <w:rPr/>
            </w:pPr>
            <w:r>
              <w:rPr/>
              <w:t> </w:t>
            </w:r>
          </w:p>
        </w:tc>
        <w:tc>
          <w:tcPr>
            <w:tcW w:w="1046" w:type="dxa"/>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w:t>
            </w:r>
          </w:p>
        </w:tc>
        <w:tc>
          <w:tcPr>
            <w:tcW w:w="186" w:type="dxa"/>
            <w:tcBorders/>
            <w:shd w:fill="CCFFCC" w:val="clear"/>
            <w:vAlign w:val="bottom"/>
          </w:tcPr>
          <w:p>
            <w:pPr>
              <w:pStyle w:val="TableContents"/>
              <w:spacing w:before="0" w:after="283"/>
              <w:jc w:val="left"/>
              <w:rPr/>
            </w:pPr>
            <w:r>
              <w:rPr/>
              <w:t> </w:t>
            </w:r>
          </w:p>
        </w:tc>
        <w:tc>
          <w:tcPr>
            <w:tcW w:w="294" w:type="dxa"/>
            <w:tcBorders/>
            <w:shd w:fill="CCFFCC" w:val="clear"/>
            <w:vAlign w:val="bottom"/>
          </w:tcPr>
          <w:p>
            <w:pPr>
              <w:pStyle w:val="TableContents"/>
              <w:spacing w:before="0" w:after="283"/>
              <w:jc w:val="left"/>
              <w:rPr/>
            </w:pPr>
            <w:r>
              <w:rPr/>
              <w:t> </w:t>
            </w:r>
          </w:p>
        </w:tc>
        <w:tc>
          <w:tcPr>
            <w:tcW w:w="1046" w:type="dxa"/>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36</w:t>
            </w:r>
          </w:p>
        </w:tc>
        <w:tc>
          <w:tcPr>
            <w:tcW w:w="186" w:type="dxa"/>
            <w:tcBorders/>
            <w:shd w:fill="CCFFCC" w:val="clear"/>
            <w:vAlign w:val="bottom"/>
          </w:tcPr>
          <w:p>
            <w:pPr>
              <w:pStyle w:val="TableContents"/>
              <w:spacing w:before="0" w:after="283"/>
              <w:jc w:val="left"/>
              <w:rPr/>
            </w:pPr>
            <w:r>
              <w:rPr/>
              <w:t> </w:t>
            </w:r>
          </w:p>
        </w:tc>
        <w:tc>
          <w:tcPr>
            <w:tcW w:w="294" w:type="dxa"/>
            <w:tcBorders/>
            <w:shd w:fill="CCFFCC" w:val="clear"/>
            <w:vAlign w:val="bottom"/>
          </w:tcPr>
          <w:p>
            <w:pPr>
              <w:pStyle w:val="TableContents"/>
              <w:spacing w:before="0" w:after="283"/>
              <w:jc w:val="left"/>
              <w:rPr/>
            </w:pPr>
            <w:r>
              <w:rPr/>
              <w:t> </w:t>
            </w:r>
          </w:p>
        </w:tc>
        <w:tc>
          <w:tcPr>
            <w:tcW w:w="1046" w:type="dxa"/>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32</w:t>
            </w:r>
          </w:p>
        </w:tc>
        <w:tc>
          <w:tcPr>
            <w:tcW w:w="137" w:type="dxa"/>
            <w:tcBorders/>
            <w:shd w:fill="CCFFCC" w:val="clear"/>
            <w:vAlign w:val="bottom"/>
          </w:tcPr>
          <w:p>
            <w:pPr>
              <w:pStyle w:val="TableContents"/>
              <w:spacing w:before="0" w:after="283"/>
              <w:jc w:val="left"/>
              <w:rPr/>
            </w:pPr>
            <w:r>
              <w:rPr/>
              <w:t> </w:t>
            </w:r>
          </w:p>
        </w:tc>
      </w:tr>
      <w:tr>
        <w:trPr/>
        <w:tc>
          <w:tcPr>
            <w:tcW w:w="3949" w:type="dxa"/>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Amortization of net transition obligation</w:t>
            </w:r>
          </w:p>
        </w:tc>
        <w:tc>
          <w:tcPr>
            <w:tcW w:w="186" w:type="dxa"/>
            <w:tcBorders/>
            <w:shd w:fill="FFFFFF" w:val="clear"/>
            <w:vAlign w:val="center"/>
          </w:tcPr>
          <w:p>
            <w:pPr>
              <w:pStyle w:val="TableContents"/>
              <w:spacing w:before="0" w:after="283"/>
              <w:rPr/>
            </w:pPr>
            <w:r>
              <w:rPr/>
              <w:t> </w:t>
            </w:r>
          </w:p>
        </w:tc>
        <w:tc>
          <w:tcPr>
            <w:tcW w:w="294" w:type="dxa"/>
            <w:tcBorders/>
            <w:shd w:fill="FFFFFF" w:val="clear"/>
            <w:vAlign w:val="bottom"/>
          </w:tcPr>
          <w:p>
            <w:pPr>
              <w:pStyle w:val="TableContents"/>
              <w:spacing w:before="0" w:after="283"/>
              <w:jc w:val="left"/>
              <w:rPr/>
            </w:pPr>
            <w:r>
              <w:rPr/>
              <w:t> </w:t>
            </w:r>
          </w:p>
        </w:tc>
        <w:tc>
          <w:tcPr>
            <w:tcW w:w="1046" w:type="dxa"/>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w:t>
            </w:r>
          </w:p>
        </w:tc>
        <w:tc>
          <w:tcPr>
            <w:tcW w:w="201" w:type="dxa"/>
            <w:tcBorders/>
            <w:shd w:fill="FFFFFF" w:val="clear"/>
            <w:vAlign w:val="bottom"/>
          </w:tcPr>
          <w:p>
            <w:pPr>
              <w:pStyle w:val="TableContents"/>
              <w:spacing w:before="0" w:after="283"/>
              <w:jc w:val="left"/>
              <w:rPr/>
            </w:pPr>
            <w:r>
              <w:rPr/>
              <w:t> </w:t>
            </w:r>
          </w:p>
        </w:tc>
        <w:tc>
          <w:tcPr>
            <w:tcW w:w="294" w:type="dxa"/>
            <w:tcBorders/>
            <w:shd w:fill="FFFFFF" w:val="clear"/>
            <w:vAlign w:val="bottom"/>
          </w:tcPr>
          <w:p>
            <w:pPr>
              <w:pStyle w:val="TableContents"/>
              <w:spacing w:before="0" w:after="283"/>
              <w:jc w:val="left"/>
              <w:rPr/>
            </w:pPr>
            <w:r>
              <w:rPr/>
              <w:t> </w:t>
            </w:r>
          </w:p>
        </w:tc>
        <w:tc>
          <w:tcPr>
            <w:tcW w:w="1046" w:type="dxa"/>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w:t>
            </w:r>
          </w:p>
        </w:tc>
        <w:tc>
          <w:tcPr>
            <w:tcW w:w="186" w:type="dxa"/>
            <w:tcBorders/>
            <w:shd w:fill="FFFFFF" w:val="clear"/>
            <w:vAlign w:val="bottom"/>
          </w:tcPr>
          <w:p>
            <w:pPr>
              <w:pStyle w:val="TableContents"/>
              <w:spacing w:before="0" w:after="283"/>
              <w:jc w:val="left"/>
              <w:rPr/>
            </w:pPr>
            <w:r>
              <w:rPr/>
              <w:t> </w:t>
            </w:r>
          </w:p>
        </w:tc>
        <w:tc>
          <w:tcPr>
            <w:tcW w:w="294" w:type="dxa"/>
            <w:tcBorders/>
            <w:shd w:fill="FFFFFF" w:val="clear"/>
            <w:vAlign w:val="bottom"/>
          </w:tcPr>
          <w:p>
            <w:pPr>
              <w:pStyle w:val="TableContents"/>
              <w:spacing w:before="0" w:after="283"/>
              <w:jc w:val="left"/>
              <w:rPr/>
            </w:pPr>
            <w:r>
              <w:rPr/>
              <w:t> </w:t>
            </w:r>
          </w:p>
        </w:tc>
        <w:tc>
          <w:tcPr>
            <w:tcW w:w="1046" w:type="dxa"/>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w:t>
            </w:r>
          </w:p>
        </w:tc>
        <w:tc>
          <w:tcPr>
            <w:tcW w:w="186" w:type="dxa"/>
            <w:tcBorders/>
            <w:shd w:fill="FFFFFF" w:val="clear"/>
            <w:vAlign w:val="bottom"/>
          </w:tcPr>
          <w:p>
            <w:pPr>
              <w:pStyle w:val="TableContents"/>
              <w:spacing w:before="0" w:after="283"/>
              <w:jc w:val="left"/>
              <w:rPr/>
            </w:pPr>
            <w:r>
              <w:rPr/>
              <w:t> </w:t>
            </w:r>
          </w:p>
        </w:tc>
        <w:tc>
          <w:tcPr>
            <w:tcW w:w="294" w:type="dxa"/>
            <w:tcBorders/>
            <w:shd w:fill="FFFFFF" w:val="clear"/>
            <w:vAlign w:val="bottom"/>
          </w:tcPr>
          <w:p>
            <w:pPr>
              <w:pStyle w:val="TableContents"/>
              <w:spacing w:before="0" w:after="283"/>
              <w:jc w:val="left"/>
              <w:rPr/>
            </w:pPr>
            <w:r>
              <w:rPr/>
              <w:t> </w:t>
            </w:r>
          </w:p>
        </w:tc>
        <w:tc>
          <w:tcPr>
            <w:tcW w:w="1046" w:type="dxa"/>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w:t>
            </w:r>
          </w:p>
        </w:tc>
        <w:tc>
          <w:tcPr>
            <w:tcW w:w="137" w:type="dxa"/>
            <w:tcBorders/>
            <w:shd w:fill="FFFFFF" w:val="clear"/>
            <w:vAlign w:val="bottom"/>
          </w:tcPr>
          <w:p>
            <w:pPr>
              <w:pStyle w:val="TableContents"/>
              <w:spacing w:before="0" w:after="283"/>
              <w:jc w:val="left"/>
              <w:rPr/>
            </w:pPr>
            <w:r>
              <w:rPr/>
              <w:t> </w:t>
            </w:r>
          </w:p>
        </w:tc>
      </w:tr>
      <w:tr>
        <w:trPr/>
        <w:tc>
          <w:tcPr>
            <w:tcW w:w="3949" w:type="dxa"/>
            <w:tcBorders>
              <w:bottom w:val="single" w:sz="4" w:space="0" w:color="CCFFCC"/>
            </w:tcBorders>
            <w:shd w:fill="CCFFCC"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actuarial loss</w:t>
            </w:r>
          </w:p>
        </w:tc>
        <w:tc>
          <w:tcPr>
            <w:tcW w:w="186" w:type="dxa"/>
            <w:tcBorders>
              <w:bottom w:val="single" w:sz="4" w:space="0" w:color="CCFFCC"/>
            </w:tcBorders>
            <w:shd w:fill="CCFFCC" w:val="clear"/>
            <w:tcMar>
              <w:bottom w:w="28" w:type="dxa"/>
            </w:tcMar>
            <w:vAlign w:val="center"/>
          </w:tcPr>
          <w:p>
            <w:pPr>
              <w:pStyle w:val="TableContents"/>
              <w:spacing w:before="0" w:after="283"/>
              <w:rPr/>
            </w:pPr>
            <w:r>
              <w:rPr/>
              <w:t> </w:t>
            </w:r>
          </w:p>
        </w:tc>
        <w:tc>
          <w:tcPr>
            <w:tcW w:w="294" w:type="dxa"/>
            <w:tcBorders>
              <w:bottom w:val="single" w:sz="2" w:space="0" w:color="000000"/>
            </w:tcBorders>
            <w:shd w:fill="CCFFCC" w:val="clear"/>
            <w:tcMar>
              <w:bottom w:w="28" w:type="dxa"/>
            </w:tcMar>
            <w:vAlign w:val="bottom"/>
          </w:tcPr>
          <w:p>
            <w:pPr>
              <w:pStyle w:val="TableContents"/>
              <w:spacing w:before="0" w:after="283"/>
              <w:jc w:val="left"/>
              <w:rPr/>
            </w:pPr>
            <w:r>
              <w:rPr/>
              <w:t> </w:t>
            </w:r>
          </w:p>
        </w:tc>
        <w:tc>
          <w:tcPr>
            <w:tcW w:w="1046" w:type="dxa"/>
            <w:tcBorders>
              <w:bottom w:val="single" w:sz="2" w:space="0" w:color="000000"/>
            </w:tcBorders>
            <w:shd w:fill="CCFFCC"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w:t>
            </w:r>
          </w:p>
        </w:tc>
        <w:tc>
          <w:tcPr>
            <w:tcW w:w="201" w:type="dxa"/>
            <w:tcBorders>
              <w:bottom w:val="single" w:sz="4" w:space="0" w:color="CCFFCC"/>
            </w:tcBorders>
            <w:shd w:fill="CCFFCC"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294" w:type="dxa"/>
            <w:tcBorders>
              <w:bottom w:val="single" w:sz="2" w:space="0" w:color="000000"/>
            </w:tcBorders>
            <w:shd w:fill="CCFFCC" w:val="clear"/>
            <w:tcMar>
              <w:bottom w:w="28" w:type="dxa"/>
            </w:tcMar>
            <w:vAlign w:val="bottom"/>
          </w:tcPr>
          <w:p>
            <w:pPr>
              <w:pStyle w:val="TableContents"/>
              <w:spacing w:before="0" w:after="283"/>
              <w:jc w:val="left"/>
              <w:rPr/>
            </w:pPr>
            <w:r>
              <w:rPr/>
              <w:t> </w:t>
            </w:r>
          </w:p>
        </w:tc>
        <w:tc>
          <w:tcPr>
            <w:tcW w:w="1046" w:type="dxa"/>
            <w:tcBorders>
              <w:bottom w:val="single" w:sz="2" w:space="0" w:color="000000"/>
            </w:tcBorders>
            <w:shd w:fill="CCFFCC"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w:t>
            </w:r>
          </w:p>
        </w:tc>
        <w:tc>
          <w:tcPr>
            <w:tcW w:w="186" w:type="dxa"/>
            <w:tcBorders>
              <w:bottom w:val="single" w:sz="4" w:space="0" w:color="CCFFCC"/>
            </w:tcBorders>
            <w:shd w:fill="CCFFCC" w:val="clear"/>
            <w:tcMar>
              <w:bottom w:w="28" w:type="dxa"/>
            </w:tcMar>
            <w:vAlign w:val="bottom"/>
          </w:tcPr>
          <w:p>
            <w:pPr>
              <w:pStyle w:val="TableContents"/>
              <w:spacing w:before="0" w:after="283"/>
              <w:jc w:val="left"/>
              <w:rPr/>
            </w:pPr>
            <w:r>
              <w:rPr/>
              <w:t> </w:t>
            </w:r>
          </w:p>
        </w:tc>
        <w:tc>
          <w:tcPr>
            <w:tcW w:w="294" w:type="dxa"/>
            <w:tcBorders>
              <w:bottom w:val="single" w:sz="2" w:space="0" w:color="000000"/>
            </w:tcBorders>
            <w:shd w:fill="CCFFCC" w:val="clear"/>
            <w:tcMar>
              <w:bottom w:w="28" w:type="dxa"/>
            </w:tcMar>
            <w:vAlign w:val="bottom"/>
          </w:tcPr>
          <w:p>
            <w:pPr>
              <w:pStyle w:val="TableContents"/>
              <w:spacing w:before="0" w:after="283"/>
              <w:jc w:val="left"/>
              <w:rPr/>
            </w:pPr>
            <w:r>
              <w:rPr/>
              <w:t> </w:t>
            </w:r>
          </w:p>
        </w:tc>
        <w:tc>
          <w:tcPr>
            <w:tcW w:w="1046" w:type="dxa"/>
            <w:tcBorders>
              <w:bottom w:val="single" w:sz="2" w:space="0" w:color="000000"/>
            </w:tcBorders>
            <w:shd w:fill="CCFFCC"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w:t>
            </w:r>
          </w:p>
        </w:tc>
        <w:tc>
          <w:tcPr>
            <w:tcW w:w="186" w:type="dxa"/>
            <w:tcBorders>
              <w:bottom w:val="single" w:sz="4" w:space="0" w:color="CCFFCC"/>
            </w:tcBorders>
            <w:shd w:fill="CCFFCC" w:val="clear"/>
            <w:tcMar>
              <w:bottom w:w="28" w:type="dxa"/>
            </w:tcMar>
            <w:vAlign w:val="bottom"/>
          </w:tcPr>
          <w:p>
            <w:pPr>
              <w:pStyle w:val="TableContents"/>
              <w:spacing w:before="0" w:after="283"/>
              <w:jc w:val="left"/>
              <w:rPr/>
            </w:pPr>
            <w:r>
              <w:rPr/>
              <w:t> </w:t>
            </w:r>
          </w:p>
        </w:tc>
        <w:tc>
          <w:tcPr>
            <w:tcW w:w="294" w:type="dxa"/>
            <w:tcBorders>
              <w:bottom w:val="single" w:sz="2" w:space="0" w:color="000000"/>
            </w:tcBorders>
            <w:shd w:fill="CCFFCC" w:val="clear"/>
            <w:tcMar>
              <w:bottom w:w="28" w:type="dxa"/>
            </w:tcMar>
            <w:vAlign w:val="bottom"/>
          </w:tcPr>
          <w:p>
            <w:pPr>
              <w:pStyle w:val="TableContents"/>
              <w:spacing w:before="0" w:after="283"/>
              <w:jc w:val="left"/>
              <w:rPr/>
            </w:pPr>
            <w:r>
              <w:rPr/>
              <w:t> </w:t>
            </w:r>
          </w:p>
        </w:tc>
        <w:tc>
          <w:tcPr>
            <w:tcW w:w="1046" w:type="dxa"/>
            <w:tcBorders>
              <w:bottom w:val="single" w:sz="2" w:space="0" w:color="000000"/>
            </w:tcBorders>
            <w:shd w:fill="CCFFCC"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w:t>
            </w:r>
          </w:p>
        </w:tc>
        <w:tc>
          <w:tcPr>
            <w:tcW w:w="137" w:type="dxa"/>
            <w:tcBorders>
              <w:bottom w:val="single" w:sz="4" w:space="0" w:color="CCFFCC"/>
            </w:tcBorders>
            <w:shd w:fill="CCFFCC" w:val="clear"/>
            <w:tcMar>
              <w:bottom w:w="28" w:type="dxa"/>
            </w:tcMar>
            <w:vAlign w:val="bottom"/>
          </w:tcPr>
          <w:p>
            <w:pPr>
              <w:pStyle w:val="TableContents"/>
              <w:spacing w:before="0" w:after="283"/>
              <w:jc w:val="left"/>
              <w:rPr/>
            </w:pPr>
            <w:r>
              <w:rPr/>
              <w:t> </w:t>
            </w:r>
          </w:p>
        </w:tc>
      </w:tr>
      <w:tr>
        <w:trPr/>
        <w:tc>
          <w:tcPr>
            <w:tcW w:w="3949"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186" w:type="dxa"/>
            <w:tcBorders>
              <w:bottom w:val="single" w:sz="4" w:space="0" w:color="FFFFFF"/>
            </w:tcBorders>
            <w:shd w:fill="FFFFFF" w:val="clear"/>
            <w:tcMar>
              <w:bottom w:w="28" w:type="dxa"/>
            </w:tcMar>
            <w:vAlign w:val="center"/>
          </w:tcPr>
          <w:p>
            <w:pPr>
              <w:pStyle w:val="TableContents"/>
              <w:spacing w:before="0" w:after="283"/>
              <w:rPr/>
            </w:pPr>
            <w:r>
              <w:rPr/>
              <w:t> </w:t>
            </w:r>
          </w:p>
        </w:tc>
        <w:tc>
          <w:tcPr>
            <w:tcW w:w="294"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46"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38</w:t>
            </w:r>
          </w:p>
        </w:tc>
        <w:tc>
          <w:tcPr>
            <w:tcW w:w="201"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294"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46"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37</w:t>
            </w:r>
          </w:p>
        </w:tc>
        <w:tc>
          <w:tcPr>
            <w:tcW w:w="186"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294"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46"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84</w:t>
            </w:r>
          </w:p>
        </w:tc>
        <w:tc>
          <w:tcPr>
            <w:tcW w:w="186"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294"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46"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74</w:t>
            </w:r>
          </w:p>
        </w:tc>
        <w:tc>
          <w:tcPr>
            <w:tcW w:w="137" w:type="dxa"/>
            <w:tcBorders>
              <w:bottom w:val="single" w:sz="4" w:space="0" w:color="FFFFFF"/>
            </w:tcBorders>
            <w:shd w:fill="FFFFFF" w:val="clear"/>
            <w:tcMar>
              <w:bottom w:w="28" w:type="dxa"/>
            </w:tcM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Our plan covering postretirement health benefits is an unfunded plan.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8" w:name="PGBRK9"/>
      <w:bookmarkStart w:id="469" w:name="PGBRK9"/>
      <w:bookmarkEnd w:id="4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0" w:name="FTR9"/>
      <w:bookmarkStart w:id="471" w:name="FTR9"/>
      <w:bookmarkEnd w:id="4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2" w:name="GLFTR9"/>
      <w:bookmarkStart w:id="473" w:name="GLFTR9"/>
      <w:bookmarkEnd w:id="4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474" w:name="PN9"/>
      <w:bookmarkEnd w:id="474"/>
      <w:r>
        <w:rPr>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5" w:name="HDR9"/>
      <w:bookmarkStart w:id="476" w:name="HDR9"/>
      <w:bookmarkEnd w:id="4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7" w:name="GLHDR9"/>
      <w:bookmarkStart w:id="478" w:name="GLHDR9"/>
      <w:bookmarkEnd w:id="4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Assumptions used in the previous calculations are as follows:</w:t>
      </w:r>
    </w:p>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479" w:name="ftable10"/>
      <w:bookmarkStart w:id="480" w:name="ftable10"/>
      <w:bookmarkEnd w:id="480"/>
    </w:p>
    <w:tbl>
      <w:tblPr>
        <w:tblW w:w="5000" w:type="pct"/>
        <w:jc w:val="left"/>
        <w:tblInd w:w="0" w:type="dxa"/>
        <w:tblCellMar>
          <w:top w:w="0" w:type="dxa"/>
          <w:left w:w="0" w:type="dxa"/>
          <w:bottom w:w="28" w:type="dxa"/>
          <w:right w:w="0" w:type="dxa"/>
        </w:tblCellMar>
      </w:tblPr>
      <w:tblGrid>
        <w:gridCol w:w="3873"/>
        <w:gridCol w:w="183"/>
        <w:gridCol w:w="110"/>
        <w:gridCol w:w="1175"/>
        <w:gridCol w:w="262"/>
        <w:gridCol w:w="110"/>
        <w:gridCol w:w="1175"/>
        <w:gridCol w:w="262"/>
        <w:gridCol w:w="110"/>
        <w:gridCol w:w="1188"/>
        <w:gridCol w:w="262"/>
        <w:gridCol w:w="110"/>
        <w:gridCol w:w="1175"/>
        <w:gridCol w:w="210"/>
      </w:tblGrid>
      <w:tr>
        <w:trPr/>
        <w:tc>
          <w:tcPr>
            <w:tcW w:w="3873" w:type="dxa"/>
            <w:tcBorders>
              <w:bottom w:val="single" w:sz="4" w:space="0" w:color="FFFFFF"/>
            </w:tcBorders>
            <w:shd w:fill="auto" w:val="clear"/>
            <w:vAlign w:val="bottom"/>
          </w:tcPr>
          <w:p>
            <w:pPr>
              <w:pStyle w:val="TableContents"/>
              <w:spacing w:before="0" w:after="283"/>
              <w:jc w:val="left"/>
              <w:rPr/>
            </w:pPr>
            <w:r>
              <w:rPr/>
              <w:t> </w:t>
            </w:r>
          </w:p>
        </w:tc>
        <w:tc>
          <w:tcPr>
            <w:tcW w:w="183" w:type="dxa"/>
            <w:tcBorders>
              <w:bottom w:val="single" w:sz="4" w:space="0" w:color="FFFFFF"/>
            </w:tcBorders>
            <w:shd w:fill="auto" w:val="clear"/>
            <w:vAlign w:val="center"/>
          </w:tcPr>
          <w:p>
            <w:pPr>
              <w:pStyle w:val="TableContents"/>
              <w:spacing w:before="0" w:after="283"/>
              <w:rPr/>
            </w:pPr>
            <w:r>
              <w:rPr/>
              <w:t> </w:t>
            </w:r>
          </w:p>
        </w:tc>
        <w:tc>
          <w:tcPr>
            <w:tcW w:w="2832"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PENSION PLAN</w:t>
            </w:r>
          </w:p>
        </w:tc>
        <w:tc>
          <w:tcPr>
            <w:tcW w:w="262" w:type="dxa"/>
            <w:tcBorders>
              <w:bottom w:val="single" w:sz="4" w:space="0" w:color="FFFFFF"/>
            </w:tcBorders>
            <w:shd w:fill="auto" w:val="clear"/>
            <w:vAlign w:val="bottom"/>
          </w:tcPr>
          <w:p>
            <w:pPr>
              <w:pStyle w:val="TableContents"/>
              <w:spacing w:before="0" w:after="283"/>
              <w:jc w:val="left"/>
              <w:rPr/>
            </w:pPr>
            <w:r>
              <w:rPr/>
              <w:t> </w:t>
            </w:r>
          </w:p>
        </w:tc>
        <w:tc>
          <w:tcPr>
            <w:tcW w:w="2845"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POST RETIREMENT </w:t>
            </w:r>
          </w:p>
          <w:p>
            <w:pPr>
              <w:pStyle w:val="TableContents"/>
              <w:spacing w:lineRule="auto" w:line="300" w:before="0" w:after="0"/>
              <w:ind w:left="0" w:right="0" w:hanging="0"/>
              <w:jc w:val="center"/>
              <w:rPr/>
            </w:pPr>
            <w:r>
              <w:rPr>
                <w:rStyle w:val="StrongEmphasis"/>
                <w:rFonts w:ascii="Times New Roman" w:hAnsi="Times New Roman"/>
                <w:sz w:val="20"/>
              </w:rPr>
              <w:t>HEALTH BENEFITS</w:t>
            </w:r>
          </w:p>
        </w:tc>
        <w:tc>
          <w:tcPr>
            <w:tcW w:w="210" w:type="dxa"/>
            <w:tcBorders>
              <w:bottom w:val="single" w:sz="4" w:space="0" w:color="FFFFFF"/>
            </w:tcBorders>
            <w:shd w:fill="auto" w:val="clear"/>
            <w:vAlign w:val="bottom"/>
          </w:tcPr>
          <w:p>
            <w:pPr>
              <w:pStyle w:val="TableContents"/>
              <w:spacing w:before="0" w:after="283"/>
              <w:jc w:val="left"/>
              <w:rPr/>
            </w:pPr>
            <w:r>
              <w:rPr/>
              <w:t> </w:t>
            </w:r>
          </w:p>
        </w:tc>
      </w:tr>
      <w:tr>
        <w:trPr/>
        <w:tc>
          <w:tcPr>
            <w:tcW w:w="3873" w:type="dxa"/>
            <w:tcBorders/>
            <w:shd w:fill="auto" w:val="clear"/>
            <w:tcMar>
              <w:bottom w:w="0" w:type="dxa"/>
            </w:tcMar>
            <w:vAlign w:val="bottom"/>
          </w:tcPr>
          <w:p>
            <w:pPr>
              <w:pStyle w:val="TableContents"/>
              <w:spacing w:before="0" w:after="283"/>
              <w:jc w:val="left"/>
              <w:rPr/>
            </w:pPr>
            <w:r>
              <w:rPr/>
              <w:t> </w:t>
            </w:r>
          </w:p>
        </w:tc>
        <w:tc>
          <w:tcPr>
            <w:tcW w:w="183" w:type="dxa"/>
            <w:tcBorders/>
            <w:shd w:fill="auto" w:val="clear"/>
            <w:tcMar>
              <w:bottom w:w="0" w:type="dxa"/>
            </w:tcMar>
            <w:vAlign w:val="center"/>
          </w:tcPr>
          <w:p>
            <w:pPr>
              <w:pStyle w:val="TableContents"/>
              <w:spacing w:before="0" w:after="283"/>
              <w:rPr/>
            </w:pPr>
            <w:r>
              <w:rPr/>
              <w:t> </w:t>
            </w:r>
          </w:p>
        </w:tc>
        <w:tc>
          <w:tcPr>
            <w:tcW w:w="5939" w:type="dxa"/>
            <w:gridSpan w:val="11"/>
            <w:tcBorders/>
            <w:shd w:fill="auto"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For three and six months ended:</w:t>
            </w:r>
          </w:p>
        </w:tc>
        <w:tc>
          <w:tcPr>
            <w:tcW w:w="210" w:type="dxa"/>
            <w:tcBorders/>
            <w:shd w:fill="auto" w:val="clear"/>
            <w:tcMar>
              <w:bottom w:w="0" w:type="dxa"/>
            </w:tcMar>
            <w:vAlign w:val="bottom"/>
          </w:tcPr>
          <w:p>
            <w:pPr>
              <w:pStyle w:val="TableContents"/>
              <w:spacing w:before="0" w:after="283"/>
              <w:jc w:val="left"/>
              <w:rPr/>
            </w:pPr>
            <w:r>
              <w:rPr/>
              <w:t> </w:t>
            </w:r>
          </w:p>
        </w:tc>
      </w:tr>
      <w:tr>
        <w:trPr/>
        <w:tc>
          <w:tcPr>
            <w:tcW w:w="3873" w:type="dxa"/>
            <w:tcBorders>
              <w:bottom w:val="single" w:sz="4" w:space="0" w:color="FFFFFF"/>
            </w:tcBorders>
            <w:shd w:fill="auto" w:val="clear"/>
            <w:vAlign w:val="bottom"/>
          </w:tcPr>
          <w:p>
            <w:pPr>
              <w:pStyle w:val="TableContents"/>
              <w:spacing w:before="0" w:after="283"/>
              <w:jc w:val="left"/>
              <w:rPr/>
            </w:pPr>
            <w:r>
              <w:rPr/>
              <w:t> </w:t>
            </w:r>
          </w:p>
        </w:tc>
        <w:tc>
          <w:tcPr>
            <w:tcW w:w="183" w:type="dxa"/>
            <w:tcBorders>
              <w:bottom w:val="single" w:sz="4" w:space="0" w:color="FFFFFF"/>
            </w:tcBorders>
            <w:shd w:fill="auto" w:val="clear"/>
            <w:vAlign w:val="center"/>
          </w:tcPr>
          <w:p>
            <w:pPr>
              <w:pStyle w:val="TableContents"/>
              <w:spacing w:before="0" w:after="283"/>
              <w:rPr/>
            </w:pPr>
            <w:r>
              <w:rPr/>
              <w:t> </w:t>
            </w:r>
          </w:p>
        </w:tc>
        <w:tc>
          <w:tcPr>
            <w:tcW w:w="1285"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January 31,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2008</w:t>
            </w:r>
          </w:p>
        </w:tc>
        <w:tc>
          <w:tcPr>
            <w:tcW w:w="262" w:type="dxa"/>
            <w:tcBorders>
              <w:bottom w:val="single" w:sz="4" w:space="0" w:color="FFFFFF"/>
            </w:tcBorders>
            <w:shd w:fill="auto" w:val="clear"/>
            <w:vAlign w:val="bottom"/>
          </w:tcPr>
          <w:p>
            <w:pPr>
              <w:pStyle w:val="TableContents"/>
              <w:spacing w:before="0" w:after="283"/>
              <w:jc w:val="left"/>
              <w:rPr/>
            </w:pPr>
            <w:r>
              <w:rPr/>
              <w:t> </w:t>
            </w:r>
          </w:p>
        </w:tc>
        <w:tc>
          <w:tcPr>
            <w:tcW w:w="1285"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January 31,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2007</w:t>
            </w:r>
          </w:p>
        </w:tc>
        <w:tc>
          <w:tcPr>
            <w:tcW w:w="262" w:type="dxa"/>
            <w:tcBorders>
              <w:bottom w:val="single" w:sz="4" w:space="0" w:color="FFFFFF"/>
            </w:tcBorders>
            <w:shd w:fill="auto" w:val="clear"/>
            <w:vAlign w:val="bottom"/>
          </w:tcPr>
          <w:p>
            <w:pPr>
              <w:pStyle w:val="TableContents"/>
              <w:spacing w:before="0" w:after="283"/>
              <w:jc w:val="left"/>
              <w:rPr/>
            </w:pPr>
            <w:r>
              <w:rPr/>
              <w:t> </w:t>
            </w:r>
          </w:p>
        </w:tc>
        <w:tc>
          <w:tcPr>
            <w:tcW w:w="1298"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January 31,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2008</w:t>
            </w:r>
          </w:p>
        </w:tc>
        <w:tc>
          <w:tcPr>
            <w:tcW w:w="262" w:type="dxa"/>
            <w:tcBorders>
              <w:bottom w:val="single" w:sz="4" w:space="0" w:color="FFFFFF"/>
            </w:tcBorders>
            <w:shd w:fill="auto" w:val="clear"/>
            <w:vAlign w:val="bottom"/>
          </w:tcPr>
          <w:p>
            <w:pPr>
              <w:pStyle w:val="TableContents"/>
              <w:spacing w:before="0" w:after="283"/>
              <w:jc w:val="left"/>
              <w:rPr/>
            </w:pPr>
            <w:r>
              <w:rPr/>
              <w:t> </w:t>
            </w:r>
          </w:p>
        </w:tc>
        <w:tc>
          <w:tcPr>
            <w:tcW w:w="1285"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January 31,</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2007</w:t>
            </w:r>
          </w:p>
        </w:tc>
        <w:tc>
          <w:tcPr>
            <w:tcW w:w="210" w:type="dxa"/>
            <w:tcBorders>
              <w:bottom w:val="single" w:sz="4" w:space="0" w:color="FFFFFF"/>
            </w:tcBorders>
            <w:shd w:fill="auto" w:val="clear"/>
            <w:vAlign w:val="bottom"/>
          </w:tcPr>
          <w:p>
            <w:pPr>
              <w:pStyle w:val="TableContents"/>
              <w:spacing w:before="0" w:after="283"/>
              <w:jc w:val="left"/>
              <w:rPr/>
            </w:pPr>
            <w:r>
              <w:rPr/>
              <w:t> </w:t>
            </w:r>
          </w:p>
        </w:tc>
      </w:tr>
      <w:tr>
        <w:trPr/>
        <w:tc>
          <w:tcPr>
            <w:tcW w:w="3873"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Discount rate for net periodic benefit cost</w:t>
            </w:r>
          </w:p>
        </w:tc>
        <w:tc>
          <w:tcPr>
            <w:tcW w:w="183" w:type="dxa"/>
            <w:tcBorders/>
            <w:shd w:fill="CCFFCC" w:val="clear"/>
            <w:tcMar>
              <w:bottom w:w="0" w:type="dxa"/>
            </w:tcMar>
            <w:vAlign w:val="center"/>
          </w:tcPr>
          <w:p>
            <w:pPr>
              <w:pStyle w:val="TableContents"/>
              <w:spacing w:before="0" w:after="283"/>
              <w:rPr/>
            </w:pPr>
            <w:r>
              <w:rPr/>
              <w:t> </w:t>
            </w:r>
          </w:p>
        </w:tc>
        <w:tc>
          <w:tcPr>
            <w:tcW w:w="110" w:type="dxa"/>
            <w:tcBorders/>
            <w:shd w:fill="CCFFCC" w:val="clear"/>
            <w:tcMar>
              <w:bottom w:w="0" w:type="dxa"/>
            </w:tcMar>
            <w:vAlign w:val="bottom"/>
          </w:tcPr>
          <w:p>
            <w:pPr>
              <w:pStyle w:val="TableContents"/>
              <w:spacing w:before="0" w:after="283"/>
              <w:jc w:val="left"/>
              <w:rPr/>
            </w:pPr>
            <w:r>
              <w:rPr/>
              <w:t> </w:t>
            </w:r>
          </w:p>
        </w:tc>
        <w:tc>
          <w:tcPr>
            <w:tcW w:w="1175"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6.25</w:t>
            </w:r>
          </w:p>
        </w:tc>
        <w:tc>
          <w:tcPr>
            <w:tcW w:w="262"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0" w:type="dxa"/>
            <w:tcBorders/>
            <w:shd w:fill="CCFFCC" w:val="clear"/>
            <w:tcMar>
              <w:bottom w:w="0" w:type="dxa"/>
            </w:tcMar>
            <w:vAlign w:val="bottom"/>
          </w:tcPr>
          <w:p>
            <w:pPr>
              <w:pStyle w:val="TableContents"/>
              <w:spacing w:before="0" w:after="283"/>
              <w:jc w:val="left"/>
              <w:rPr/>
            </w:pPr>
            <w:r>
              <w:rPr/>
              <w:t> </w:t>
            </w:r>
          </w:p>
        </w:tc>
        <w:tc>
          <w:tcPr>
            <w:tcW w:w="1175"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6.25</w:t>
            </w:r>
          </w:p>
        </w:tc>
        <w:tc>
          <w:tcPr>
            <w:tcW w:w="262"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0" w:type="dxa"/>
            <w:tcBorders/>
            <w:shd w:fill="CCFFCC" w:val="clear"/>
            <w:tcMar>
              <w:bottom w:w="0" w:type="dxa"/>
            </w:tcMar>
            <w:vAlign w:val="bottom"/>
          </w:tcPr>
          <w:p>
            <w:pPr>
              <w:pStyle w:val="TableContents"/>
              <w:spacing w:before="0" w:after="283"/>
              <w:jc w:val="left"/>
              <w:rPr/>
            </w:pPr>
            <w:r>
              <w:rPr/>
              <w:t> </w:t>
            </w:r>
          </w:p>
        </w:tc>
        <w:tc>
          <w:tcPr>
            <w:tcW w:w="1188"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6.25</w:t>
            </w:r>
          </w:p>
        </w:tc>
        <w:tc>
          <w:tcPr>
            <w:tcW w:w="262"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0" w:type="dxa"/>
            <w:tcBorders/>
            <w:shd w:fill="CCFFCC" w:val="clear"/>
            <w:tcMar>
              <w:bottom w:w="0" w:type="dxa"/>
            </w:tcMar>
            <w:vAlign w:val="bottom"/>
          </w:tcPr>
          <w:p>
            <w:pPr>
              <w:pStyle w:val="TableContents"/>
              <w:spacing w:before="0" w:after="283"/>
              <w:jc w:val="left"/>
              <w:rPr/>
            </w:pPr>
            <w:r>
              <w:rPr/>
              <w:t> </w:t>
            </w:r>
          </w:p>
        </w:tc>
        <w:tc>
          <w:tcPr>
            <w:tcW w:w="1175"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6.25</w:t>
            </w:r>
          </w:p>
        </w:tc>
        <w:tc>
          <w:tcPr>
            <w:tcW w:w="210"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387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Rate of increase in compensation levels</w:t>
            </w:r>
          </w:p>
        </w:tc>
        <w:tc>
          <w:tcPr>
            <w:tcW w:w="183"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17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4.00</w:t>
            </w:r>
          </w:p>
        </w:tc>
        <w:tc>
          <w:tcPr>
            <w:tcW w:w="26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0" w:type="dxa"/>
            <w:tcBorders/>
            <w:shd w:fill="FFFFFF" w:val="clear"/>
            <w:tcMar>
              <w:bottom w:w="0" w:type="dxa"/>
            </w:tcMar>
            <w:vAlign w:val="bottom"/>
          </w:tcPr>
          <w:p>
            <w:pPr>
              <w:pStyle w:val="TableContents"/>
              <w:spacing w:before="0" w:after="283"/>
              <w:jc w:val="left"/>
              <w:rPr/>
            </w:pPr>
            <w:r>
              <w:rPr/>
              <w:t> </w:t>
            </w:r>
          </w:p>
        </w:tc>
        <w:tc>
          <w:tcPr>
            <w:tcW w:w="117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4.00</w:t>
            </w:r>
          </w:p>
        </w:tc>
        <w:tc>
          <w:tcPr>
            <w:tcW w:w="26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0" w:type="dxa"/>
            <w:tcBorders/>
            <w:shd w:fill="FFFFFF" w:val="clear"/>
            <w:tcMar>
              <w:bottom w:w="0" w:type="dxa"/>
            </w:tcMar>
            <w:vAlign w:val="bottom"/>
          </w:tcPr>
          <w:p>
            <w:pPr>
              <w:pStyle w:val="TableContents"/>
              <w:spacing w:before="0" w:after="283"/>
              <w:jc w:val="left"/>
              <w:rPr/>
            </w:pPr>
            <w:r>
              <w:rPr/>
              <w:t> </w:t>
            </w:r>
          </w:p>
        </w:tc>
        <w:tc>
          <w:tcPr>
            <w:tcW w:w="1188" w:type="dxa"/>
            <w:tcBorders/>
            <w:shd w:fill="FFFFFF" w:val="clear"/>
            <w:tcMar>
              <w:bottom w:w="0" w:type="dxa"/>
            </w:tcMar>
            <w:vAlign w:val="bottom"/>
          </w:tcPr>
          <w:p>
            <w:pPr>
              <w:pStyle w:val="TableContents"/>
              <w:spacing w:lineRule="auto" w:line="300" w:before="0" w:after="0"/>
              <w:ind w:left="0" w:right="0" w:hanging="0"/>
              <w:jc w:val="right"/>
              <w:rPr/>
            </w:pPr>
            <w:r>
              <w:rPr/>
              <w:t xml:space="preserve">— </w:t>
            </w:r>
          </w:p>
        </w:tc>
        <w:tc>
          <w:tcPr>
            <w:tcW w:w="262" w:type="dxa"/>
            <w:tcBorders/>
            <w:shd w:fill="FFFFFF" w:val="clear"/>
            <w:tcMar>
              <w:bottom w:w="0" w:type="dxa"/>
            </w:tcMar>
            <w:vAlign w:val="bottom"/>
          </w:tcPr>
          <w:p>
            <w:pPr>
              <w:pStyle w:val="TableContents"/>
              <w:spacing w:before="0" w:after="283"/>
              <w:jc w:val="lef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175" w:type="dxa"/>
            <w:tcBorders/>
            <w:shd w:fill="FFFFFF" w:val="clear"/>
            <w:tcMar>
              <w:bottom w:w="0" w:type="dxa"/>
            </w:tcMar>
            <w:vAlign w:val="bottom"/>
          </w:tcPr>
          <w:p>
            <w:pPr>
              <w:pStyle w:val="TableContents"/>
              <w:spacing w:lineRule="auto" w:line="300" w:before="0" w:after="0"/>
              <w:ind w:left="0" w:right="0" w:hanging="0"/>
              <w:jc w:val="right"/>
              <w:rPr/>
            </w:pPr>
            <w:r>
              <w:rPr/>
              <w:t>—</w:t>
            </w:r>
          </w:p>
        </w:tc>
        <w:tc>
          <w:tcPr>
            <w:tcW w:w="210" w:type="dxa"/>
            <w:tcBorders/>
            <w:shd w:fill="FFFFFF" w:val="clear"/>
            <w:tcMar>
              <w:bottom w:w="0" w:type="dxa"/>
            </w:tcMar>
            <w:vAlign w:val="bottom"/>
          </w:tcPr>
          <w:p>
            <w:pPr>
              <w:pStyle w:val="TableContents"/>
              <w:spacing w:before="0" w:after="283"/>
              <w:jc w:val="left"/>
              <w:rPr/>
            </w:pPr>
            <w:r>
              <w:rPr/>
              <w:t> </w:t>
            </w:r>
          </w:p>
        </w:tc>
      </w:tr>
      <w:tr>
        <w:trPr/>
        <w:tc>
          <w:tcPr>
            <w:tcW w:w="3873"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Long-term expected rate of return on assets</w:t>
            </w:r>
          </w:p>
        </w:tc>
        <w:tc>
          <w:tcPr>
            <w:tcW w:w="183" w:type="dxa"/>
            <w:tcBorders/>
            <w:shd w:fill="CCFFCC" w:val="clear"/>
            <w:tcMar>
              <w:bottom w:w="0" w:type="dxa"/>
            </w:tcMar>
            <w:vAlign w:val="center"/>
          </w:tcPr>
          <w:p>
            <w:pPr>
              <w:pStyle w:val="TableContents"/>
              <w:spacing w:before="0" w:after="283"/>
              <w:rPr/>
            </w:pPr>
            <w:r>
              <w:rPr/>
              <w:t> </w:t>
            </w:r>
          </w:p>
        </w:tc>
        <w:tc>
          <w:tcPr>
            <w:tcW w:w="110" w:type="dxa"/>
            <w:tcBorders/>
            <w:shd w:fill="CCFFCC" w:val="clear"/>
            <w:tcMar>
              <w:bottom w:w="0" w:type="dxa"/>
            </w:tcMar>
            <w:vAlign w:val="bottom"/>
          </w:tcPr>
          <w:p>
            <w:pPr>
              <w:pStyle w:val="TableContents"/>
              <w:spacing w:before="0" w:after="283"/>
              <w:jc w:val="left"/>
              <w:rPr/>
            </w:pPr>
            <w:r>
              <w:rPr/>
              <w:t> </w:t>
            </w:r>
          </w:p>
        </w:tc>
        <w:tc>
          <w:tcPr>
            <w:tcW w:w="1175"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8.00</w:t>
            </w:r>
          </w:p>
        </w:tc>
        <w:tc>
          <w:tcPr>
            <w:tcW w:w="262"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0" w:type="dxa"/>
            <w:tcBorders/>
            <w:shd w:fill="CCFFCC" w:val="clear"/>
            <w:tcMar>
              <w:bottom w:w="0" w:type="dxa"/>
            </w:tcMar>
            <w:vAlign w:val="bottom"/>
          </w:tcPr>
          <w:p>
            <w:pPr>
              <w:pStyle w:val="TableContents"/>
              <w:spacing w:before="0" w:after="283"/>
              <w:jc w:val="left"/>
              <w:rPr/>
            </w:pPr>
            <w:r>
              <w:rPr/>
              <w:t> </w:t>
            </w:r>
          </w:p>
        </w:tc>
        <w:tc>
          <w:tcPr>
            <w:tcW w:w="1175"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8.00</w:t>
            </w:r>
          </w:p>
        </w:tc>
        <w:tc>
          <w:tcPr>
            <w:tcW w:w="262"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0" w:type="dxa"/>
            <w:tcBorders/>
            <w:shd w:fill="CCFFCC" w:val="clear"/>
            <w:tcMar>
              <w:bottom w:w="0" w:type="dxa"/>
            </w:tcMar>
            <w:vAlign w:val="bottom"/>
          </w:tcPr>
          <w:p>
            <w:pPr>
              <w:pStyle w:val="TableContents"/>
              <w:spacing w:before="0" w:after="283"/>
              <w:jc w:val="left"/>
              <w:rPr/>
            </w:pPr>
            <w:r>
              <w:rPr/>
              <w:t> </w:t>
            </w:r>
          </w:p>
        </w:tc>
        <w:tc>
          <w:tcPr>
            <w:tcW w:w="1188" w:type="dxa"/>
            <w:tcBorders/>
            <w:shd w:fill="CCFFCC" w:val="clear"/>
            <w:tcMar>
              <w:bottom w:w="0" w:type="dxa"/>
            </w:tcMar>
            <w:vAlign w:val="bottom"/>
          </w:tcPr>
          <w:p>
            <w:pPr>
              <w:pStyle w:val="TableContents"/>
              <w:spacing w:lineRule="auto" w:line="300" w:before="0" w:after="0"/>
              <w:ind w:left="0" w:right="0" w:hanging="0"/>
              <w:jc w:val="right"/>
              <w:rPr/>
            </w:pPr>
            <w:r>
              <w:rPr/>
              <w:t xml:space="preserve">— </w:t>
            </w:r>
          </w:p>
        </w:tc>
        <w:tc>
          <w:tcPr>
            <w:tcW w:w="262" w:type="dxa"/>
            <w:tcBorders/>
            <w:shd w:fill="CCFFCC" w:val="clear"/>
            <w:tcMar>
              <w:bottom w:w="0" w:type="dxa"/>
            </w:tcMar>
            <w:vAlign w:val="bottom"/>
          </w:tcPr>
          <w:p>
            <w:pPr>
              <w:pStyle w:val="TableContents"/>
              <w:spacing w:before="0" w:after="283"/>
              <w:jc w:val="left"/>
              <w:rPr/>
            </w:pPr>
            <w:r>
              <w:rPr/>
              <w:t> </w:t>
            </w:r>
          </w:p>
        </w:tc>
        <w:tc>
          <w:tcPr>
            <w:tcW w:w="110" w:type="dxa"/>
            <w:tcBorders/>
            <w:shd w:fill="CCFFCC" w:val="clear"/>
            <w:tcMar>
              <w:bottom w:w="0" w:type="dxa"/>
            </w:tcMar>
            <w:vAlign w:val="bottom"/>
          </w:tcPr>
          <w:p>
            <w:pPr>
              <w:pStyle w:val="TableContents"/>
              <w:spacing w:before="0" w:after="283"/>
              <w:jc w:val="left"/>
              <w:rPr/>
            </w:pPr>
            <w:r>
              <w:rPr/>
              <w:t> </w:t>
            </w:r>
          </w:p>
        </w:tc>
        <w:tc>
          <w:tcPr>
            <w:tcW w:w="1175" w:type="dxa"/>
            <w:tcBorders/>
            <w:shd w:fill="CCFFCC" w:val="clear"/>
            <w:tcMar>
              <w:bottom w:w="0" w:type="dxa"/>
            </w:tcMar>
            <w:vAlign w:val="bottom"/>
          </w:tcPr>
          <w:p>
            <w:pPr>
              <w:pStyle w:val="TableContents"/>
              <w:spacing w:lineRule="auto" w:line="300" w:before="0" w:after="0"/>
              <w:ind w:left="0" w:right="0" w:hanging="0"/>
              <w:jc w:val="right"/>
              <w:rPr/>
            </w:pPr>
            <w:r>
              <w:rPr/>
              <w:t>—</w:t>
            </w:r>
          </w:p>
        </w:tc>
        <w:tc>
          <w:tcPr>
            <w:tcW w:w="210" w:type="dxa"/>
            <w:tcBorders/>
            <w:shd w:fill="CCFFCC" w:val="clear"/>
            <w:tcMar>
              <w:bottom w:w="0" w:type="dxa"/>
            </w:tcMar>
            <w:vAlign w:val="bottom"/>
          </w:tcPr>
          <w:p>
            <w:pPr>
              <w:pStyle w:val="TableContents"/>
              <w:spacing w:before="0" w:after="283"/>
              <w:jc w:val="left"/>
              <w:rPr/>
            </w:pPr>
            <w:r>
              <w:rPr/>
              <w:t> </w:t>
            </w:r>
          </w:p>
        </w:tc>
      </w:tr>
      <w:tr>
        <w:trPr/>
        <w:tc>
          <w:tcPr>
            <w:tcW w:w="387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Medical trend</w:t>
            </w:r>
          </w:p>
        </w:tc>
        <w:tc>
          <w:tcPr>
            <w:tcW w:w="183"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175" w:type="dxa"/>
            <w:tcBorders/>
            <w:shd w:fill="FFFFFF" w:val="clear"/>
            <w:tcMar>
              <w:bottom w:w="0" w:type="dxa"/>
            </w:tcMar>
            <w:vAlign w:val="bottom"/>
          </w:tcPr>
          <w:p>
            <w:pPr>
              <w:pStyle w:val="TableContents"/>
              <w:spacing w:lineRule="auto" w:line="300" w:before="0" w:after="0"/>
              <w:ind w:left="0" w:right="0" w:hanging="0"/>
              <w:jc w:val="right"/>
              <w:rPr/>
            </w:pPr>
            <w:r>
              <w:rPr/>
              <w:t xml:space="preserve">— </w:t>
            </w:r>
          </w:p>
        </w:tc>
        <w:tc>
          <w:tcPr>
            <w:tcW w:w="262" w:type="dxa"/>
            <w:tcBorders/>
            <w:shd w:fill="FFFFFF" w:val="clear"/>
            <w:tcMar>
              <w:bottom w:w="0" w:type="dxa"/>
            </w:tcMar>
            <w:vAlign w:val="bottom"/>
          </w:tcPr>
          <w:p>
            <w:pPr>
              <w:pStyle w:val="TableContents"/>
              <w:spacing w:before="0" w:after="283"/>
              <w:jc w:val="lef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175" w:type="dxa"/>
            <w:tcBorders/>
            <w:shd w:fill="FFFFFF" w:val="clear"/>
            <w:tcMar>
              <w:bottom w:w="0" w:type="dxa"/>
            </w:tcMar>
            <w:vAlign w:val="bottom"/>
          </w:tcPr>
          <w:p>
            <w:pPr>
              <w:pStyle w:val="TableContents"/>
              <w:spacing w:lineRule="auto" w:line="300" w:before="0" w:after="0"/>
              <w:ind w:left="0" w:right="0" w:hanging="0"/>
              <w:jc w:val="right"/>
              <w:rPr/>
            </w:pPr>
            <w:r>
              <w:rPr/>
              <w:t>—</w:t>
            </w:r>
          </w:p>
        </w:tc>
        <w:tc>
          <w:tcPr>
            <w:tcW w:w="262" w:type="dxa"/>
            <w:tcBorders/>
            <w:shd w:fill="FFFFFF" w:val="clear"/>
            <w:tcMar>
              <w:bottom w:w="0" w:type="dxa"/>
            </w:tcMar>
            <w:vAlign w:val="bottom"/>
          </w:tcPr>
          <w:p>
            <w:pPr>
              <w:pStyle w:val="TableContents"/>
              <w:spacing w:before="0" w:after="283"/>
              <w:jc w:val="lef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18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6.00</w:t>
            </w:r>
          </w:p>
        </w:tc>
        <w:tc>
          <w:tcPr>
            <w:tcW w:w="26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0" w:type="dxa"/>
            <w:tcBorders/>
            <w:shd w:fill="FFFFFF" w:val="clear"/>
            <w:tcMar>
              <w:bottom w:w="0" w:type="dxa"/>
            </w:tcMar>
            <w:vAlign w:val="bottom"/>
          </w:tcPr>
          <w:p>
            <w:pPr>
              <w:pStyle w:val="TableContents"/>
              <w:spacing w:before="0" w:after="283"/>
              <w:jc w:val="left"/>
              <w:rPr/>
            </w:pPr>
            <w:r>
              <w:rPr/>
              <w:t> </w:t>
            </w:r>
          </w:p>
        </w:tc>
        <w:tc>
          <w:tcPr>
            <w:tcW w:w="117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6.00</w:t>
            </w:r>
          </w:p>
        </w:tc>
        <w:tc>
          <w:tcPr>
            <w:tcW w:w="210"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3873"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Measurement date</w:t>
            </w:r>
          </w:p>
        </w:tc>
        <w:tc>
          <w:tcPr>
            <w:tcW w:w="183" w:type="dxa"/>
            <w:tcBorders/>
            <w:shd w:fill="CCFFCC" w:val="clear"/>
            <w:tcMar>
              <w:bottom w:w="0" w:type="dxa"/>
            </w:tcMar>
            <w:vAlign w:val="center"/>
          </w:tcPr>
          <w:p>
            <w:pPr>
              <w:pStyle w:val="TableContents"/>
              <w:spacing w:before="0" w:after="283"/>
              <w:rPr/>
            </w:pPr>
            <w:r>
              <w:rPr/>
              <w:t> </w:t>
            </w:r>
          </w:p>
        </w:tc>
        <w:tc>
          <w:tcPr>
            <w:tcW w:w="110" w:type="dxa"/>
            <w:tcBorders/>
            <w:shd w:fill="CCFFCC" w:val="clear"/>
            <w:tcMar>
              <w:bottom w:w="0" w:type="dxa"/>
            </w:tcMar>
            <w:vAlign w:val="bottom"/>
          </w:tcPr>
          <w:p>
            <w:pPr>
              <w:pStyle w:val="TableContents"/>
              <w:spacing w:before="0" w:after="283"/>
              <w:jc w:val="left"/>
              <w:rPr/>
            </w:pPr>
            <w:r>
              <w:rPr/>
              <w:t> </w:t>
            </w:r>
          </w:p>
        </w:tc>
        <w:tc>
          <w:tcPr>
            <w:tcW w:w="1175"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7/31/2007</w:t>
            </w:r>
          </w:p>
        </w:tc>
        <w:tc>
          <w:tcPr>
            <w:tcW w:w="262" w:type="dxa"/>
            <w:tcBorders/>
            <w:shd w:fill="CCFFCC" w:val="clear"/>
            <w:tcMar>
              <w:bottom w:w="0" w:type="dxa"/>
            </w:tcMar>
            <w:vAlign w:val="bottom"/>
          </w:tcPr>
          <w:p>
            <w:pPr>
              <w:pStyle w:val="TableContents"/>
              <w:spacing w:before="0" w:after="283"/>
              <w:jc w:val="left"/>
              <w:rPr/>
            </w:pPr>
            <w:r>
              <w:rPr/>
              <w:t> </w:t>
            </w:r>
          </w:p>
        </w:tc>
        <w:tc>
          <w:tcPr>
            <w:tcW w:w="110" w:type="dxa"/>
            <w:tcBorders/>
            <w:shd w:fill="CCFFCC" w:val="clear"/>
            <w:tcMar>
              <w:bottom w:w="0" w:type="dxa"/>
            </w:tcMar>
            <w:vAlign w:val="bottom"/>
          </w:tcPr>
          <w:p>
            <w:pPr>
              <w:pStyle w:val="TableContents"/>
              <w:spacing w:before="0" w:after="283"/>
              <w:jc w:val="left"/>
              <w:rPr/>
            </w:pPr>
            <w:r>
              <w:rPr/>
              <w:t> </w:t>
            </w:r>
          </w:p>
        </w:tc>
        <w:tc>
          <w:tcPr>
            <w:tcW w:w="1175"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7/31/2006</w:t>
            </w:r>
          </w:p>
        </w:tc>
        <w:tc>
          <w:tcPr>
            <w:tcW w:w="262" w:type="dxa"/>
            <w:tcBorders/>
            <w:shd w:fill="CCFFCC" w:val="clear"/>
            <w:tcMar>
              <w:bottom w:w="0" w:type="dxa"/>
            </w:tcMar>
            <w:vAlign w:val="bottom"/>
          </w:tcPr>
          <w:p>
            <w:pPr>
              <w:pStyle w:val="TableContents"/>
              <w:spacing w:before="0" w:after="283"/>
              <w:jc w:val="left"/>
              <w:rPr/>
            </w:pPr>
            <w:r>
              <w:rPr/>
              <w:t> </w:t>
            </w:r>
          </w:p>
        </w:tc>
        <w:tc>
          <w:tcPr>
            <w:tcW w:w="110" w:type="dxa"/>
            <w:tcBorders/>
            <w:shd w:fill="CCFFCC" w:val="clear"/>
            <w:tcMar>
              <w:bottom w:w="0" w:type="dxa"/>
            </w:tcMar>
            <w:vAlign w:val="bottom"/>
          </w:tcPr>
          <w:p>
            <w:pPr>
              <w:pStyle w:val="TableContents"/>
              <w:spacing w:before="0" w:after="283"/>
              <w:jc w:val="left"/>
              <w:rPr/>
            </w:pPr>
            <w:r>
              <w:rPr/>
              <w:t> </w:t>
            </w:r>
          </w:p>
        </w:tc>
        <w:tc>
          <w:tcPr>
            <w:tcW w:w="1188"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7/31/2007</w:t>
            </w:r>
          </w:p>
        </w:tc>
        <w:tc>
          <w:tcPr>
            <w:tcW w:w="262" w:type="dxa"/>
            <w:tcBorders/>
            <w:shd w:fill="CCFFCC" w:val="clear"/>
            <w:tcMar>
              <w:bottom w:w="0" w:type="dxa"/>
            </w:tcMar>
            <w:vAlign w:val="bottom"/>
          </w:tcPr>
          <w:p>
            <w:pPr>
              <w:pStyle w:val="TableContents"/>
              <w:spacing w:before="0" w:after="283"/>
              <w:jc w:val="left"/>
              <w:rPr/>
            </w:pPr>
            <w:r>
              <w:rPr/>
              <w:t> </w:t>
            </w:r>
          </w:p>
        </w:tc>
        <w:tc>
          <w:tcPr>
            <w:tcW w:w="110" w:type="dxa"/>
            <w:tcBorders/>
            <w:shd w:fill="CCFFCC" w:val="clear"/>
            <w:tcMar>
              <w:bottom w:w="0" w:type="dxa"/>
            </w:tcMar>
            <w:vAlign w:val="bottom"/>
          </w:tcPr>
          <w:p>
            <w:pPr>
              <w:pStyle w:val="TableContents"/>
              <w:spacing w:before="0" w:after="283"/>
              <w:jc w:val="left"/>
              <w:rPr/>
            </w:pPr>
            <w:r>
              <w:rPr/>
              <w:t> </w:t>
            </w:r>
          </w:p>
        </w:tc>
        <w:tc>
          <w:tcPr>
            <w:tcW w:w="1175"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7/31/2006</w:t>
            </w:r>
          </w:p>
        </w:tc>
        <w:tc>
          <w:tcPr>
            <w:tcW w:w="210" w:type="dxa"/>
            <w:tcBorders/>
            <w:shd w:fill="CCFFCC" w:val="clear"/>
            <w:tcMar>
              <w:bottom w:w="0" w:type="dxa"/>
            </w:tcMar>
            <w:vAlign w:val="bottom"/>
          </w:tcPr>
          <w:p>
            <w:pPr>
              <w:pStyle w:val="TableContents"/>
              <w:spacing w:before="0" w:after="283"/>
              <w:jc w:val="left"/>
              <w:rPr/>
            </w:pPr>
            <w:r>
              <w:rPr/>
              <w:t> </w:t>
            </w:r>
          </w:p>
        </w:tc>
      </w:tr>
      <w:tr>
        <w:trPr/>
        <w:tc>
          <w:tcPr>
            <w:tcW w:w="387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Census date</w:t>
            </w:r>
          </w:p>
        </w:tc>
        <w:tc>
          <w:tcPr>
            <w:tcW w:w="183"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17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8/1/2006</w:t>
            </w:r>
          </w:p>
        </w:tc>
        <w:tc>
          <w:tcPr>
            <w:tcW w:w="262" w:type="dxa"/>
            <w:tcBorders/>
            <w:shd w:fill="FFFFFF" w:val="clear"/>
            <w:tcMar>
              <w:bottom w:w="0" w:type="dxa"/>
            </w:tcMar>
            <w:vAlign w:val="bottom"/>
          </w:tcPr>
          <w:p>
            <w:pPr>
              <w:pStyle w:val="TableContents"/>
              <w:spacing w:before="0" w:after="283"/>
              <w:jc w:val="lef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17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8/1/2005</w:t>
            </w:r>
          </w:p>
        </w:tc>
        <w:tc>
          <w:tcPr>
            <w:tcW w:w="262" w:type="dxa"/>
            <w:tcBorders/>
            <w:shd w:fill="FFFFFF" w:val="clear"/>
            <w:tcMar>
              <w:bottom w:w="0" w:type="dxa"/>
            </w:tcMar>
            <w:vAlign w:val="bottom"/>
          </w:tcPr>
          <w:p>
            <w:pPr>
              <w:pStyle w:val="TableContents"/>
              <w:spacing w:before="0" w:after="283"/>
              <w:jc w:val="lef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18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8/1/2006</w:t>
            </w:r>
          </w:p>
        </w:tc>
        <w:tc>
          <w:tcPr>
            <w:tcW w:w="262" w:type="dxa"/>
            <w:tcBorders/>
            <w:shd w:fill="FFFFFF" w:val="clear"/>
            <w:tcMar>
              <w:bottom w:w="0" w:type="dxa"/>
            </w:tcMar>
            <w:vAlign w:val="bottom"/>
          </w:tcPr>
          <w:p>
            <w:pPr>
              <w:pStyle w:val="TableContents"/>
              <w:spacing w:before="0" w:after="283"/>
              <w:jc w:val="lef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17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8/1/2005</w:t>
            </w:r>
          </w:p>
        </w:tc>
        <w:tc>
          <w:tcPr>
            <w:tcW w:w="210" w:type="dxa"/>
            <w:tcBorders/>
            <w:shd w:fill="FFFFFF" w:val="clear"/>
            <w:tcMar>
              <w:bottom w:w="0" w:type="dxa"/>
            </w:tcM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TextBody"/>
        <w:spacing w:lineRule="auto" w:line="312" w:before="0" w:after="0"/>
        <w:ind w:left="0" w:right="0" w:hanging="0"/>
        <w:jc w:val="left"/>
        <w:rPr/>
      </w:pPr>
      <w:r>
        <w:rPr>
          <w:rFonts w:ascii="Times New Roman" w:hAnsi="Times New Roman"/>
          <w:sz w:val="20"/>
        </w:rPr>
        <w:t xml:space="preserve">4.  </w:t>
      </w:r>
      <w:r>
        <w:rPr>
          <w:rStyle w:val="StrongEmphasis"/>
          <w:rFonts w:ascii="Times New Roman" w:hAnsi="Times New Roman"/>
          <w:sz w:val="20"/>
        </w:rPr>
        <w:t xml:space="preserve">RECENTLY ISSUED ACCOUNTING STANDARDS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Fonts w:ascii="Times New Roman" w:hAnsi="Times New Roman"/>
          <w:sz w:val="20"/>
        </w:rPr>
        <w:t xml:space="preserve">In December 2007, the Financial Accounting Standards Board (“FASB”) issued Statement of Financial Accounting Standards (“SFAS”) No. 141 (Revised 2007), </w:t>
      </w:r>
      <w:r>
        <w:rPr>
          <w:rStyle w:val="Emphasis"/>
          <w:rFonts w:ascii="Times New Roman" w:hAnsi="Times New Roman"/>
          <w:sz w:val="20"/>
        </w:rPr>
        <w:t xml:space="preserve">Business Combinations </w:t>
      </w:r>
      <w:r>
        <w:rPr>
          <w:rFonts w:ascii="Times New Roman" w:hAnsi="Times New Roman"/>
          <w:sz w:val="20"/>
        </w:rPr>
        <w:t>(SFAS No. 141-R). SFAS No.141-R will significantly change the accounting for future business combinations after adoption. SFAS No. 141-R establishes principles and requirements for how the acquirer of a business recognizes and measures in its financial statements the identifiable assets acquired, the liabilities assumed, and any non controlling interest in the acquired business. SFAS No. 141-R also provides guidance for recognizing and measuring the goodwill acquired in the business combination and determines what information to disclose to enable users of the financial statements to evaluate the nature and financial effects of the business combination. SFAS No. 141-R is effective for fiscal years, and interim periods within those fiscal years, beginning on or after December 15, 2008. Earlier adoption is prohibited. We will adopt this Statement as of August 1, 2009. When we adopt this Statement, we will apply it to future periods in the event that we have an acquisition.</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Fonts w:ascii="Times New Roman" w:hAnsi="Times New Roman"/>
          <w:sz w:val="20"/>
        </w:rPr>
        <w:t xml:space="preserve">In December 2007, the FASB issued SFAS No. 160, </w:t>
      </w:r>
      <w:r>
        <w:rPr>
          <w:rStyle w:val="Emphasis"/>
          <w:rFonts w:ascii="Times New Roman" w:hAnsi="Times New Roman"/>
          <w:sz w:val="20"/>
        </w:rPr>
        <w:t>Noncontrolling Interests in Consolidated Financial Statements—An Amendment of ARB No. 51</w:t>
      </w:r>
      <w:r>
        <w:rPr>
          <w:rFonts w:ascii="Times New Roman" w:hAnsi="Times New Roman"/>
          <w:sz w:val="20"/>
        </w:rPr>
        <w:t>. This statement establishes new accounting and reporting standards for the noncontrolling interest in a subsidiary and for the deconsolidation of a subsidiary. SFAS No. 160 requires the noncontrolling interest to be reported as a component of equity, changes in a parent’s ownership interest while the parent retains its controlling interest be accounted for as equity transactions, and any retained noncontrolling equity investment upon the deconsolidation of a subsidiary be initially measured at fair value. SFAS No. 160 is effective for fiscal years, and interim periods within those fiscal years, beginning on or after December 15, 2008. Earlier adoption is prohibited. We will adopt this Statement as of August 1, 2009. We are currently evaluating the impact SFAS No. 160 will have on our consolidated financial statements.</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Fonts w:ascii="Times New Roman" w:hAnsi="Times New Roman"/>
          <w:sz w:val="20"/>
        </w:rPr>
        <w:t>In September 2006, the FASB</w:t>
      </w:r>
      <w:r>
        <w:rPr/>
        <w:t xml:space="preserve"> </w:t>
      </w:r>
      <w:r>
        <w:rPr>
          <w:rFonts w:ascii="Times New Roman" w:hAnsi="Times New Roman"/>
          <w:sz w:val="20"/>
        </w:rPr>
        <w:t xml:space="preserve">issued SFAS No. 157, </w:t>
      </w:r>
      <w:r>
        <w:rPr>
          <w:rStyle w:val="Emphasis"/>
          <w:rFonts w:ascii="Times New Roman" w:hAnsi="Times New Roman"/>
          <w:sz w:val="20"/>
        </w:rPr>
        <w:t>Fair Value Measurements</w:t>
      </w:r>
      <w:r>
        <w:rPr>
          <w:rFonts w:ascii="Times New Roman" w:hAnsi="Times New Roman"/>
          <w:sz w:val="20"/>
        </w:rPr>
        <w:t xml:space="preserve">. This Statement defines fair value, establishes a framework for measuring fair value in accordance with generally accepted accounting principles and expands disclosures about fair value measurements. In February 2008, SFAS No. 157 was amended by FASB Staff Positions (“FSP”) SFAS No. 157-1 </w:t>
      </w:r>
      <w:r>
        <w:rPr>
          <w:rStyle w:val="Emphasis"/>
          <w:rFonts w:ascii="Times New Roman" w:hAnsi="Times New Roman"/>
          <w:sz w:val="20"/>
        </w:rPr>
        <w:t>Application of FASB Statement No. 157 to FASB Statement No. 13 and Other Accounting Pronouncements That Address Fair Value Measurements for Purposes of Lease Classification or Measurement under Statement 13</w:t>
      </w:r>
      <w:r>
        <w:rPr/>
        <w:t xml:space="preserve"> </w:t>
      </w:r>
      <w:r>
        <w:rPr>
          <w:rFonts w:ascii="Times New Roman" w:hAnsi="Times New Roman"/>
          <w:sz w:val="20"/>
        </w:rPr>
        <w:t xml:space="preserve">and by FSP SFAS No. 157-2 </w:t>
      </w:r>
      <w:r>
        <w:rPr>
          <w:rStyle w:val="Emphasis"/>
          <w:rFonts w:ascii="Times New Roman" w:hAnsi="Times New Roman"/>
          <w:sz w:val="20"/>
        </w:rPr>
        <w:t>Effective Date of FASB Statement No. 157</w:t>
      </w:r>
      <w:r>
        <w:rPr>
          <w:rFonts w:ascii="Times New Roman" w:hAnsi="Times New Roman"/>
          <w:sz w:val="20"/>
        </w:rPr>
        <w:t xml:space="preserve">. FSP SFAS No. 157-1 amends SFAS No. 157 to exclude FASB Statement No. 13, </w:t>
      </w:r>
      <w:r>
        <w:rPr>
          <w:rStyle w:val="Emphasis"/>
          <w:rFonts w:ascii="Times New Roman" w:hAnsi="Times New Roman"/>
          <w:sz w:val="20"/>
        </w:rPr>
        <w:t xml:space="preserve">Accounting for Leases, </w:t>
      </w:r>
      <w:r>
        <w:rPr>
          <w:rFonts w:ascii="Times New Roman" w:hAnsi="Times New Roman"/>
          <w:sz w:val="20"/>
        </w:rPr>
        <w:t>and other accounting pronouncements that address fair value measurements for purposes of lease classification or measurement under Statement 13</w:t>
      </w:r>
      <w:r>
        <w:rPr>
          <w:rStyle w:val="Emphasis"/>
          <w:rFonts w:ascii="Times New Roman" w:hAnsi="Times New Roman"/>
          <w:sz w:val="20"/>
        </w:rPr>
        <w:t>.</w:t>
      </w:r>
      <w:r>
        <w:rPr/>
        <w:t xml:space="preserve"> </w:t>
      </w:r>
      <w:r>
        <w:rPr>
          <w:rFonts w:ascii="Times New Roman" w:hAnsi="Times New Roman"/>
          <w:sz w:val="20"/>
        </w:rPr>
        <w:t>FSP SFAS No. 157-2 delays the effective date of SFAS No. 157</w:t>
      </w:r>
      <w:r>
        <w:rPr>
          <w:rStyle w:val="Emphasis"/>
        </w:rPr>
        <w:t> </w:t>
      </w:r>
      <w:r>
        <w:rPr>
          <w:rFonts w:ascii="Times New Roman" w:hAnsi="Times New Roman"/>
          <w:sz w:val="20"/>
        </w:rPr>
        <w:t>for nonfinancial assets and nonfinancial liabilities, except for items that are recognized or disclosed at fair value in the financial statements on a recurring basis (at least annually). We will adopt the provisions of these Statements as of August 1, 2008. We are currently evaluating the impact of adopting these Statements on our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1" w:name="PGBRK10"/>
      <w:bookmarkStart w:id="482" w:name="PGBRK10"/>
      <w:bookmarkEnd w:id="4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3" w:name="FTR10"/>
      <w:bookmarkStart w:id="484" w:name="FTR10"/>
      <w:bookmarkEnd w:id="4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5" w:name="GLFTR10"/>
      <w:bookmarkStart w:id="486" w:name="GLFTR10"/>
      <w:bookmarkEnd w:id="4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487" w:name="PN10"/>
      <w:bookmarkEnd w:id="487"/>
      <w:r>
        <w:rPr>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8" w:name="HDR10"/>
      <w:bookmarkStart w:id="489" w:name="HDR10"/>
      <w:bookmarkEnd w:id="4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0" w:name="GLHDR10"/>
      <w:bookmarkStart w:id="491" w:name="GLHDR10"/>
      <w:bookmarkEnd w:id="4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r>
        <w:rPr/>
        <w:t> </w:t>
      </w:r>
    </w:p>
    <w:p>
      <w:pPr>
        <w:pStyle w:val="TextBody"/>
        <w:spacing w:lineRule="auto" w:line="300" w:before="0" w:after="0"/>
        <w:ind w:left="720" w:right="0" w:hanging="720"/>
        <w:jc w:val="left"/>
        <w:rPr/>
      </w:pPr>
      <w:r>
        <w:rPr>
          <w:rStyle w:val="StrongEmphasis"/>
          <w:rFonts w:ascii="Times New Roman" w:hAnsi="Times New Roman"/>
          <w:sz w:val="20"/>
        </w:rPr>
        <w:t>5.</w:t>
      </w:r>
      <w:bookmarkStart w:id="492" w:name="TAB244"/>
      <w:bookmarkEnd w:id="492"/>
      <w:r>
        <w:rPr>
          <w:color w:val="000000"/>
          <w:spacing w:val="180"/>
        </w:rPr>
        <w:t> </w:t>
      </w:r>
      <w:r>
        <w:rPr>
          <w:rStyle w:val="StrongEmphasis"/>
          <w:rFonts w:ascii="Times New Roman" w:hAnsi="Times New Roman"/>
          <w:sz w:val="20"/>
        </w:rPr>
        <w:t>SEGMENT REPORTING</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SFAS No. 131, “Disclosures About Segments of an Enterprise and Related Information” establishes standards for reporting information about operating segments. Under this standard, we have two reportable operating segments: Retail and Wholesale Products and Business to Business Products. These segments are managed separately because each business has different customer characteristics. Net sales and operating income for each segment are provided below. Revenues by product line are not provided because it would be impracticable to do so.</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The accounting policies of the segments are the same as those described in Note 1 of the consolidated financial statements included in our Annual Report on Form 10-K for the fiscal year ended July 31, 2007 filed with the Securities and Exchange Commission.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Management does not rely on any segment asset allocations and does not consider them meaningful because of the shared nature of our production facilities; however, we have estimated the segment asset allocations as follows:</w:t>
      </w:r>
    </w:p>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93" w:name="ftable11"/>
      <w:bookmarkStart w:id="494" w:name="ftable11"/>
      <w:bookmarkEnd w:id="494"/>
    </w:p>
    <w:tbl>
      <w:tblPr>
        <w:tblW w:w="3000" w:type="pct"/>
        <w:jc w:val="left"/>
        <w:tblInd w:w="0" w:type="dxa"/>
        <w:tblCellMar>
          <w:top w:w="0" w:type="dxa"/>
          <w:left w:w="0" w:type="dxa"/>
          <w:bottom w:w="28" w:type="dxa"/>
          <w:right w:w="0" w:type="dxa"/>
        </w:tblCellMar>
      </w:tblPr>
      <w:tblGrid>
        <w:gridCol w:w="3030"/>
        <w:gridCol w:w="192"/>
        <w:gridCol w:w="125"/>
        <w:gridCol w:w="1173"/>
        <w:gridCol w:w="192"/>
        <w:gridCol w:w="125"/>
        <w:gridCol w:w="1173"/>
        <w:gridCol w:w="113"/>
      </w:tblGrid>
      <w:tr>
        <w:trPr/>
        <w:tc>
          <w:tcPr>
            <w:tcW w:w="3030" w:type="dxa"/>
            <w:tcBorders>
              <w:bottom w:val="single" w:sz="4" w:space="0" w:color="FFFFFF"/>
            </w:tcBorders>
            <w:shd w:fill="auto" w:val="clear"/>
            <w:vAlign w:val="bottom"/>
          </w:tcPr>
          <w:p>
            <w:pPr>
              <w:pStyle w:val="TableContents"/>
              <w:spacing w:before="0" w:after="283"/>
              <w:jc w:val="left"/>
              <w:rPr/>
            </w:pPr>
            <w:r>
              <w:rPr/>
              <w:t> </w:t>
            </w:r>
          </w:p>
        </w:tc>
        <w:tc>
          <w:tcPr>
            <w:tcW w:w="192" w:type="dxa"/>
            <w:tcBorders>
              <w:bottom w:val="single" w:sz="4" w:space="0" w:color="FFFFFF"/>
            </w:tcBorders>
            <w:shd w:fill="auto" w:val="clear"/>
            <w:vAlign w:val="center"/>
          </w:tcPr>
          <w:p>
            <w:pPr>
              <w:pStyle w:val="TableContents"/>
              <w:spacing w:before="0" w:after="283"/>
              <w:rPr/>
            </w:pPr>
            <w:r>
              <w:rPr/>
              <w:t> </w:t>
            </w:r>
          </w:p>
        </w:tc>
        <w:tc>
          <w:tcPr>
            <w:tcW w:w="2788"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Assets</w:t>
            </w:r>
          </w:p>
        </w:tc>
        <w:tc>
          <w:tcPr>
            <w:tcW w:w="113" w:type="dxa"/>
            <w:tcBorders>
              <w:bottom w:val="single" w:sz="4" w:space="0" w:color="FFFFFF"/>
            </w:tcBorders>
            <w:shd w:fill="auto" w:val="clear"/>
            <w:vAlign w:val="bottom"/>
          </w:tcPr>
          <w:p>
            <w:pPr>
              <w:pStyle w:val="TableContents"/>
              <w:spacing w:before="0" w:after="283"/>
              <w:jc w:val="left"/>
              <w:rPr/>
            </w:pPr>
            <w:r>
              <w:rPr/>
              <w:t> </w:t>
            </w:r>
          </w:p>
        </w:tc>
      </w:tr>
      <w:tr>
        <w:trPr/>
        <w:tc>
          <w:tcPr>
            <w:tcW w:w="3030" w:type="dxa"/>
            <w:tcBorders/>
            <w:shd w:fill="auto" w:val="clear"/>
            <w:tcMar>
              <w:bottom w:w="0" w:type="dxa"/>
            </w:tcMar>
            <w:vAlign w:val="bottom"/>
          </w:tcPr>
          <w:p>
            <w:pPr>
              <w:pStyle w:val="TableContents"/>
              <w:spacing w:before="0" w:after="283"/>
              <w:jc w:val="left"/>
              <w:rPr/>
            </w:pPr>
            <w:r>
              <w:rPr/>
              <w:t> </w:t>
            </w:r>
          </w:p>
        </w:tc>
        <w:tc>
          <w:tcPr>
            <w:tcW w:w="192" w:type="dxa"/>
            <w:tcBorders/>
            <w:shd w:fill="auto" w:val="clear"/>
            <w:tcMar>
              <w:bottom w:w="0" w:type="dxa"/>
            </w:tcMar>
            <w:vAlign w:val="center"/>
          </w:tcPr>
          <w:p>
            <w:pPr>
              <w:pStyle w:val="TableContents"/>
              <w:spacing w:before="0" w:after="283"/>
              <w:rPr/>
            </w:pPr>
            <w:r>
              <w:rPr/>
              <w:t> </w:t>
            </w:r>
          </w:p>
        </w:tc>
        <w:tc>
          <w:tcPr>
            <w:tcW w:w="1298" w:type="dxa"/>
            <w:gridSpan w:val="2"/>
            <w:tcBorders/>
            <w:shd w:fill="auto" w:val="clear"/>
            <w:tcMar>
              <w:bottom w:w="0" w:type="dxa"/>
            </w:tcMar>
            <w:vAlign w:val="bottom"/>
          </w:tcPr>
          <w:p>
            <w:pPr>
              <w:pStyle w:val="TableContents"/>
              <w:spacing w:lineRule="auto" w:line="300" w:before="0" w:after="0"/>
              <w:ind w:left="0" w:right="0" w:hanging="0"/>
              <w:jc w:val="center"/>
              <w:rPr/>
            </w:pPr>
            <w:r>
              <w:rPr>
                <w:rStyle w:val="StrongEmphasis"/>
                <w:rFonts w:ascii="Times New Roman" w:hAnsi="Times New Roman"/>
                <w:sz w:val="20"/>
              </w:rPr>
              <w:t>January 31,</w:t>
            </w:r>
          </w:p>
        </w:tc>
        <w:tc>
          <w:tcPr>
            <w:tcW w:w="192" w:type="dxa"/>
            <w:tcBorders/>
            <w:shd w:fill="auto" w:val="clear"/>
            <w:tcMar>
              <w:bottom w:w="0" w:type="dxa"/>
            </w:tcMar>
            <w:vAlign w:val="bottom"/>
          </w:tcPr>
          <w:p>
            <w:pPr>
              <w:pStyle w:val="TableContents"/>
              <w:spacing w:before="0" w:after="283"/>
              <w:jc w:val="left"/>
              <w:rPr/>
            </w:pPr>
            <w:r>
              <w:rPr/>
              <w:t> </w:t>
            </w:r>
          </w:p>
        </w:tc>
        <w:tc>
          <w:tcPr>
            <w:tcW w:w="1298" w:type="dxa"/>
            <w:gridSpan w:val="2"/>
            <w:tcBorders/>
            <w:shd w:fill="auto" w:val="clear"/>
            <w:tcMar>
              <w:bottom w:w="0" w:type="dxa"/>
            </w:tcMar>
            <w:vAlign w:val="bottom"/>
          </w:tcPr>
          <w:p>
            <w:pPr>
              <w:pStyle w:val="TableContents"/>
              <w:spacing w:lineRule="auto" w:line="300" w:before="0" w:after="0"/>
              <w:ind w:left="0" w:right="0" w:hanging="0"/>
              <w:jc w:val="center"/>
              <w:rPr/>
            </w:pPr>
            <w:r>
              <w:rPr>
                <w:rStyle w:val="StrongEmphasis"/>
                <w:rFonts w:ascii="Times New Roman" w:hAnsi="Times New Roman"/>
                <w:sz w:val="20"/>
              </w:rPr>
              <w:t>July 31,</w:t>
            </w:r>
          </w:p>
        </w:tc>
        <w:tc>
          <w:tcPr>
            <w:tcW w:w="113" w:type="dxa"/>
            <w:tcBorders/>
            <w:shd w:fill="auto" w:val="clear"/>
            <w:tcMar>
              <w:bottom w:w="0" w:type="dxa"/>
            </w:tcMar>
            <w:vAlign w:val="bottom"/>
          </w:tcPr>
          <w:p>
            <w:pPr>
              <w:pStyle w:val="TableContents"/>
              <w:spacing w:before="0" w:after="283"/>
              <w:jc w:val="left"/>
              <w:rPr/>
            </w:pPr>
            <w:r>
              <w:rPr/>
              <w:t> </w:t>
            </w:r>
          </w:p>
        </w:tc>
      </w:tr>
      <w:tr>
        <w:trPr/>
        <w:tc>
          <w:tcPr>
            <w:tcW w:w="3030" w:type="dxa"/>
            <w:tcBorders>
              <w:bottom w:val="single" w:sz="4" w:space="0" w:color="FFFFFF"/>
            </w:tcBorders>
            <w:shd w:fill="auto" w:val="clear"/>
            <w:vAlign w:val="bottom"/>
          </w:tcPr>
          <w:p>
            <w:pPr>
              <w:pStyle w:val="TableContents"/>
              <w:spacing w:before="0" w:after="283"/>
              <w:jc w:val="left"/>
              <w:rPr/>
            </w:pPr>
            <w:r>
              <w:rPr/>
              <w:t> </w:t>
            </w:r>
          </w:p>
        </w:tc>
        <w:tc>
          <w:tcPr>
            <w:tcW w:w="192" w:type="dxa"/>
            <w:tcBorders>
              <w:bottom w:val="single" w:sz="4" w:space="0" w:color="FFFFFF"/>
            </w:tcBorders>
            <w:shd w:fill="auto" w:val="clear"/>
            <w:vAlign w:val="center"/>
          </w:tcPr>
          <w:p>
            <w:pPr>
              <w:pStyle w:val="TableContents"/>
              <w:spacing w:before="0" w:after="283"/>
              <w:rPr/>
            </w:pPr>
            <w:r>
              <w:rPr/>
              <w:t> </w:t>
            </w:r>
          </w:p>
        </w:tc>
        <w:tc>
          <w:tcPr>
            <w:tcW w:w="1298"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2008</w:t>
            </w:r>
          </w:p>
        </w:tc>
        <w:tc>
          <w:tcPr>
            <w:tcW w:w="192" w:type="dxa"/>
            <w:tcBorders>
              <w:bottom w:val="single" w:sz="4" w:space="0" w:color="FFFFFF"/>
            </w:tcBorders>
            <w:shd w:fill="auto" w:val="clear"/>
            <w:vAlign w:val="bottom"/>
          </w:tcPr>
          <w:p>
            <w:pPr>
              <w:pStyle w:val="TableContents"/>
              <w:spacing w:before="0" w:after="283"/>
              <w:jc w:val="left"/>
              <w:rPr/>
            </w:pPr>
            <w:r>
              <w:rPr/>
              <w:t> </w:t>
            </w:r>
          </w:p>
        </w:tc>
        <w:tc>
          <w:tcPr>
            <w:tcW w:w="1298"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2007</w:t>
            </w:r>
          </w:p>
        </w:tc>
        <w:tc>
          <w:tcPr>
            <w:tcW w:w="113" w:type="dxa"/>
            <w:tcBorders>
              <w:bottom w:val="single" w:sz="4" w:space="0" w:color="FFFFFF"/>
            </w:tcBorders>
            <w:shd w:fill="auto" w:val="clear"/>
            <w:vAlign w:val="bottom"/>
          </w:tcPr>
          <w:p>
            <w:pPr>
              <w:pStyle w:val="TableContents"/>
              <w:spacing w:before="0" w:after="283"/>
              <w:jc w:val="left"/>
              <w:rPr/>
            </w:pPr>
            <w:r>
              <w:rPr/>
              <w:t> </w:t>
            </w:r>
          </w:p>
        </w:tc>
      </w:tr>
      <w:tr>
        <w:trPr/>
        <w:tc>
          <w:tcPr>
            <w:tcW w:w="3030" w:type="dxa"/>
            <w:tcBorders/>
            <w:shd w:fill="auto" w:val="clear"/>
            <w:tcMar>
              <w:bottom w:w="0" w:type="dxa"/>
            </w:tcMar>
            <w:vAlign w:val="bottom"/>
          </w:tcPr>
          <w:p>
            <w:pPr>
              <w:pStyle w:val="TableContents"/>
              <w:spacing w:before="0" w:after="283"/>
              <w:jc w:val="left"/>
              <w:rPr/>
            </w:pPr>
            <w:r>
              <w:rPr/>
              <w:t> </w:t>
            </w:r>
          </w:p>
        </w:tc>
        <w:tc>
          <w:tcPr>
            <w:tcW w:w="192" w:type="dxa"/>
            <w:tcBorders/>
            <w:shd w:fill="auto" w:val="clear"/>
            <w:tcMar>
              <w:bottom w:w="0" w:type="dxa"/>
            </w:tcMar>
            <w:vAlign w:val="center"/>
          </w:tcPr>
          <w:p>
            <w:pPr>
              <w:pStyle w:val="TableContents"/>
              <w:spacing w:before="0" w:after="283"/>
              <w:rPr/>
            </w:pPr>
            <w:r>
              <w:rPr/>
              <w:t> </w:t>
            </w:r>
          </w:p>
        </w:tc>
        <w:tc>
          <w:tcPr>
            <w:tcW w:w="2788" w:type="dxa"/>
            <w:gridSpan w:val="5"/>
            <w:tcBorders/>
            <w:shd w:fill="auto" w:val="clear"/>
            <w:tcMar>
              <w:bottom w:w="0" w:type="dxa"/>
            </w:tcMar>
            <w:vAlign w:val="bottom"/>
          </w:tcPr>
          <w:p>
            <w:pPr>
              <w:pStyle w:val="TableContents"/>
              <w:spacing w:lineRule="auto" w:line="300" w:before="0" w:after="0"/>
              <w:ind w:left="0" w:right="0" w:hanging="0"/>
              <w:jc w:val="center"/>
              <w:rPr/>
            </w:pPr>
            <w:r>
              <w:rPr>
                <w:rStyle w:val="StrongEmphasis"/>
                <w:rFonts w:ascii="Times New Roman" w:hAnsi="Times New Roman"/>
                <w:sz w:val="20"/>
              </w:rPr>
              <w:t>(in thousands)</w:t>
            </w:r>
          </w:p>
        </w:tc>
        <w:tc>
          <w:tcPr>
            <w:tcW w:w="113" w:type="dxa"/>
            <w:tcBorders/>
            <w:shd w:fill="auto" w:val="clear"/>
            <w:tcMar>
              <w:bottom w:w="0" w:type="dxa"/>
            </w:tcMar>
            <w:vAlign w:val="bottom"/>
          </w:tcPr>
          <w:p>
            <w:pPr>
              <w:pStyle w:val="TableContents"/>
              <w:spacing w:before="0" w:after="283"/>
              <w:jc w:val="left"/>
              <w:rPr/>
            </w:pPr>
            <w:r>
              <w:rPr/>
              <w:t> </w:t>
            </w:r>
          </w:p>
        </w:tc>
      </w:tr>
      <w:tr>
        <w:trPr/>
        <w:tc>
          <w:tcPr>
            <w:tcW w:w="3030"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Business to Business Products</w:t>
            </w:r>
          </w:p>
        </w:tc>
        <w:tc>
          <w:tcPr>
            <w:tcW w:w="192"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lineRule="auto" w:line="300" w:before="0" w:after="0"/>
              <w:ind w:left="0" w:right="0" w:hanging="0"/>
              <w:jc w:val="left"/>
              <w:rPr/>
            </w:pPr>
            <w:bookmarkStart w:id="495" w:name="TAB1302"/>
            <w:bookmarkStart w:id="496" w:name="TAB1303"/>
            <w:bookmarkEnd w:id="495"/>
            <w:bookmarkEnd w:id="496"/>
            <w:r>
              <w:rPr>
                <w:rStyle w:val="StrongEmphasis"/>
                <w:rFonts w:ascii="Times New Roman" w:hAnsi="Times New Roman"/>
                <w:sz w:val="20"/>
              </w:rPr>
              <w:t>$</w:t>
            </w:r>
          </w:p>
        </w:tc>
        <w:tc>
          <w:tcPr>
            <w:tcW w:w="1173" w:type="dxa"/>
            <w:tcBorders/>
            <w:shd w:fill="CCFFCC" w:val="clear"/>
            <w:tcMar>
              <w:bottom w:w="0" w:type="dxa"/>
            </w:tcMar>
            <w:vAlign w:val="bottom"/>
          </w:tcPr>
          <w:p>
            <w:pPr>
              <w:pStyle w:val="TableContents"/>
              <w:spacing w:lineRule="auto" w:line="300" w:before="0" w:after="0"/>
              <w:ind w:left="0" w:right="0" w:hanging="0"/>
              <w:jc w:val="right"/>
              <w:rPr/>
            </w:pPr>
            <w:bookmarkStart w:id="497" w:name="TAB1304"/>
            <w:bookmarkStart w:id="498" w:name="TAB1305"/>
            <w:bookmarkEnd w:id="497"/>
            <w:bookmarkEnd w:id="498"/>
            <w:r>
              <w:rPr>
                <w:rStyle w:val="StrongEmphasis"/>
                <w:rFonts w:ascii="Times New Roman" w:hAnsi="Times New Roman"/>
                <w:sz w:val="20"/>
              </w:rPr>
              <w:t>36,575</w:t>
            </w:r>
          </w:p>
        </w:tc>
        <w:tc>
          <w:tcPr>
            <w:tcW w:w="192"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lineRule="auto" w:line="300" w:before="0" w:after="0"/>
              <w:ind w:left="0" w:right="0" w:hanging="0"/>
              <w:jc w:val="left"/>
              <w:rPr/>
            </w:pPr>
            <w:bookmarkStart w:id="499" w:name="TAB1306"/>
            <w:bookmarkStart w:id="500" w:name="TAB1307"/>
            <w:bookmarkEnd w:id="499"/>
            <w:bookmarkEnd w:id="500"/>
            <w:r>
              <w:rPr>
                <w:rStyle w:val="StrongEmphasis"/>
                <w:rFonts w:ascii="Times New Roman" w:hAnsi="Times New Roman"/>
                <w:sz w:val="20"/>
              </w:rPr>
              <w:t>$</w:t>
            </w:r>
          </w:p>
        </w:tc>
        <w:tc>
          <w:tcPr>
            <w:tcW w:w="1173" w:type="dxa"/>
            <w:tcBorders/>
            <w:shd w:fill="CCFFCC" w:val="clear"/>
            <w:tcMar>
              <w:bottom w:w="0" w:type="dxa"/>
            </w:tcMar>
            <w:vAlign w:val="bottom"/>
          </w:tcPr>
          <w:p>
            <w:pPr>
              <w:pStyle w:val="TableContents"/>
              <w:spacing w:lineRule="auto" w:line="300" w:before="0" w:after="0"/>
              <w:ind w:left="0" w:right="0" w:hanging="0"/>
              <w:jc w:val="right"/>
              <w:rPr/>
            </w:pPr>
            <w:bookmarkStart w:id="501" w:name="TAB1308"/>
            <w:bookmarkStart w:id="502" w:name="TAB1309"/>
            <w:bookmarkEnd w:id="501"/>
            <w:bookmarkEnd w:id="502"/>
            <w:r>
              <w:rPr>
                <w:rStyle w:val="StrongEmphasis"/>
                <w:rFonts w:ascii="Times New Roman" w:hAnsi="Times New Roman"/>
                <w:sz w:val="20"/>
              </w:rPr>
              <w:t>35,298</w:t>
            </w:r>
          </w:p>
        </w:tc>
        <w:tc>
          <w:tcPr>
            <w:tcW w:w="113" w:type="dxa"/>
            <w:tcBorders/>
            <w:shd w:fill="CCFFCC" w:val="clear"/>
            <w:tcMar>
              <w:bottom w:w="0" w:type="dxa"/>
            </w:tcMar>
            <w:vAlign w:val="bottom"/>
          </w:tcPr>
          <w:p>
            <w:pPr>
              <w:pStyle w:val="TableContents"/>
              <w:spacing w:before="0" w:after="283"/>
              <w:jc w:val="left"/>
              <w:rPr/>
            </w:pPr>
            <w:r>
              <w:rPr/>
              <w:t> </w:t>
            </w:r>
          </w:p>
        </w:tc>
      </w:tr>
      <w:tr>
        <w:trPr/>
        <w:tc>
          <w:tcPr>
            <w:tcW w:w="3030"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Retail and Wholesale Products </w:t>
            </w:r>
          </w:p>
        </w:tc>
        <w:tc>
          <w:tcPr>
            <w:tcW w:w="192"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3" w:type="dxa"/>
            <w:tcBorders/>
            <w:shd w:fill="FFFFFF" w:val="clear"/>
            <w:tcMar>
              <w:bottom w:w="0" w:type="dxa"/>
            </w:tcMar>
            <w:vAlign w:val="bottom"/>
          </w:tcPr>
          <w:p>
            <w:pPr>
              <w:pStyle w:val="TableContents"/>
              <w:spacing w:lineRule="auto" w:line="300" w:before="0" w:after="0"/>
              <w:ind w:left="0" w:right="0" w:hanging="0"/>
              <w:jc w:val="right"/>
              <w:rPr/>
            </w:pPr>
            <w:bookmarkStart w:id="503" w:name="TAB1310"/>
            <w:bookmarkStart w:id="504" w:name="TAB1311"/>
            <w:bookmarkEnd w:id="503"/>
            <w:bookmarkEnd w:id="504"/>
            <w:r>
              <w:rPr>
                <w:rStyle w:val="StrongEmphasis"/>
                <w:rFonts w:ascii="Times New Roman" w:hAnsi="Times New Roman"/>
                <w:sz w:val="20"/>
              </w:rPr>
              <w:t>64,493</w:t>
            </w:r>
          </w:p>
        </w:tc>
        <w:tc>
          <w:tcPr>
            <w:tcW w:w="192"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3" w:type="dxa"/>
            <w:tcBorders/>
            <w:shd w:fill="FFFFFF" w:val="clear"/>
            <w:tcMar>
              <w:bottom w:w="0" w:type="dxa"/>
            </w:tcMar>
            <w:vAlign w:val="bottom"/>
          </w:tcPr>
          <w:p>
            <w:pPr>
              <w:pStyle w:val="TableContents"/>
              <w:spacing w:lineRule="auto" w:line="300" w:before="0" w:after="0"/>
              <w:ind w:left="0" w:right="0" w:hanging="0"/>
              <w:jc w:val="right"/>
              <w:rPr/>
            </w:pPr>
            <w:bookmarkStart w:id="505" w:name="TAB1312"/>
            <w:bookmarkStart w:id="506" w:name="TAB1313"/>
            <w:bookmarkEnd w:id="505"/>
            <w:bookmarkEnd w:id="506"/>
            <w:r>
              <w:rPr>
                <w:rStyle w:val="StrongEmphasis"/>
                <w:rFonts w:ascii="Times New Roman" w:hAnsi="Times New Roman"/>
                <w:sz w:val="20"/>
              </w:rPr>
              <w:t>61,992</w:t>
            </w:r>
          </w:p>
        </w:tc>
        <w:tc>
          <w:tcPr>
            <w:tcW w:w="113" w:type="dxa"/>
            <w:tcBorders/>
            <w:shd w:fill="FFFFFF" w:val="clear"/>
            <w:tcMar>
              <w:bottom w:w="0" w:type="dxa"/>
            </w:tcMar>
            <w:vAlign w:val="bottom"/>
          </w:tcPr>
          <w:p>
            <w:pPr>
              <w:pStyle w:val="TableContents"/>
              <w:spacing w:before="0" w:after="283"/>
              <w:jc w:val="left"/>
              <w:rPr/>
            </w:pPr>
            <w:r>
              <w:rPr/>
              <w:t> </w:t>
            </w:r>
          </w:p>
        </w:tc>
      </w:tr>
      <w:tr>
        <w:trPr/>
        <w:tc>
          <w:tcPr>
            <w:tcW w:w="3030" w:type="dxa"/>
            <w:tcBorders>
              <w:bottom w:val="single" w:sz="4"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Unallocated Assets</w:t>
            </w:r>
          </w:p>
        </w:tc>
        <w:tc>
          <w:tcPr>
            <w:tcW w:w="192" w:type="dxa"/>
            <w:tcBorders>
              <w:bottom w:val="single" w:sz="4" w:space="0" w:color="CCFFCC"/>
            </w:tcBorders>
            <w:shd w:fill="CCFFCC" w:val="clear"/>
            <w:vAlign w:val="center"/>
          </w:tcPr>
          <w:p>
            <w:pPr>
              <w:pStyle w:val="TableContents"/>
              <w:spacing w:before="0" w:after="283"/>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173"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507" w:name="TAB1314"/>
            <w:bookmarkStart w:id="508" w:name="TAB1315"/>
            <w:bookmarkEnd w:id="507"/>
            <w:bookmarkEnd w:id="508"/>
            <w:r>
              <w:rPr>
                <w:rStyle w:val="StrongEmphasis"/>
                <w:rFonts w:ascii="Times New Roman" w:hAnsi="Times New Roman"/>
                <w:sz w:val="20"/>
              </w:rPr>
              <w:t>44,293</w:t>
            </w:r>
          </w:p>
        </w:tc>
        <w:tc>
          <w:tcPr>
            <w:tcW w:w="192" w:type="dxa"/>
            <w:tcBorders>
              <w:bottom w:val="single" w:sz="4" w:space="0" w:color="CCFFCC"/>
            </w:tcBorders>
            <w:shd w:fill="CCFFCC" w:val="clear"/>
            <w:vAlign w:val="bottom"/>
          </w:tcPr>
          <w:p>
            <w:pPr>
              <w:pStyle w:val="TableContents"/>
              <w:spacing w:before="0" w:after="283"/>
              <w:jc w:val="left"/>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173"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509" w:name="TAB1316"/>
            <w:bookmarkStart w:id="510" w:name="TAB1317"/>
            <w:bookmarkEnd w:id="509"/>
            <w:bookmarkEnd w:id="510"/>
            <w:r>
              <w:rPr>
                <w:rStyle w:val="StrongEmphasis"/>
                <w:rFonts w:ascii="Times New Roman" w:hAnsi="Times New Roman"/>
                <w:sz w:val="20"/>
              </w:rPr>
              <w:t>44,797</w:t>
            </w:r>
          </w:p>
        </w:tc>
        <w:tc>
          <w:tcPr>
            <w:tcW w:w="113" w:type="dxa"/>
            <w:tcBorders>
              <w:bottom w:val="single" w:sz="4" w:space="0" w:color="CCFFCC"/>
            </w:tcBorders>
            <w:shd w:fill="CCFFCC" w:val="clear"/>
            <w:vAlign w:val="bottom"/>
          </w:tcPr>
          <w:p>
            <w:pPr>
              <w:pStyle w:val="TableContents"/>
              <w:spacing w:before="0" w:after="283"/>
              <w:jc w:val="left"/>
              <w:rPr/>
            </w:pPr>
            <w:r>
              <w:rPr/>
              <w:t> </w:t>
            </w:r>
          </w:p>
        </w:tc>
      </w:tr>
      <w:tr>
        <w:trPr/>
        <w:tc>
          <w:tcPr>
            <w:tcW w:w="3030" w:type="dxa"/>
            <w:tcBorders>
              <w:bottom w:val="single" w:sz="4"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Total Assets</w:t>
            </w:r>
          </w:p>
        </w:tc>
        <w:tc>
          <w:tcPr>
            <w:tcW w:w="192" w:type="dxa"/>
            <w:tcBorders>
              <w:bottom w:val="single" w:sz="4" w:space="0" w:color="FFFFFF"/>
            </w:tcBorders>
            <w:shd w:fill="FFFFFF" w:val="clear"/>
            <w:vAlign w:val="center"/>
          </w:tcPr>
          <w:p>
            <w:pPr>
              <w:pStyle w:val="TableContents"/>
              <w:spacing w:before="0" w:after="283"/>
              <w:rPr/>
            </w:pPr>
            <w:r>
              <w:rPr/>
              <w:t> </w:t>
            </w:r>
          </w:p>
        </w:tc>
        <w:tc>
          <w:tcPr>
            <w:tcW w:w="125" w:type="dxa"/>
            <w:tcBorders>
              <w:bottom w:val="double" w:sz="2" w:space="0" w:color="000000"/>
            </w:tcBorders>
            <w:shd w:fill="FFFFFF" w:val="clear"/>
            <w:vAlign w:val="bottom"/>
          </w:tcPr>
          <w:p>
            <w:pPr>
              <w:pStyle w:val="TableContents"/>
              <w:spacing w:lineRule="auto" w:line="300" w:before="0" w:after="0"/>
              <w:ind w:left="0" w:right="0" w:hanging="0"/>
              <w:jc w:val="left"/>
              <w:rPr/>
            </w:pPr>
            <w:bookmarkStart w:id="511" w:name="TAB1318"/>
            <w:bookmarkEnd w:id="511"/>
            <w:r>
              <w:rPr>
                <w:rStyle w:val="StrongEmphasis"/>
                <w:rFonts w:ascii="Times New Roman" w:hAnsi="Times New Roman"/>
                <w:sz w:val="20"/>
              </w:rPr>
              <w:t>$</w:t>
            </w:r>
            <w:bookmarkStart w:id="512" w:name="TAB245"/>
            <w:bookmarkEnd w:id="512"/>
          </w:p>
        </w:tc>
        <w:tc>
          <w:tcPr>
            <w:tcW w:w="1173" w:type="dxa"/>
            <w:tcBorders>
              <w:bottom w:val="double" w:sz="2" w:space="0" w:color="000000"/>
            </w:tcBorders>
            <w:shd w:fill="FFFFFF" w:val="clear"/>
            <w:vAlign w:val="bottom"/>
          </w:tcPr>
          <w:p>
            <w:pPr>
              <w:pStyle w:val="TableContents"/>
              <w:spacing w:lineRule="auto" w:line="300" w:before="0" w:after="0"/>
              <w:ind w:left="0" w:right="0" w:hanging="0"/>
              <w:jc w:val="right"/>
              <w:rPr/>
            </w:pPr>
            <w:bookmarkStart w:id="513" w:name="TAB246"/>
            <w:bookmarkStart w:id="514" w:name="TAB1319"/>
            <w:bookmarkEnd w:id="513"/>
            <w:bookmarkEnd w:id="514"/>
            <w:r>
              <w:rPr>
                <w:rStyle w:val="StrongEmphasis"/>
                <w:rFonts w:ascii="Times New Roman" w:hAnsi="Times New Roman"/>
                <w:sz w:val="20"/>
              </w:rPr>
              <w:t>145,361</w:t>
            </w:r>
          </w:p>
        </w:tc>
        <w:tc>
          <w:tcPr>
            <w:tcW w:w="192"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lineRule="auto" w:line="300" w:before="0" w:after="0"/>
              <w:ind w:left="0" w:right="0" w:hanging="0"/>
              <w:jc w:val="left"/>
              <w:rPr/>
            </w:pPr>
            <w:bookmarkStart w:id="515" w:name="TAB1320"/>
            <w:bookmarkEnd w:id="515"/>
            <w:r>
              <w:rPr>
                <w:rStyle w:val="StrongEmphasis"/>
                <w:rFonts w:ascii="Times New Roman" w:hAnsi="Times New Roman"/>
                <w:sz w:val="20"/>
              </w:rPr>
              <w:t>$</w:t>
            </w:r>
            <w:bookmarkStart w:id="516" w:name="TAB247"/>
            <w:bookmarkEnd w:id="516"/>
          </w:p>
        </w:tc>
        <w:tc>
          <w:tcPr>
            <w:tcW w:w="1173" w:type="dxa"/>
            <w:tcBorders>
              <w:bottom w:val="double" w:sz="2" w:space="0" w:color="000000"/>
            </w:tcBorders>
            <w:shd w:fill="FFFFFF" w:val="clear"/>
            <w:vAlign w:val="bottom"/>
          </w:tcPr>
          <w:p>
            <w:pPr>
              <w:pStyle w:val="TableContents"/>
              <w:spacing w:lineRule="auto" w:line="300" w:before="0" w:after="0"/>
              <w:ind w:left="0" w:right="0" w:hanging="0"/>
              <w:jc w:val="right"/>
              <w:rPr/>
            </w:pPr>
            <w:bookmarkStart w:id="517" w:name="TAB248"/>
            <w:bookmarkStart w:id="518" w:name="TAB1321"/>
            <w:bookmarkEnd w:id="517"/>
            <w:bookmarkEnd w:id="518"/>
            <w:r>
              <w:rPr>
                <w:rStyle w:val="StrongEmphasis"/>
                <w:rFonts w:ascii="Times New Roman" w:hAnsi="Times New Roman"/>
                <w:sz w:val="20"/>
              </w:rPr>
              <w:t>142,087</w:t>
            </w:r>
          </w:p>
        </w:tc>
        <w:tc>
          <w:tcPr>
            <w:tcW w:w="113"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before="0" w:after="0"/>
        <w:rPr/>
      </w:pPr>
      <w:r>
        <w:rPr/>
        <w:t> </w:t>
      </w:r>
    </w:p>
    <w:p>
      <w:pPr>
        <w:pStyle w:val="Normal"/>
        <w:spacing w:before="0" w:after="0"/>
        <w:rPr>
          <w:sz w:val="4"/>
          <w:szCs w:val="4"/>
        </w:rPr>
      </w:pPr>
      <w:r>
        <w:rPr>
          <w:sz w:val="4"/>
          <w:szCs w:val="4"/>
        </w:rPr>
      </w:r>
      <w:bookmarkStart w:id="519" w:name="ftable12"/>
      <w:bookmarkStart w:id="520" w:name="ftable12"/>
      <w:bookmarkEnd w:id="520"/>
    </w:p>
    <w:tbl>
      <w:tblPr>
        <w:tblW w:w="4500" w:type="pct"/>
        <w:jc w:val="left"/>
        <w:tblInd w:w="0" w:type="dxa"/>
        <w:tblCellMar>
          <w:top w:w="0" w:type="dxa"/>
          <w:left w:w="0" w:type="dxa"/>
          <w:bottom w:w="28" w:type="dxa"/>
          <w:right w:w="0" w:type="dxa"/>
        </w:tblCellMar>
      </w:tblPr>
      <w:tblGrid>
        <w:gridCol w:w="3151"/>
        <w:gridCol w:w="192"/>
        <w:gridCol w:w="126"/>
        <w:gridCol w:w="1175"/>
        <w:gridCol w:w="192"/>
        <w:gridCol w:w="126"/>
        <w:gridCol w:w="1175"/>
        <w:gridCol w:w="192"/>
        <w:gridCol w:w="126"/>
        <w:gridCol w:w="1141"/>
        <w:gridCol w:w="198"/>
        <w:gridCol w:w="126"/>
        <w:gridCol w:w="1140"/>
        <w:gridCol w:w="124"/>
      </w:tblGrid>
      <w:tr>
        <w:trPr/>
        <w:tc>
          <w:tcPr>
            <w:tcW w:w="3151" w:type="dxa"/>
            <w:tcBorders>
              <w:bottom w:val="single" w:sz="4" w:space="0" w:color="FFFFFF"/>
            </w:tcBorders>
            <w:shd w:fill="auto" w:val="clear"/>
            <w:vAlign w:val="bottom"/>
          </w:tcPr>
          <w:p>
            <w:pPr>
              <w:pStyle w:val="TableContents"/>
              <w:spacing w:before="0" w:after="283"/>
              <w:jc w:val="left"/>
              <w:rPr/>
            </w:pPr>
            <w:r>
              <w:rPr/>
              <w:t> </w:t>
            </w:r>
          </w:p>
        </w:tc>
        <w:tc>
          <w:tcPr>
            <w:tcW w:w="192" w:type="dxa"/>
            <w:tcBorders>
              <w:bottom w:val="single" w:sz="4" w:space="0" w:color="FFFFFF"/>
            </w:tcBorders>
            <w:shd w:fill="auto" w:val="clear"/>
            <w:vAlign w:val="center"/>
          </w:tcPr>
          <w:p>
            <w:pPr>
              <w:pStyle w:val="TableContents"/>
              <w:spacing w:before="0" w:after="283"/>
              <w:rPr/>
            </w:pPr>
            <w:r>
              <w:rPr/>
              <w:t> </w:t>
            </w:r>
          </w:p>
        </w:tc>
        <w:tc>
          <w:tcPr>
            <w:tcW w:w="5717" w:type="dxa"/>
            <w:gridSpan w:val="11"/>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Six Months Ended January 31,</w:t>
            </w:r>
          </w:p>
        </w:tc>
        <w:tc>
          <w:tcPr>
            <w:tcW w:w="124" w:type="dxa"/>
            <w:tcBorders>
              <w:bottom w:val="single" w:sz="4" w:space="0" w:color="FFFFFF"/>
            </w:tcBorders>
            <w:shd w:fill="auto" w:val="clear"/>
            <w:vAlign w:val="bottom"/>
          </w:tcPr>
          <w:p>
            <w:pPr>
              <w:pStyle w:val="TableContents"/>
              <w:spacing w:before="0" w:after="283"/>
              <w:jc w:val="left"/>
              <w:rPr/>
            </w:pPr>
            <w:r>
              <w:rPr/>
              <w:t> </w:t>
            </w:r>
          </w:p>
        </w:tc>
      </w:tr>
      <w:tr>
        <w:trPr/>
        <w:tc>
          <w:tcPr>
            <w:tcW w:w="3151" w:type="dxa"/>
            <w:tcBorders>
              <w:bottom w:val="single" w:sz="4" w:space="0" w:color="FFFFFF"/>
            </w:tcBorders>
            <w:shd w:fill="auto" w:val="clear"/>
            <w:vAlign w:val="bottom"/>
          </w:tcPr>
          <w:p>
            <w:pPr>
              <w:pStyle w:val="TableContents"/>
              <w:spacing w:before="0" w:after="283"/>
              <w:jc w:val="left"/>
              <w:rPr/>
            </w:pPr>
            <w:r>
              <w:rPr/>
              <w:t> </w:t>
            </w:r>
          </w:p>
        </w:tc>
        <w:tc>
          <w:tcPr>
            <w:tcW w:w="192" w:type="dxa"/>
            <w:tcBorders>
              <w:bottom w:val="single" w:sz="4" w:space="0" w:color="FFFFFF"/>
            </w:tcBorders>
            <w:shd w:fill="auto" w:val="clear"/>
            <w:vAlign w:val="center"/>
          </w:tcPr>
          <w:p>
            <w:pPr>
              <w:pStyle w:val="TableContents"/>
              <w:spacing w:before="0" w:after="283"/>
              <w:rPr/>
            </w:pPr>
            <w:r>
              <w:rPr/>
              <w:t> </w:t>
            </w:r>
          </w:p>
        </w:tc>
        <w:tc>
          <w:tcPr>
            <w:tcW w:w="2794"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Net Sales</w:t>
            </w:r>
          </w:p>
        </w:tc>
        <w:tc>
          <w:tcPr>
            <w:tcW w:w="192" w:type="dxa"/>
            <w:tcBorders>
              <w:bottom w:val="single" w:sz="4" w:space="0" w:color="FFFFFF"/>
            </w:tcBorders>
            <w:shd w:fill="auto" w:val="clear"/>
            <w:vAlign w:val="bottom"/>
          </w:tcPr>
          <w:p>
            <w:pPr>
              <w:pStyle w:val="TableContents"/>
              <w:spacing w:before="0" w:after="283"/>
              <w:jc w:val="left"/>
              <w:rPr/>
            </w:pPr>
            <w:r>
              <w:rPr/>
              <w:t> </w:t>
            </w:r>
          </w:p>
        </w:tc>
        <w:tc>
          <w:tcPr>
            <w:tcW w:w="2731"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Operating Income</w:t>
            </w:r>
          </w:p>
        </w:tc>
        <w:tc>
          <w:tcPr>
            <w:tcW w:w="124" w:type="dxa"/>
            <w:tcBorders>
              <w:bottom w:val="single" w:sz="4" w:space="0" w:color="FFFFFF"/>
            </w:tcBorders>
            <w:shd w:fill="auto" w:val="clear"/>
            <w:vAlign w:val="bottom"/>
          </w:tcPr>
          <w:p>
            <w:pPr>
              <w:pStyle w:val="TableContents"/>
              <w:spacing w:before="0" w:after="283"/>
              <w:jc w:val="left"/>
              <w:rPr/>
            </w:pPr>
            <w:r>
              <w:rPr/>
              <w:t> </w:t>
            </w:r>
          </w:p>
        </w:tc>
      </w:tr>
      <w:tr>
        <w:trPr/>
        <w:tc>
          <w:tcPr>
            <w:tcW w:w="3151" w:type="dxa"/>
            <w:tcBorders>
              <w:bottom w:val="single" w:sz="4" w:space="0" w:color="FFFFFF"/>
            </w:tcBorders>
            <w:shd w:fill="auto" w:val="clear"/>
            <w:vAlign w:val="bottom"/>
          </w:tcPr>
          <w:p>
            <w:pPr>
              <w:pStyle w:val="TableContents"/>
              <w:spacing w:before="0" w:after="283"/>
              <w:jc w:val="left"/>
              <w:rPr/>
            </w:pPr>
            <w:r>
              <w:rPr/>
              <w:t> </w:t>
            </w:r>
          </w:p>
        </w:tc>
        <w:tc>
          <w:tcPr>
            <w:tcW w:w="192" w:type="dxa"/>
            <w:tcBorders>
              <w:bottom w:val="single" w:sz="4" w:space="0" w:color="FFFFFF"/>
            </w:tcBorders>
            <w:shd w:fill="auto" w:val="clear"/>
            <w:vAlign w:val="center"/>
          </w:tcPr>
          <w:p>
            <w:pPr>
              <w:pStyle w:val="TableContents"/>
              <w:spacing w:before="0" w:after="283"/>
              <w:rPr/>
            </w:pPr>
            <w:r>
              <w:rPr/>
              <w:t> </w:t>
            </w:r>
          </w:p>
        </w:tc>
        <w:tc>
          <w:tcPr>
            <w:tcW w:w="1301"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2008</w:t>
            </w:r>
          </w:p>
        </w:tc>
        <w:tc>
          <w:tcPr>
            <w:tcW w:w="192" w:type="dxa"/>
            <w:tcBorders>
              <w:bottom w:val="single" w:sz="4" w:space="0" w:color="FFFFFF"/>
            </w:tcBorders>
            <w:shd w:fill="auto" w:val="clear"/>
            <w:vAlign w:val="bottom"/>
          </w:tcPr>
          <w:p>
            <w:pPr>
              <w:pStyle w:val="TableContents"/>
              <w:spacing w:before="0" w:after="283"/>
              <w:jc w:val="left"/>
              <w:rPr/>
            </w:pPr>
            <w:r>
              <w:rPr/>
              <w:t> </w:t>
            </w:r>
          </w:p>
        </w:tc>
        <w:tc>
          <w:tcPr>
            <w:tcW w:w="1301"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2007</w:t>
            </w:r>
          </w:p>
        </w:tc>
        <w:tc>
          <w:tcPr>
            <w:tcW w:w="192" w:type="dxa"/>
            <w:tcBorders>
              <w:bottom w:val="single" w:sz="4" w:space="0" w:color="FFFFFF"/>
            </w:tcBorders>
            <w:shd w:fill="auto" w:val="clear"/>
            <w:vAlign w:val="bottom"/>
          </w:tcPr>
          <w:p>
            <w:pPr>
              <w:pStyle w:val="TableContents"/>
              <w:spacing w:before="0" w:after="283"/>
              <w:jc w:val="left"/>
              <w:rPr/>
            </w:pPr>
            <w:r>
              <w:rPr/>
              <w:t> </w:t>
            </w:r>
          </w:p>
        </w:tc>
        <w:tc>
          <w:tcPr>
            <w:tcW w:w="1267"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2008</w:t>
            </w:r>
          </w:p>
        </w:tc>
        <w:tc>
          <w:tcPr>
            <w:tcW w:w="198" w:type="dxa"/>
            <w:tcBorders>
              <w:bottom w:val="single" w:sz="4" w:space="0" w:color="FFFFFF"/>
            </w:tcBorders>
            <w:shd w:fill="auto" w:val="clear"/>
            <w:vAlign w:val="bottom"/>
          </w:tcPr>
          <w:p>
            <w:pPr>
              <w:pStyle w:val="TableContents"/>
              <w:spacing w:before="0" w:after="283"/>
              <w:jc w:val="left"/>
              <w:rPr/>
            </w:pPr>
            <w:r>
              <w:rPr/>
              <w:t> </w:t>
            </w:r>
          </w:p>
        </w:tc>
        <w:tc>
          <w:tcPr>
            <w:tcW w:w="1266"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2007</w:t>
            </w:r>
          </w:p>
        </w:tc>
        <w:tc>
          <w:tcPr>
            <w:tcW w:w="124" w:type="dxa"/>
            <w:tcBorders>
              <w:bottom w:val="single" w:sz="4" w:space="0" w:color="FFFFFF"/>
            </w:tcBorders>
            <w:shd w:fill="auto" w:val="clear"/>
            <w:vAlign w:val="bottom"/>
          </w:tcPr>
          <w:p>
            <w:pPr>
              <w:pStyle w:val="TableContents"/>
              <w:spacing w:before="0" w:after="283"/>
              <w:jc w:val="left"/>
              <w:rPr/>
            </w:pPr>
            <w:r>
              <w:rPr/>
              <w:t> </w:t>
            </w:r>
          </w:p>
        </w:tc>
      </w:tr>
      <w:tr>
        <w:trPr/>
        <w:tc>
          <w:tcPr>
            <w:tcW w:w="3151" w:type="dxa"/>
            <w:tcBorders/>
            <w:shd w:fill="auto" w:val="clear"/>
            <w:tcMar>
              <w:bottom w:w="0" w:type="dxa"/>
            </w:tcMar>
            <w:vAlign w:val="bottom"/>
          </w:tcPr>
          <w:p>
            <w:pPr>
              <w:pStyle w:val="TableContents"/>
              <w:spacing w:before="0" w:after="283"/>
              <w:jc w:val="left"/>
              <w:rPr/>
            </w:pPr>
            <w:r>
              <w:rPr/>
              <w:t> </w:t>
            </w:r>
          </w:p>
        </w:tc>
        <w:tc>
          <w:tcPr>
            <w:tcW w:w="192" w:type="dxa"/>
            <w:tcBorders/>
            <w:shd w:fill="auto" w:val="clear"/>
            <w:tcMar>
              <w:bottom w:w="0" w:type="dxa"/>
            </w:tcMar>
            <w:vAlign w:val="center"/>
          </w:tcPr>
          <w:p>
            <w:pPr>
              <w:pStyle w:val="TableContents"/>
              <w:spacing w:before="0" w:after="283"/>
              <w:rPr/>
            </w:pPr>
            <w:r>
              <w:rPr/>
              <w:t> </w:t>
            </w:r>
          </w:p>
        </w:tc>
        <w:tc>
          <w:tcPr>
            <w:tcW w:w="5717" w:type="dxa"/>
            <w:gridSpan w:val="11"/>
            <w:tcBorders/>
            <w:shd w:fill="auto" w:val="clear"/>
            <w:tcMar>
              <w:bottom w:w="0" w:type="dxa"/>
            </w:tcMar>
            <w:vAlign w:val="bottom"/>
          </w:tcPr>
          <w:p>
            <w:pPr>
              <w:pStyle w:val="TableContents"/>
              <w:spacing w:lineRule="auto" w:line="300" w:before="0" w:after="0"/>
              <w:ind w:left="0" w:right="0" w:hanging="0"/>
              <w:jc w:val="center"/>
              <w:rPr/>
            </w:pPr>
            <w:r>
              <w:rPr>
                <w:rStyle w:val="StrongEmphasis"/>
                <w:rFonts w:ascii="Times New Roman" w:hAnsi="Times New Roman"/>
                <w:sz w:val="20"/>
              </w:rPr>
              <w:t>(in thousands)</w:t>
            </w:r>
          </w:p>
        </w:tc>
        <w:tc>
          <w:tcPr>
            <w:tcW w:w="124" w:type="dxa"/>
            <w:tcBorders/>
            <w:shd w:fill="auto" w:val="clear"/>
            <w:tcMar>
              <w:bottom w:w="0" w:type="dxa"/>
            </w:tcMar>
            <w:vAlign w:val="bottom"/>
          </w:tcPr>
          <w:p>
            <w:pPr>
              <w:pStyle w:val="TableContents"/>
              <w:spacing w:before="0" w:after="283"/>
              <w:jc w:val="left"/>
              <w:rPr/>
            </w:pPr>
            <w:r>
              <w:rPr/>
              <w:t> </w:t>
            </w:r>
          </w:p>
        </w:tc>
      </w:tr>
      <w:tr>
        <w:trPr/>
        <w:tc>
          <w:tcPr>
            <w:tcW w:w="3151"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Business to Business Products </w:t>
            </w:r>
          </w:p>
        </w:tc>
        <w:tc>
          <w:tcPr>
            <w:tcW w:w="192" w:type="dxa"/>
            <w:tcBorders/>
            <w:shd w:fill="CCFFCC" w:val="clear"/>
            <w:tcMar>
              <w:bottom w:w="0" w:type="dxa"/>
            </w:tcMar>
            <w:vAlign w:val="center"/>
          </w:tcPr>
          <w:p>
            <w:pPr>
              <w:pStyle w:val="TableContents"/>
              <w:spacing w:before="0" w:after="283"/>
              <w:rPr/>
            </w:pPr>
            <w:r>
              <w:rPr/>
              <w:t> </w:t>
            </w:r>
          </w:p>
        </w:tc>
        <w:tc>
          <w:tcPr>
            <w:tcW w:w="126"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175"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35,480</w:t>
            </w:r>
          </w:p>
        </w:tc>
        <w:tc>
          <w:tcPr>
            <w:tcW w:w="192"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175"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33,782</w:t>
            </w:r>
          </w:p>
        </w:tc>
        <w:tc>
          <w:tcPr>
            <w:tcW w:w="192"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lineRule="auto" w:line="300" w:before="0" w:after="0"/>
              <w:ind w:left="0" w:right="0" w:hanging="0"/>
              <w:jc w:val="left"/>
              <w:rPr/>
            </w:pPr>
            <w:bookmarkStart w:id="521" w:name="TAB1322"/>
            <w:bookmarkStart w:id="522" w:name="TAB1323"/>
            <w:bookmarkEnd w:id="521"/>
            <w:bookmarkEnd w:id="522"/>
            <w:r>
              <w:rPr>
                <w:rStyle w:val="StrongEmphasis"/>
                <w:rFonts w:ascii="Times New Roman" w:hAnsi="Times New Roman"/>
                <w:sz w:val="20"/>
              </w:rPr>
              <w:t>$</w:t>
            </w:r>
          </w:p>
        </w:tc>
        <w:tc>
          <w:tcPr>
            <w:tcW w:w="1141" w:type="dxa"/>
            <w:tcBorders/>
            <w:shd w:fill="CCFFCC" w:val="clear"/>
            <w:tcMar>
              <w:bottom w:w="0" w:type="dxa"/>
            </w:tcMar>
            <w:vAlign w:val="bottom"/>
          </w:tcPr>
          <w:p>
            <w:pPr>
              <w:pStyle w:val="TableContents"/>
              <w:spacing w:lineRule="auto" w:line="300" w:before="0" w:after="0"/>
              <w:ind w:left="0" w:right="0" w:hanging="0"/>
              <w:jc w:val="right"/>
              <w:rPr/>
            </w:pPr>
            <w:bookmarkStart w:id="523" w:name="TAB1324"/>
            <w:bookmarkStart w:id="524" w:name="TAB1325"/>
            <w:bookmarkEnd w:id="523"/>
            <w:bookmarkEnd w:id="524"/>
            <w:r>
              <w:rPr>
                <w:rStyle w:val="StrongEmphasis"/>
                <w:rFonts w:ascii="Times New Roman" w:hAnsi="Times New Roman"/>
                <w:sz w:val="20"/>
              </w:rPr>
              <w:t>7,657</w:t>
            </w:r>
          </w:p>
        </w:tc>
        <w:tc>
          <w:tcPr>
            <w:tcW w:w="198"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lineRule="auto" w:line="300" w:before="0" w:after="0"/>
              <w:ind w:left="0" w:right="0" w:hanging="0"/>
              <w:jc w:val="left"/>
              <w:rPr/>
            </w:pPr>
            <w:bookmarkStart w:id="525" w:name="TAB1326"/>
            <w:bookmarkStart w:id="526" w:name="TAB1327"/>
            <w:bookmarkEnd w:id="525"/>
            <w:bookmarkEnd w:id="526"/>
            <w:r>
              <w:rPr>
                <w:rStyle w:val="StrongEmphasis"/>
                <w:rFonts w:ascii="Times New Roman" w:hAnsi="Times New Roman"/>
                <w:sz w:val="20"/>
              </w:rPr>
              <w:t>$</w:t>
            </w:r>
          </w:p>
        </w:tc>
        <w:tc>
          <w:tcPr>
            <w:tcW w:w="1140" w:type="dxa"/>
            <w:tcBorders/>
            <w:shd w:fill="CCFFCC" w:val="clear"/>
            <w:tcMar>
              <w:bottom w:w="0" w:type="dxa"/>
            </w:tcMar>
            <w:vAlign w:val="bottom"/>
          </w:tcPr>
          <w:p>
            <w:pPr>
              <w:pStyle w:val="TableContents"/>
              <w:spacing w:lineRule="auto" w:line="300" w:before="0" w:after="0"/>
              <w:ind w:left="0" w:right="0" w:hanging="0"/>
              <w:jc w:val="right"/>
              <w:rPr/>
            </w:pPr>
            <w:bookmarkStart w:id="527" w:name="TAB1328"/>
            <w:bookmarkStart w:id="528" w:name="TAB1329"/>
            <w:bookmarkEnd w:id="527"/>
            <w:bookmarkEnd w:id="528"/>
            <w:r>
              <w:rPr>
                <w:rStyle w:val="StrongEmphasis"/>
                <w:rFonts w:ascii="Times New Roman" w:hAnsi="Times New Roman"/>
                <w:sz w:val="20"/>
              </w:rPr>
              <w:t>6,249</w:t>
            </w:r>
          </w:p>
        </w:tc>
        <w:tc>
          <w:tcPr>
            <w:tcW w:w="124" w:type="dxa"/>
            <w:tcBorders/>
            <w:shd w:fill="CCFFCC" w:val="clear"/>
            <w:tcMar>
              <w:bottom w:w="0" w:type="dxa"/>
            </w:tcMar>
            <w:vAlign w:val="bottom"/>
          </w:tcPr>
          <w:p>
            <w:pPr>
              <w:pStyle w:val="TableContents"/>
              <w:spacing w:before="0" w:after="283"/>
              <w:jc w:val="left"/>
              <w:rPr/>
            </w:pPr>
            <w:r>
              <w:rPr/>
              <w:t> </w:t>
            </w:r>
          </w:p>
        </w:tc>
      </w:tr>
      <w:tr>
        <w:trPr/>
        <w:tc>
          <w:tcPr>
            <w:tcW w:w="3151" w:type="dxa"/>
            <w:tcBorders>
              <w:bottom w:val="single" w:sz="4"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Retail and Wholesale Products </w:t>
            </w:r>
          </w:p>
        </w:tc>
        <w:tc>
          <w:tcPr>
            <w:tcW w:w="192" w:type="dxa"/>
            <w:tcBorders>
              <w:bottom w:val="single" w:sz="4" w:space="0" w:color="FFFFFF"/>
            </w:tcBorders>
            <w:shd w:fill="FFFFFF" w:val="clear"/>
            <w:vAlign w:val="center"/>
          </w:tcPr>
          <w:p>
            <w:pPr>
              <w:pStyle w:val="TableContents"/>
              <w:spacing w:before="0" w:after="283"/>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75"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529" w:name="TAB1330"/>
            <w:bookmarkEnd w:id="529"/>
            <w:r>
              <w:rPr>
                <w:rStyle w:val="StrongEmphasis"/>
                <w:rFonts w:ascii="Times New Roman" w:hAnsi="Times New Roman"/>
                <w:sz w:val="20"/>
              </w:rPr>
              <w:t>77,831</w:t>
            </w:r>
          </w:p>
        </w:tc>
        <w:tc>
          <w:tcPr>
            <w:tcW w:w="192"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75"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530" w:name="TAB1331"/>
            <w:bookmarkEnd w:id="530"/>
            <w:r>
              <w:rPr>
                <w:rStyle w:val="StrongEmphasis"/>
                <w:rFonts w:ascii="Times New Roman" w:hAnsi="Times New Roman"/>
                <w:sz w:val="20"/>
              </w:rPr>
              <w:t>71,220</w:t>
            </w:r>
          </w:p>
        </w:tc>
        <w:tc>
          <w:tcPr>
            <w:tcW w:w="192"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41"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531" w:name="TAB1332"/>
            <w:bookmarkStart w:id="532" w:name="TAB1333"/>
            <w:bookmarkEnd w:id="531"/>
            <w:bookmarkEnd w:id="532"/>
            <w:r>
              <w:rPr>
                <w:rStyle w:val="StrongEmphasis"/>
                <w:rFonts w:ascii="Times New Roman" w:hAnsi="Times New Roman"/>
                <w:sz w:val="20"/>
              </w:rPr>
              <w:t>8,233</w:t>
            </w:r>
          </w:p>
        </w:tc>
        <w:tc>
          <w:tcPr>
            <w:tcW w:w="198"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40"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533" w:name="TAB1334"/>
            <w:bookmarkStart w:id="534" w:name="TAB1335"/>
            <w:bookmarkEnd w:id="533"/>
            <w:bookmarkEnd w:id="534"/>
            <w:r>
              <w:rPr>
                <w:rStyle w:val="StrongEmphasis"/>
                <w:rFonts w:ascii="Times New Roman" w:hAnsi="Times New Roman"/>
                <w:sz w:val="20"/>
              </w:rPr>
              <w:t>8,089</w:t>
            </w:r>
          </w:p>
        </w:tc>
        <w:tc>
          <w:tcPr>
            <w:tcW w:w="124" w:type="dxa"/>
            <w:tcBorders>
              <w:bottom w:val="single" w:sz="4" w:space="0" w:color="FFFFFF"/>
            </w:tcBorders>
            <w:shd w:fill="FFFFFF" w:val="clear"/>
            <w:vAlign w:val="bottom"/>
          </w:tcPr>
          <w:p>
            <w:pPr>
              <w:pStyle w:val="TableContents"/>
              <w:spacing w:before="0" w:after="283"/>
              <w:jc w:val="left"/>
              <w:rPr/>
            </w:pPr>
            <w:r>
              <w:rPr/>
              <w:t> </w:t>
            </w:r>
          </w:p>
        </w:tc>
      </w:tr>
      <w:tr>
        <w:trPr/>
        <w:tc>
          <w:tcPr>
            <w:tcW w:w="3151" w:type="dxa"/>
            <w:tcBorders>
              <w:bottom w:val="single" w:sz="4"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Total Sales/Operating Income</w:t>
            </w:r>
          </w:p>
        </w:tc>
        <w:tc>
          <w:tcPr>
            <w:tcW w:w="192" w:type="dxa"/>
            <w:tcBorders>
              <w:bottom w:val="single" w:sz="4" w:space="0" w:color="CCFFCC"/>
            </w:tcBorders>
            <w:shd w:fill="CCFFCC" w:val="clear"/>
            <w:vAlign w:val="center"/>
          </w:tcPr>
          <w:p>
            <w:pPr>
              <w:pStyle w:val="TableContents"/>
              <w:spacing w:before="0" w:after="283"/>
              <w:rPr/>
            </w:pPr>
            <w:r>
              <w:rPr/>
              <w:t> </w:t>
            </w:r>
          </w:p>
        </w:tc>
        <w:tc>
          <w:tcPr>
            <w:tcW w:w="126" w:type="dxa"/>
            <w:tcBorders>
              <w:bottom w:val="single" w:sz="2" w:space="0" w:color="000000"/>
            </w:tcBorders>
            <w:shd w:fill="CCFFCC" w:val="clear"/>
            <w:vAlign w:val="bottom"/>
          </w:tcPr>
          <w:p>
            <w:pPr>
              <w:pStyle w:val="TableContents"/>
              <w:spacing w:lineRule="auto" w:line="300" w:before="0" w:after="0"/>
              <w:ind w:left="0" w:right="0" w:hanging="0"/>
              <w:jc w:val="left"/>
              <w:rPr/>
            </w:pPr>
            <w:bookmarkStart w:id="535" w:name="TAB1336"/>
            <w:bookmarkEnd w:id="535"/>
            <w:r>
              <w:rPr>
                <w:rStyle w:val="StrongEmphasis"/>
                <w:rFonts w:ascii="Times New Roman" w:hAnsi="Times New Roman"/>
                <w:sz w:val="20"/>
              </w:rPr>
              <w:t>$</w:t>
            </w:r>
          </w:p>
        </w:tc>
        <w:tc>
          <w:tcPr>
            <w:tcW w:w="1175"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536" w:name="TAB1337"/>
            <w:bookmarkEnd w:id="536"/>
            <w:r>
              <w:rPr>
                <w:rStyle w:val="StrongEmphasis"/>
                <w:rFonts w:ascii="Times New Roman" w:hAnsi="Times New Roman"/>
                <w:sz w:val="20"/>
              </w:rPr>
              <w:t>113,311</w:t>
            </w:r>
          </w:p>
        </w:tc>
        <w:tc>
          <w:tcPr>
            <w:tcW w:w="192" w:type="dxa"/>
            <w:tcBorders>
              <w:bottom w:val="single" w:sz="4" w:space="0" w:color="CCFFCC"/>
            </w:tcBorders>
            <w:shd w:fill="CCFFCC" w:val="clear"/>
            <w:vAlign w:val="bottom"/>
          </w:tcPr>
          <w:p>
            <w:pPr>
              <w:pStyle w:val="TableContents"/>
              <w:spacing w:before="0" w:after="283"/>
              <w:jc w:val="left"/>
              <w:rPr/>
            </w:pPr>
            <w:r>
              <w:rPr/>
              <w:t> </w:t>
            </w:r>
          </w:p>
        </w:tc>
        <w:tc>
          <w:tcPr>
            <w:tcW w:w="126" w:type="dxa"/>
            <w:tcBorders>
              <w:bottom w:val="single" w:sz="2" w:space="0" w:color="000000"/>
            </w:tcBorders>
            <w:shd w:fill="CCFFCC" w:val="clear"/>
            <w:vAlign w:val="bottom"/>
          </w:tcPr>
          <w:p>
            <w:pPr>
              <w:pStyle w:val="TableContents"/>
              <w:spacing w:lineRule="auto" w:line="300" w:before="0" w:after="0"/>
              <w:ind w:left="0" w:right="0" w:hanging="0"/>
              <w:jc w:val="left"/>
              <w:rPr/>
            </w:pPr>
            <w:bookmarkStart w:id="537" w:name="TAB1338"/>
            <w:bookmarkEnd w:id="537"/>
            <w:r>
              <w:rPr>
                <w:rStyle w:val="StrongEmphasis"/>
                <w:rFonts w:ascii="Times New Roman" w:hAnsi="Times New Roman"/>
                <w:sz w:val="20"/>
              </w:rPr>
              <w:t>$</w:t>
            </w:r>
          </w:p>
        </w:tc>
        <w:tc>
          <w:tcPr>
            <w:tcW w:w="1175"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538" w:name="TAB1339"/>
            <w:bookmarkEnd w:id="538"/>
            <w:r>
              <w:rPr>
                <w:rStyle w:val="StrongEmphasis"/>
                <w:rFonts w:ascii="Times New Roman" w:hAnsi="Times New Roman"/>
                <w:sz w:val="20"/>
              </w:rPr>
              <w:t>105,002</w:t>
            </w:r>
          </w:p>
        </w:tc>
        <w:tc>
          <w:tcPr>
            <w:tcW w:w="192" w:type="dxa"/>
            <w:tcBorders>
              <w:bottom w:val="single" w:sz="4" w:space="0" w:color="CCFFCC"/>
            </w:tcBorders>
            <w:shd w:fill="CCFFCC" w:val="clear"/>
            <w:vAlign w:val="bottom"/>
          </w:tcPr>
          <w:p>
            <w:pPr>
              <w:pStyle w:val="TableContents"/>
              <w:spacing w:before="0" w:after="283"/>
              <w:jc w:val="left"/>
              <w:rPr/>
            </w:pPr>
            <w:r>
              <w:rPr/>
              <w:t> </w:t>
            </w:r>
          </w:p>
        </w:tc>
        <w:tc>
          <w:tcPr>
            <w:tcW w:w="126" w:type="dxa"/>
            <w:tcBorders>
              <w:bottom w:val="single" w:sz="4" w:space="0" w:color="CCFFCC"/>
            </w:tcBorders>
            <w:shd w:fill="CCFFCC" w:val="clear"/>
            <w:vAlign w:val="bottom"/>
          </w:tcPr>
          <w:p>
            <w:pPr>
              <w:pStyle w:val="TableContents"/>
              <w:spacing w:before="0" w:after="283"/>
              <w:jc w:val="left"/>
              <w:rPr/>
            </w:pPr>
            <w:r>
              <w:rPr/>
              <w:t> </w:t>
            </w:r>
          </w:p>
        </w:tc>
        <w:tc>
          <w:tcPr>
            <w:tcW w:w="1141" w:type="dxa"/>
            <w:tcBorders>
              <w:bottom w:val="single" w:sz="4" w:space="0" w:color="CCFFCC"/>
            </w:tcBorders>
            <w:shd w:fill="CCFFCC" w:val="clear"/>
            <w:vAlign w:val="bottom"/>
          </w:tcPr>
          <w:p>
            <w:pPr>
              <w:pStyle w:val="TableContents"/>
              <w:spacing w:lineRule="auto" w:line="300" w:before="0" w:after="0"/>
              <w:ind w:left="0" w:right="0" w:hanging="0"/>
              <w:jc w:val="right"/>
              <w:rPr/>
            </w:pPr>
            <w:bookmarkStart w:id="539" w:name="TAB1340"/>
            <w:bookmarkStart w:id="540" w:name="TAB1341"/>
            <w:bookmarkEnd w:id="539"/>
            <w:bookmarkEnd w:id="540"/>
            <w:r>
              <w:rPr>
                <w:rStyle w:val="StrongEmphasis"/>
                <w:rFonts w:ascii="Times New Roman" w:hAnsi="Times New Roman"/>
                <w:sz w:val="20"/>
              </w:rPr>
              <w:t>15,890</w:t>
            </w:r>
          </w:p>
        </w:tc>
        <w:tc>
          <w:tcPr>
            <w:tcW w:w="198" w:type="dxa"/>
            <w:tcBorders>
              <w:bottom w:val="single" w:sz="4" w:space="0" w:color="CCFFCC"/>
            </w:tcBorders>
            <w:shd w:fill="CCFFCC" w:val="clear"/>
            <w:vAlign w:val="bottom"/>
          </w:tcPr>
          <w:p>
            <w:pPr>
              <w:pStyle w:val="TableContents"/>
              <w:spacing w:before="0" w:after="283"/>
              <w:jc w:val="left"/>
              <w:rPr/>
            </w:pPr>
            <w:r>
              <w:rPr/>
              <w:t> </w:t>
            </w:r>
          </w:p>
        </w:tc>
        <w:tc>
          <w:tcPr>
            <w:tcW w:w="126" w:type="dxa"/>
            <w:tcBorders>
              <w:bottom w:val="single" w:sz="4" w:space="0" w:color="CCFFCC"/>
            </w:tcBorders>
            <w:shd w:fill="CCFFCC" w:val="clear"/>
            <w:vAlign w:val="bottom"/>
          </w:tcPr>
          <w:p>
            <w:pPr>
              <w:pStyle w:val="TableContents"/>
              <w:spacing w:before="0" w:after="283"/>
              <w:jc w:val="left"/>
              <w:rPr/>
            </w:pPr>
            <w:r>
              <w:rPr/>
              <w:t> </w:t>
            </w:r>
          </w:p>
        </w:tc>
        <w:tc>
          <w:tcPr>
            <w:tcW w:w="1140" w:type="dxa"/>
            <w:tcBorders>
              <w:bottom w:val="single" w:sz="4" w:space="0" w:color="CCFFCC"/>
            </w:tcBorders>
            <w:shd w:fill="CCFFCC" w:val="clear"/>
            <w:vAlign w:val="bottom"/>
          </w:tcPr>
          <w:p>
            <w:pPr>
              <w:pStyle w:val="TableContents"/>
              <w:spacing w:lineRule="auto" w:line="300" w:before="0" w:after="0"/>
              <w:ind w:left="0" w:right="0" w:hanging="0"/>
              <w:jc w:val="right"/>
              <w:rPr/>
            </w:pPr>
            <w:bookmarkStart w:id="541" w:name="TAB1342"/>
            <w:bookmarkStart w:id="542" w:name="TAB1343"/>
            <w:bookmarkEnd w:id="541"/>
            <w:bookmarkEnd w:id="542"/>
            <w:r>
              <w:rPr>
                <w:rStyle w:val="StrongEmphasis"/>
                <w:rFonts w:ascii="Times New Roman" w:hAnsi="Times New Roman"/>
                <w:sz w:val="20"/>
              </w:rPr>
              <w:t>14,338</w:t>
            </w:r>
          </w:p>
        </w:tc>
        <w:tc>
          <w:tcPr>
            <w:tcW w:w="124" w:type="dxa"/>
            <w:tcBorders>
              <w:bottom w:val="single" w:sz="4" w:space="0" w:color="CCFFCC"/>
            </w:tcBorders>
            <w:shd w:fill="CCFFCC" w:val="clear"/>
            <w:vAlign w:val="bottom"/>
          </w:tcPr>
          <w:p>
            <w:pPr>
              <w:pStyle w:val="TableContents"/>
              <w:spacing w:before="0" w:after="283"/>
              <w:jc w:val="left"/>
              <w:rPr/>
            </w:pPr>
            <w:r>
              <w:rPr/>
              <w:t> </w:t>
            </w:r>
          </w:p>
        </w:tc>
      </w:tr>
      <w:tr>
        <w:trPr/>
        <w:tc>
          <w:tcPr>
            <w:tcW w:w="3151"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Less:</w:t>
            </w:r>
          </w:p>
        </w:tc>
        <w:tc>
          <w:tcPr>
            <w:tcW w:w="192"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75" w:type="dxa"/>
            <w:tcBorders/>
            <w:shd w:fill="FFFFFF" w:val="clear"/>
            <w:tcMar>
              <w:bottom w:w="0" w:type="dxa"/>
            </w:tcMar>
            <w:vAlign w:val="bottom"/>
          </w:tcPr>
          <w:p>
            <w:pPr>
              <w:pStyle w:val="TableContents"/>
              <w:spacing w:before="0" w:after="283"/>
              <w:jc w:val="right"/>
              <w:rPr/>
            </w:pPr>
            <w:r>
              <w:rPr/>
              <w:t> </w:t>
            </w:r>
          </w:p>
        </w:tc>
        <w:tc>
          <w:tcPr>
            <w:tcW w:w="192"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75" w:type="dxa"/>
            <w:tcBorders/>
            <w:shd w:fill="FFFFFF" w:val="clear"/>
            <w:tcMar>
              <w:bottom w:w="0" w:type="dxa"/>
            </w:tcMar>
            <w:vAlign w:val="bottom"/>
          </w:tcPr>
          <w:p>
            <w:pPr>
              <w:pStyle w:val="TableContents"/>
              <w:spacing w:before="0" w:after="283"/>
              <w:jc w:val="right"/>
              <w:rPr/>
            </w:pPr>
            <w:r>
              <w:rPr/>
              <w:t> </w:t>
            </w:r>
          </w:p>
        </w:tc>
        <w:tc>
          <w:tcPr>
            <w:tcW w:w="192"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41" w:type="dxa"/>
            <w:tcBorders/>
            <w:shd w:fill="FFFFFF" w:val="clear"/>
            <w:tcMar>
              <w:bottom w:w="0" w:type="dxa"/>
            </w:tcMar>
            <w:vAlign w:val="bottom"/>
          </w:tcPr>
          <w:p>
            <w:pPr>
              <w:pStyle w:val="TableContents"/>
              <w:spacing w:before="0" w:after="283"/>
              <w:jc w:val="right"/>
              <w:rPr/>
            </w:pPr>
            <w:r>
              <w:rPr/>
              <w:t> </w:t>
            </w:r>
          </w:p>
        </w:tc>
        <w:tc>
          <w:tcPr>
            <w:tcW w:w="19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40" w:type="dxa"/>
            <w:tcBorders/>
            <w:shd w:fill="FFFFFF" w:val="clear"/>
            <w:tcMar>
              <w:bottom w:w="0" w:type="dxa"/>
            </w:tcMar>
            <w:vAlign w:val="bottom"/>
          </w:tcPr>
          <w:p>
            <w:pPr>
              <w:pStyle w:val="TableContents"/>
              <w:spacing w:before="0" w:after="283"/>
              <w:jc w:val="right"/>
              <w:rPr/>
            </w:pPr>
            <w:r>
              <w:rPr/>
              <w:t>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3151" w:type="dxa"/>
            <w:tcBorders/>
            <w:shd w:fill="CCFFCC" w:val="clear"/>
            <w:tcMar>
              <w:bottom w:w="0" w:type="dxa"/>
            </w:tcMar>
            <w:vAlign w:val="bottom"/>
          </w:tcPr>
          <w:p>
            <w:pPr>
              <w:pStyle w:val="TableContents"/>
              <w:spacing w:lineRule="auto" w:line="300" w:before="0" w:after="0"/>
              <w:ind w:left="180" w:right="0" w:hanging="0"/>
              <w:jc w:val="left"/>
              <w:rPr/>
            </w:pPr>
            <w:r>
              <w:rPr>
                <w:rStyle w:val="StrongEmphasis"/>
                <w:rFonts w:ascii="Times New Roman" w:hAnsi="Times New Roman"/>
                <w:sz w:val="20"/>
              </w:rPr>
              <w:t>Corporate Expenses</w:t>
            </w:r>
          </w:p>
        </w:tc>
        <w:tc>
          <w:tcPr>
            <w:tcW w:w="192" w:type="dxa"/>
            <w:tcBorders/>
            <w:shd w:fill="CCFFCC" w:val="clear"/>
            <w:tcMar>
              <w:bottom w:w="0" w:type="dxa"/>
            </w:tcMar>
            <w:vAlign w:val="center"/>
          </w:tcPr>
          <w:p>
            <w:pPr>
              <w:pStyle w:val="TableContents"/>
              <w:spacing w:before="0" w:after="283"/>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175" w:type="dxa"/>
            <w:tcBorders/>
            <w:shd w:fill="CCFFCC" w:val="clear"/>
            <w:tcMar>
              <w:bottom w:w="0" w:type="dxa"/>
            </w:tcMar>
            <w:vAlign w:val="bottom"/>
          </w:tcPr>
          <w:p>
            <w:pPr>
              <w:pStyle w:val="TableContents"/>
              <w:spacing w:before="0" w:after="283"/>
              <w:jc w:val="right"/>
              <w:rPr/>
            </w:pPr>
            <w:r>
              <w:rPr/>
              <w:t> </w:t>
            </w:r>
          </w:p>
        </w:tc>
        <w:tc>
          <w:tcPr>
            <w:tcW w:w="192"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175" w:type="dxa"/>
            <w:tcBorders/>
            <w:shd w:fill="CCFFCC" w:val="clear"/>
            <w:tcMar>
              <w:bottom w:w="0" w:type="dxa"/>
            </w:tcMar>
            <w:vAlign w:val="bottom"/>
          </w:tcPr>
          <w:p>
            <w:pPr>
              <w:pStyle w:val="TableContents"/>
              <w:spacing w:before="0" w:after="283"/>
              <w:jc w:val="right"/>
              <w:rPr/>
            </w:pPr>
            <w:r>
              <w:rPr/>
              <w:t> </w:t>
            </w:r>
          </w:p>
        </w:tc>
        <w:tc>
          <w:tcPr>
            <w:tcW w:w="192"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141" w:type="dxa"/>
            <w:tcBorders/>
            <w:shd w:fill="CCFFCC" w:val="clear"/>
            <w:tcMar>
              <w:bottom w:w="0" w:type="dxa"/>
            </w:tcMar>
            <w:vAlign w:val="bottom"/>
          </w:tcPr>
          <w:p>
            <w:pPr>
              <w:pStyle w:val="TableContents"/>
              <w:spacing w:lineRule="auto" w:line="300" w:before="0" w:after="0"/>
              <w:ind w:left="0" w:right="0" w:hanging="0"/>
              <w:jc w:val="right"/>
              <w:rPr/>
            </w:pPr>
            <w:bookmarkStart w:id="543" w:name="TAB1344"/>
            <w:bookmarkStart w:id="544" w:name="TAB1345"/>
            <w:bookmarkEnd w:id="543"/>
            <w:bookmarkEnd w:id="544"/>
            <w:r>
              <w:rPr>
                <w:rStyle w:val="StrongEmphasis"/>
                <w:rFonts w:ascii="Times New Roman" w:hAnsi="Times New Roman"/>
                <w:sz w:val="20"/>
              </w:rPr>
              <w:t>9,090</w:t>
            </w:r>
          </w:p>
        </w:tc>
        <w:tc>
          <w:tcPr>
            <w:tcW w:w="198"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140" w:type="dxa"/>
            <w:tcBorders/>
            <w:shd w:fill="CCFFCC" w:val="clear"/>
            <w:tcMar>
              <w:bottom w:w="0" w:type="dxa"/>
            </w:tcMar>
            <w:vAlign w:val="bottom"/>
          </w:tcPr>
          <w:p>
            <w:pPr>
              <w:pStyle w:val="TableContents"/>
              <w:spacing w:lineRule="auto" w:line="300" w:before="0" w:after="0"/>
              <w:ind w:left="0" w:right="0" w:hanging="0"/>
              <w:jc w:val="right"/>
              <w:rPr/>
            </w:pPr>
            <w:bookmarkStart w:id="545" w:name="TAB1346"/>
            <w:bookmarkStart w:id="546" w:name="TAB1347"/>
            <w:bookmarkEnd w:id="545"/>
            <w:bookmarkEnd w:id="546"/>
            <w:r>
              <w:rPr>
                <w:rStyle w:val="StrongEmphasis"/>
                <w:rFonts w:ascii="Times New Roman" w:hAnsi="Times New Roman"/>
                <w:sz w:val="20"/>
              </w:rPr>
              <w:t>8,843</w:t>
            </w:r>
          </w:p>
        </w:tc>
        <w:tc>
          <w:tcPr>
            <w:tcW w:w="124" w:type="dxa"/>
            <w:tcBorders/>
            <w:shd w:fill="CCFFCC" w:val="clear"/>
            <w:tcMar>
              <w:bottom w:w="0" w:type="dxa"/>
            </w:tcMar>
            <w:vAlign w:val="bottom"/>
          </w:tcPr>
          <w:p>
            <w:pPr>
              <w:pStyle w:val="TableContents"/>
              <w:spacing w:before="0" w:after="283"/>
              <w:jc w:val="left"/>
              <w:rPr/>
            </w:pPr>
            <w:r>
              <w:rPr/>
              <w:t> </w:t>
            </w:r>
          </w:p>
        </w:tc>
      </w:tr>
      <w:tr>
        <w:trPr/>
        <w:tc>
          <w:tcPr>
            <w:tcW w:w="3151" w:type="dxa"/>
            <w:tcBorders/>
            <w:shd w:fill="FFFFFF" w:val="clear"/>
            <w:tcMar>
              <w:bottom w:w="0" w:type="dxa"/>
            </w:tcMar>
            <w:vAlign w:val="bottom"/>
          </w:tcPr>
          <w:p>
            <w:pPr>
              <w:pStyle w:val="TableContents"/>
              <w:spacing w:lineRule="auto" w:line="300" w:before="0" w:after="0"/>
              <w:ind w:left="180" w:right="0" w:hanging="0"/>
              <w:jc w:val="left"/>
              <w:rPr/>
            </w:pPr>
            <w:r>
              <w:rPr>
                <w:rStyle w:val="StrongEmphasis"/>
                <w:rFonts w:ascii="Times New Roman" w:hAnsi="Times New Roman"/>
                <w:sz w:val="20"/>
              </w:rPr>
              <w:t>Interest Expense, net of</w:t>
            </w:r>
          </w:p>
        </w:tc>
        <w:tc>
          <w:tcPr>
            <w:tcW w:w="192"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75" w:type="dxa"/>
            <w:tcBorders/>
            <w:shd w:fill="FFFFFF" w:val="clear"/>
            <w:tcMar>
              <w:bottom w:w="0" w:type="dxa"/>
            </w:tcMar>
            <w:vAlign w:val="bottom"/>
          </w:tcPr>
          <w:p>
            <w:pPr>
              <w:pStyle w:val="TableContents"/>
              <w:spacing w:before="0" w:after="283"/>
              <w:jc w:val="right"/>
              <w:rPr/>
            </w:pPr>
            <w:r>
              <w:rPr/>
              <w:t> </w:t>
            </w:r>
          </w:p>
        </w:tc>
        <w:tc>
          <w:tcPr>
            <w:tcW w:w="192"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75" w:type="dxa"/>
            <w:tcBorders/>
            <w:shd w:fill="FFFFFF" w:val="clear"/>
            <w:tcMar>
              <w:bottom w:w="0" w:type="dxa"/>
            </w:tcMar>
            <w:vAlign w:val="bottom"/>
          </w:tcPr>
          <w:p>
            <w:pPr>
              <w:pStyle w:val="TableContents"/>
              <w:spacing w:before="0" w:after="283"/>
              <w:jc w:val="right"/>
              <w:rPr/>
            </w:pPr>
            <w:r>
              <w:rPr/>
              <w:t> </w:t>
            </w:r>
          </w:p>
        </w:tc>
        <w:tc>
          <w:tcPr>
            <w:tcW w:w="192"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41" w:type="dxa"/>
            <w:tcBorders/>
            <w:shd w:fill="FFFFFF" w:val="clear"/>
            <w:tcMar>
              <w:bottom w:w="0" w:type="dxa"/>
            </w:tcMar>
            <w:vAlign w:val="bottom"/>
          </w:tcPr>
          <w:p>
            <w:pPr>
              <w:pStyle w:val="TableContents"/>
              <w:spacing w:before="0" w:after="283"/>
              <w:jc w:val="right"/>
              <w:rPr/>
            </w:pPr>
            <w:r>
              <w:rPr/>
              <w:t> </w:t>
            </w:r>
          </w:p>
        </w:tc>
        <w:tc>
          <w:tcPr>
            <w:tcW w:w="19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40" w:type="dxa"/>
            <w:tcBorders/>
            <w:shd w:fill="FFFFFF" w:val="clear"/>
            <w:tcMar>
              <w:bottom w:w="0" w:type="dxa"/>
            </w:tcMar>
            <w:vAlign w:val="bottom"/>
          </w:tcPr>
          <w:p>
            <w:pPr>
              <w:pStyle w:val="TableContents"/>
              <w:spacing w:before="0" w:after="283"/>
              <w:jc w:val="right"/>
              <w:rPr/>
            </w:pPr>
            <w:r>
              <w:rPr/>
              <w:t>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3151" w:type="dxa"/>
            <w:tcBorders>
              <w:bottom w:val="single" w:sz="4" w:space="0" w:color="CCFFCC"/>
            </w:tcBorders>
            <w:shd w:fill="CCFFCC" w:val="clear"/>
            <w:vAlign w:val="bottom"/>
          </w:tcPr>
          <w:p>
            <w:pPr>
              <w:pStyle w:val="TableContents"/>
              <w:spacing w:lineRule="auto" w:line="300" w:before="0" w:after="0"/>
              <w:ind w:left="180" w:right="0" w:hanging="0"/>
              <w:jc w:val="left"/>
              <w:rPr/>
            </w:pPr>
            <w:r>
              <w:rPr>
                <w:rStyle w:val="StrongEmphasis"/>
                <w:rFonts w:ascii="Times New Roman" w:hAnsi="Times New Roman"/>
                <w:sz w:val="20"/>
              </w:rPr>
              <w:t>Interest Income</w:t>
            </w:r>
          </w:p>
        </w:tc>
        <w:tc>
          <w:tcPr>
            <w:tcW w:w="192" w:type="dxa"/>
            <w:tcBorders>
              <w:bottom w:val="single" w:sz="4" w:space="0" w:color="CCFFCC"/>
            </w:tcBorders>
            <w:shd w:fill="CCFFCC" w:val="clear"/>
            <w:vAlign w:val="center"/>
          </w:tcPr>
          <w:p>
            <w:pPr>
              <w:pStyle w:val="TableContents"/>
              <w:spacing w:before="0" w:after="283"/>
              <w:rPr/>
            </w:pPr>
            <w:r>
              <w:rPr/>
              <w:t> </w:t>
            </w:r>
          </w:p>
        </w:tc>
        <w:tc>
          <w:tcPr>
            <w:tcW w:w="126" w:type="dxa"/>
            <w:tcBorders>
              <w:bottom w:val="single" w:sz="4" w:space="0" w:color="CCFFCC"/>
            </w:tcBorders>
            <w:shd w:fill="CCFFCC" w:val="clear"/>
            <w:vAlign w:val="bottom"/>
          </w:tcPr>
          <w:p>
            <w:pPr>
              <w:pStyle w:val="TableContents"/>
              <w:spacing w:before="0" w:after="283"/>
              <w:jc w:val="left"/>
              <w:rPr/>
            </w:pPr>
            <w:r>
              <w:rPr/>
              <w:t> </w:t>
            </w:r>
          </w:p>
        </w:tc>
        <w:tc>
          <w:tcPr>
            <w:tcW w:w="1175" w:type="dxa"/>
            <w:tcBorders>
              <w:bottom w:val="single" w:sz="4" w:space="0" w:color="CCFFCC"/>
            </w:tcBorders>
            <w:shd w:fill="CCFFCC" w:val="clear"/>
            <w:vAlign w:val="bottom"/>
          </w:tcPr>
          <w:p>
            <w:pPr>
              <w:pStyle w:val="TableContents"/>
              <w:spacing w:before="0" w:after="283"/>
              <w:jc w:val="right"/>
              <w:rPr/>
            </w:pPr>
            <w:r>
              <w:rPr/>
              <w:t> </w:t>
            </w:r>
          </w:p>
        </w:tc>
        <w:tc>
          <w:tcPr>
            <w:tcW w:w="192" w:type="dxa"/>
            <w:tcBorders>
              <w:bottom w:val="single" w:sz="4" w:space="0" w:color="CCFFCC"/>
            </w:tcBorders>
            <w:shd w:fill="CCFFCC" w:val="clear"/>
            <w:vAlign w:val="bottom"/>
          </w:tcPr>
          <w:p>
            <w:pPr>
              <w:pStyle w:val="TableContents"/>
              <w:spacing w:before="0" w:after="283"/>
              <w:jc w:val="left"/>
              <w:rPr/>
            </w:pPr>
            <w:r>
              <w:rPr/>
              <w:t> </w:t>
            </w:r>
          </w:p>
        </w:tc>
        <w:tc>
          <w:tcPr>
            <w:tcW w:w="126" w:type="dxa"/>
            <w:tcBorders>
              <w:bottom w:val="single" w:sz="4" w:space="0" w:color="CCFFCC"/>
            </w:tcBorders>
            <w:shd w:fill="CCFFCC" w:val="clear"/>
            <w:vAlign w:val="bottom"/>
          </w:tcPr>
          <w:p>
            <w:pPr>
              <w:pStyle w:val="TableContents"/>
              <w:spacing w:before="0" w:after="283"/>
              <w:jc w:val="left"/>
              <w:rPr/>
            </w:pPr>
            <w:r>
              <w:rPr/>
              <w:t> </w:t>
            </w:r>
          </w:p>
        </w:tc>
        <w:tc>
          <w:tcPr>
            <w:tcW w:w="1175" w:type="dxa"/>
            <w:tcBorders>
              <w:bottom w:val="single" w:sz="4" w:space="0" w:color="CCFFCC"/>
            </w:tcBorders>
            <w:shd w:fill="CCFFCC" w:val="clear"/>
            <w:vAlign w:val="bottom"/>
          </w:tcPr>
          <w:p>
            <w:pPr>
              <w:pStyle w:val="TableContents"/>
              <w:spacing w:before="0" w:after="283"/>
              <w:jc w:val="right"/>
              <w:rPr/>
            </w:pPr>
            <w:r>
              <w:rPr/>
              <w:t> </w:t>
            </w:r>
          </w:p>
        </w:tc>
        <w:tc>
          <w:tcPr>
            <w:tcW w:w="192" w:type="dxa"/>
            <w:tcBorders>
              <w:bottom w:val="single" w:sz="4" w:space="0" w:color="CCFFCC"/>
            </w:tcBorders>
            <w:shd w:fill="CCFFCC" w:val="clear"/>
            <w:vAlign w:val="bottom"/>
          </w:tcPr>
          <w:p>
            <w:pPr>
              <w:pStyle w:val="TableContents"/>
              <w:spacing w:before="0" w:after="283"/>
              <w:jc w:val="left"/>
              <w:rPr/>
            </w:pPr>
            <w:r>
              <w:rPr/>
              <w:t> </w:t>
            </w:r>
          </w:p>
        </w:tc>
        <w:tc>
          <w:tcPr>
            <w:tcW w:w="126" w:type="dxa"/>
            <w:tcBorders>
              <w:bottom w:val="single" w:sz="2" w:space="0" w:color="000000"/>
            </w:tcBorders>
            <w:shd w:fill="CCFFCC" w:val="clear"/>
            <w:vAlign w:val="bottom"/>
          </w:tcPr>
          <w:p>
            <w:pPr>
              <w:pStyle w:val="TableContents"/>
              <w:spacing w:before="0" w:after="283"/>
              <w:jc w:val="left"/>
              <w:rPr/>
            </w:pPr>
            <w:r>
              <w:rPr/>
              <w:t> </w:t>
            </w:r>
          </w:p>
        </w:tc>
        <w:tc>
          <w:tcPr>
            <w:tcW w:w="1141"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547" w:name="TAB1348"/>
            <w:bookmarkStart w:id="548" w:name="TAB1349"/>
            <w:bookmarkEnd w:id="547"/>
            <w:bookmarkEnd w:id="548"/>
            <w:r>
              <w:rPr>
                <w:rStyle w:val="StrongEmphasis"/>
                <w:rFonts w:ascii="Times New Roman" w:hAnsi="Times New Roman"/>
                <w:sz w:val="20"/>
              </w:rPr>
              <w:t>492</w:t>
            </w:r>
          </w:p>
        </w:tc>
        <w:tc>
          <w:tcPr>
            <w:tcW w:w="198" w:type="dxa"/>
            <w:tcBorders>
              <w:bottom w:val="single" w:sz="4" w:space="0" w:color="CCFFCC"/>
            </w:tcBorders>
            <w:shd w:fill="CCFFCC" w:val="clear"/>
            <w:vAlign w:val="bottom"/>
          </w:tcPr>
          <w:p>
            <w:pPr>
              <w:pStyle w:val="TableContents"/>
              <w:spacing w:before="0" w:after="283"/>
              <w:jc w:val="left"/>
              <w:rPr/>
            </w:pPr>
            <w:r>
              <w:rPr/>
              <w:t> </w:t>
            </w:r>
          </w:p>
        </w:tc>
        <w:tc>
          <w:tcPr>
            <w:tcW w:w="126" w:type="dxa"/>
            <w:tcBorders>
              <w:bottom w:val="single" w:sz="2" w:space="0" w:color="000000"/>
            </w:tcBorders>
            <w:shd w:fill="CCFFCC" w:val="clear"/>
            <w:vAlign w:val="bottom"/>
          </w:tcPr>
          <w:p>
            <w:pPr>
              <w:pStyle w:val="TableContents"/>
              <w:spacing w:before="0" w:after="283"/>
              <w:jc w:val="left"/>
              <w:rPr/>
            </w:pPr>
            <w:r>
              <w:rPr/>
              <w:t> </w:t>
            </w:r>
          </w:p>
        </w:tc>
        <w:tc>
          <w:tcPr>
            <w:tcW w:w="1140"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549" w:name="TAB1350"/>
            <w:bookmarkStart w:id="550" w:name="TAB1351"/>
            <w:bookmarkEnd w:id="549"/>
            <w:bookmarkEnd w:id="550"/>
            <w:r>
              <w:rPr>
                <w:rStyle w:val="StrongEmphasis"/>
                <w:rFonts w:ascii="Times New Roman" w:hAnsi="Times New Roman"/>
                <w:sz w:val="20"/>
              </w:rPr>
              <w:t>567</w:t>
            </w:r>
          </w:p>
        </w:tc>
        <w:tc>
          <w:tcPr>
            <w:tcW w:w="124" w:type="dxa"/>
            <w:tcBorders>
              <w:bottom w:val="single" w:sz="4" w:space="0" w:color="CCFFCC"/>
            </w:tcBorders>
            <w:shd w:fill="CCFFCC" w:val="clear"/>
            <w:vAlign w:val="bottom"/>
          </w:tcPr>
          <w:p>
            <w:pPr>
              <w:pStyle w:val="TableContents"/>
              <w:spacing w:before="0" w:after="283"/>
              <w:jc w:val="left"/>
              <w:rPr/>
            </w:pPr>
            <w:r>
              <w:rPr/>
              <w:t> </w:t>
            </w:r>
          </w:p>
        </w:tc>
      </w:tr>
      <w:tr>
        <w:trPr/>
        <w:tc>
          <w:tcPr>
            <w:tcW w:w="3151"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Income before Income Taxes </w:t>
            </w:r>
          </w:p>
        </w:tc>
        <w:tc>
          <w:tcPr>
            <w:tcW w:w="192"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75" w:type="dxa"/>
            <w:tcBorders/>
            <w:shd w:fill="FFFFFF" w:val="clear"/>
            <w:tcMar>
              <w:bottom w:w="0" w:type="dxa"/>
            </w:tcMar>
            <w:vAlign w:val="bottom"/>
          </w:tcPr>
          <w:p>
            <w:pPr>
              <w:pStyle w:val="TableContents"/>
              <w:spacing w:before="0" w:after="283"/>
              <w:jc w:val="right"/>
              <w:rPr/>
            </w:pPr>
            <w:r>
              <w:rPr/>
              <w:t> </w:t>
            </w:r>
          </w:p>
        </w:tc>
        <w:tc>
          <w:tcPr>
            <w:tcW w:w="192"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75" w:type="dxa"/>
            <w:tcBorders/>
            <w:shd w:fill="FFFFFF" w:val="clear"/>
            <w:tcMar>
              <w:bottom w:w="0" w:type="dxa"/>
            </w:tcMar>
            <w:vAlign w:val="bottom"/>
          </w:tcPr>
          <w:p>
            <w:pPr>
              <w:pStyle w:val="TableContents"/>
              <w:spacing w:before="0" w:after="283"/>
              <w:jc w:val="right"/>
              <w:rPr/>
            </w:pPr>
            <w:r>
              <w:rPr/>
              <w:t> </w:t>
            </w:r>
          </w:p>
        </w:tc>
        <w:tc>
          <w:tcPr>
            <w:tcW w:w="192"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41" w:type="dxa"/>
            <w:tcBorders/>
            <w:shd w:fill="FFFFFF" w:val="clear"/>
            <w:tcMar>
              <w:bottom w:w="0" w:type="dxa"/>
            </w:tcMar>
            <w:vAlign w:val="bottom"/>
          </w:tcPr>
          <w:p>
            <w:pPr>
              <w:pStyle w:val="TableContents"/>
              <w:spacing w:lineRule="auto" w:line="300" w:before="0" w:after="0"/>
              <w:ind w:left="0" w:right="0" w:hanging="0"/>
              <w:jc w:val="right"/>
              <w:rPr/>
            </w:pPr>
            <w:bookmarkStart w:id="551" w:name="TAB1352"/>
            <w:bookmarkStart w:id="552" w:name="TAB1353"/>
            <w:bookmarkEnd w:id="551"/>
            <w:bookmarkEnd w:id="552"/>
            <w:r>
              <w:rPr>
                <w:rStyle w:val="StrongEmphasis"/>
                <w:rFonts w:ascii="Times New Roman" w:hAnsi="Times New Roman"/>
                <w:sz w:val="20"/>
              </w:rPr>
              <w:t>6,308</w:t>
            </w:r>
          </w:p>
        </w:tc>
        <w:tc>
          <w:tcPr>
            <w:tcW w:w="19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40" w:type="dxa"/>
            <w:tcBorders/>
            <w:shd w:fill="FFFFFF" w:val="clear"/>
            <w:tcMar>
              <w:bottom w:w="0" w:type="dxa"/>
            </w:tcMar>
            <w:vAlign w:val="bottom"/>
          </w:tcPr>
          <w:p>
            <w:pPr>
              <w:pStyle w:val="TableContents"/>
              <w:spacing w:lineRule="auto" w:line="300" w:before="0" w:after="0"/>
              <w:ind w:left="0" w:right="0" w:hanging="0"/>
              <w:jc w:val="right"/>
              <w:rPr/>
            </w:pPr>
            <w:bookmarkStart w:id="553" w:name="TAB1354"/>
            <w:bookmarkStart w:id="554" w:name="TAB1355"/>
            <w:bookmarkEnd w:id="553"/>
            <w:bookmarkEnd w:id="554"/>
            <w:r>
              <w:rPr>
                <w:rStyle w:val="StrongEmphasis"/>
                <w:rFonts w:ascii="Times New Roman" w:hAnsi="Times New Roman"/>
                <w:sz w:val="20"/>
              </w:rPr>
              <w:t>4,928</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3151" w:type="dxa"/>
            <w:tcBorders>
              <w:bottom w:val="single" w:sz="4"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Income Taxes </w:t>
            </w:r>
          </w:p>
        </w:tc>
        <w:tc>
          <w:tcPr>
            <w:tcW w:w="192" w:type="dxa"/>
            <w:tcBorders>
              <w:bottom w:val="single" w:sz="4" w:space="0" w:color="CCFFCC"/>
            </w:tcBorders>
            <w:shd w:fill="CCFFCC" w:val="clear"/>
            <w:vAlign w:val="center"/>
          </w:tcPr>
          <w:p>
            <w:pPr>
              <w:pStyle w:val="TableContents"/>
              <w:spacing w:before="0" w:after="283"/>
              <w:rPr/>
            </w:pPr>
            <w:r>
              <w:rPr/>
              <w:t> </w:t>
            </w:r>
          </w:p>
        </w:tc>
        <w:tc>
          <w:tcPr>
            <w:tcW w:w="126" w:type="dxa"/>
            <w:tcBorders>
              <w:bottom w:val="single" w:sz="4" w:space="0" w:color="CCFFCC"/>
            </w:tcBorders>
            <w:shd w:fill="CCFFCC" w:val="clear"/>
            <w:vAlign w:val="bottom"/>
          </w:tcPr>
          <w:p>
            <w:pPr>
              <w:pStyle w:val="TableContents"/>
              <w:spacing w:before="0" w:after="283"/>
              <w:jc w:val="left"/>
              <w:rPr/>
            </w:pPr>
            <w:r>
              <w:rPr/>
              <w:t> </w:t>
            </w:r>
          </w:p>
        </w:tc>
        <w:tc>
          <w:tcPr>
            <w:tcW w:w="1175" w:type="dxa"/>
            <w:tcBorders>
              <w:bottom w:val="single" w:sz="4" w:space="0" w:color="CCFFCC"/>
            </w:tcBorders>
            <w:shd w:fill="CCFFCC" w:val="clear"/>
            <w:vAlign w:val="bottom"/>
          </w:tcPr>
          <w:p>
            <w:pPr>
              <w:pStyle w:val="TableContents"/>
              <w:spacing w:before="0" w:after="283"/>
              <w:jc w:val="right"/>
              <w:rPr/>
            </w:pPr>
            <w:r>
              <w:rPr/>
              <w:t> </w:t>
            </w:r>
          </w:p>
        </w:tc>
        <w:tc>
          <w:tcPr>
            <w:tcW w:w="192" w:type="dxa"/>
            <w:tcBorders>
              <w:bottom w:val="single" w:sz="4" w:space="0" w:color="CCFFCC"/>
            </w:tcBorders>
            <w:shd w:fill="CCFFCC" w:val="clear"/>
            <w:vAlign w:val="bottom"/>
          </w:tcPr>
          <w:p>
            <w:pPr>
              <w:pStyle w:val="TableContents"/>
              <w:spacing w:before="0" w:after="283"/>
              <w:jc w:val="left"/>
              <w:rPr/>
            </w:pPr>
            <w:r>
              <w:rPr/>
              <w:t> </w:t>
            </w:r>
          </w:p>
        </w:tc>
        <w:tc>
          <w:tcPr>
            <w:tcW w:w="126" w:type="dxa"/>
            <w:tcBorders>
              <w:bottom w:val="single" w:sz="4" w:space="0" w:color="CCFFCC"/>
            </w:tcBorders>
            <w:shd w:fill="CCFFCC" w:val="clear"/>
            <w:vAlign w:val="bottom"/>
          </w:tcPr>
          <w:p>
            <w:pPr>
              <w:pStyle w:val="TableContents"/>
              <w:spacing w:before="0" w:after="283"/>
              <w:jc w:val="left"/>
              <w:rPr/>
            </w:pPr>
            <w:r>
              <w:rPr/>
              <w:t> </w:t>
            </w:r>
          </w:p>
        </w:tc>
        <w:tc>
          <w:tcPr>
            <w:tcW w:w="1175" w:type="dxa"/>
            <w:tcBorders>
              <w:bottom w:val="single" w:sz="4" w:space="0" w:color="CCFFCC"/>
            </w:tcBorders>
            <w:shd w:fill="CCFFCC" w:val="clear"/>
            <w:vAlign w:val="bottom"/>
          </w:tcPr>
          <w:p>
            <w:pPr>
              <w:pStyle w:val="TableContents"/>
              <w:spacing w:before="0" w:after="283"/>
              <w:jc w:val="right"/>
              <w:rPr/>
            </w:pPr>
            <w:r>
              <w:rPr/>
              <w:t> </w:t>
            </w:r>
          </w:p>
        </w:tc>
        <w:tc>
          <w:tcPr>
            <w:tcW w:w="192" w:type="dxa"/>
            <w:tcBorders>
              <w:bottom w:val="single" w:sz="4" w:space="0" w:color="CCFFCC"/>
            </w:tcBorders>
            <w:shd w:fill="CCFFCC" w:val="clear"/>
            <w:vAlign w:val="bottom"/>
          </w:tcPr>
          <w:p>
            <w:pPr>
              <w:pStyle w:val="TableContents"/>
              <w:spacing w:before="0" w:after="283"/>
              <w:jc w:val="left"/>
              <w:rPr/>
            </w:pPr>
            <w:r>
              <w:rPr/>
              <w:t> </w:t>
            </w:r>
          </w:p>
        </w:tc>
        <w:tc>
          <w:tcPr>
            <w:tcW w:w="126" w:type="dxa"/>
            <w:tcBorders>
              <w:bottom w:val="single" w:sz="2" w:space="0" w:color="000000"/>
            </w:tcBorders>
            <w:shd w:fill="CCFFCC" w:val="clear"/>
            <w:vAlign w:val="bottom"/>
          </w:tcPr>
          <w:p>
            <w:pPr>
              <w:pStyle w:val="TableContents"/>
              <w:spacing w:before="0" w:after="283"/>
              <w:jc w:val="left"/>
              <w:rPr/>
            </w:pPr>
            <w:r>
              <w:rPr/>
              <w:t> </w:t>
            </w:r>
          </w:p>
        </w:tc>
        <w:tc>
          <w:tcPr>
            <w:tcW w:w="1141"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555" w:name="TAB1356"/>
            <w:bookmarkStart w:id="556" w:name="TAB1357"/>
            <w:bookmarkEnd w:id="555"/>
            <w:bookmarkEnd w:id="556"/>
            <w:r>
              <w:rPr>
                <w:rStyle w:val="StrongEmphasis"/>
                <w:rFonts w:ascii="Times New Roman" w:hAnsi="Times New Roman"/>
                <w:sz w:val="20"/>
              </w:rPr>
              <w:t>(1,735</w:t>
            </w:r>
          </w:p>
        </w:tc>
        <w:tc>
          <w:tcPr>
            <w:tcW w:w="198" w:type="dxa"/>
            <w:tcBorders>
              <w:bottom w:val="single" w:sz="4" w:space="0" w:color="CCFFCC"/>
            </w:tcBorders>
            <w:shd w:fill="CCFFCC" w:val="clear"/>
            <w:vAlign w:val="bottom"/>
          </w:tcPr>
          <w:p>
            <w:pPr>
              <w:pStyle w:val="TableContents"/>
              <w:spacing w:lineRule="auto" w:line="300" w:before="0" w:after="0"/>
              <w:ind w:left="0" w:right="0" w:hanging="0"/>
              <w:jc w:val="left"/>
              <w:rPr/>
            </w:pPr>
            <w:bookmarkStart w:id="557" w:name="TAB1358"/>
            <w:bookmarkStart w:id="558" w:name="TAB1359"/>
            <w:bookmarkEnd w:id="557"/>
            <w:bookmarkEnd w:id="558"/>
            <w:r>
              <w:rPr>
                <w:rStyle w:val="StrongEmphasis"/>
                <w:rFonts w:ascii="Times New Roman" w:hAnsi="Times New Roman"/>
                <w:sz w:val="20"/>
              </w:rPr>
              <w:t>)</w:t>
            </w:r>
          </w:p>
        </w:tc>
        <w:tc>
          <w:tcPr>
            <w:tcW w:w="126" w:type="dxa"/>
            <w:tcBorders>
              <w:bottom w:val="single" w:sz="2" w:space="0" w:color="000000"/>
            </w:tcBorders>
            <w:shd w:fill="CCFFCC" w:val="clear"/>
            <w:vAlign w:val="bottom"/>
          </w:tcPr>
          <w:p>
            <w:pPr>
              <w:pStyle w:val="TableContents"/>
              <w:spacing w:before="0" w:after="283"/>
              <w:jc w:val="left"/>
              <w:rPr/>
            </w:pPr>
            <w:r>
              <w:rPr/>
              <w:t> </w:t>
            </w:r>
          </w:p>
        </w:tc>
        <w:tc>
          <w:tcPr>
            <w:tcW w:w="1140"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559" w:name="TAB1360"/>
            <w:bookmarkStart w:id="560" w:name="TAB1361"/>
            <w:bookmarkEnd w:id="559"/>
            <w:bookmarkEnd w:id="560"/>
            <w:r>
              <w:rPr>
                <w:rStyle w:val="StrongEmphasis"/>
                <w:rFonts w:ascii="Times New Roman" w:hAnsi="Times New Roman"/>
                <w:sz w:val="20"/>
              </w:rPr>
              <w:t>(1,318</w:t>
            </w:r>
          </w:p>
        </w:tc>
        <w:tc>
          <w:tcPr>
            <w:tcW w:w="124" w:type="dxa"/>
            <w:tcBorders>
              <w:bottom w:val="single" w:sz="4" w:space="0" w:color="CCFFCC"/>
            </w:tcBorders>
            <w:shd w:fill="CCFFCC" w:val="clear"/>
            <w:vAlign w:val="bottom"/>
          </w:tcPr>
          <w:p>
            <w:pPr>
              <w:pStyle w:val="TableContents"/>
              <w:spacing w:lineRule="auto" w:line="300" w:before="0" w:after="0"/>
              <w:ind w:left="0" w:right="0" w:hanging="0"/>
              <w:jc w:val="left"/>
              <w:rPr/>
            </w:pPr>
            <w:bookmarkStart w:id="561" w:name="TAB1362"/>
            <w:bookmarkStart w:id="562" w:name="TAB1363"/>
            <w:bookmarkEnd w:id="561"/>
            <w:bookmarkEnd w:id="562"/>
            <w:r>
              <w:rPr>
                <w:rStyle w:val="StrongEmphasis"/>
                <w:rFonts w:ascii="Times New Roman" w:hAnsi="Times New Roman"/>
                <w:sz w:val="20"/>
              </w:rPr>
              <w:t>)</w:t>
            </w:r>
          </w:p>
        </w:tc>
      </w:tr>
      <w:tr>
        <w:trPr/>
        <w:tc>
          <w:tcPr>
            <w:tcW w:w="3151" w:type="dxa"/>
            <w:tcBorders>
              <w:bottom w:val="single" w:sz="4"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Net Income</w:t>
            </w:r>
          </w:p>
        </w:tc>
        <w:tc>
          <w:tcPr>
            <w:tcW w:w="192" w:type="dxa"/>
            <w:tcBorders>
              <w:bottom w:val="single" w:sz="4" w:space="0" w:color="FFFFFF"/>
            </w:tcBorders>
            <w:shd w:fill="FFFFFF" w:val="clear"/>
            <w:vAlign w:val="center"/>
          </w:tcPr>
          <w:p>
            <w:pPr>
              <w:pStyle w:val="TableContents"/>
              <w:spacing w:before="0" w:after="283"/>
              <w:rPr/>
            </w:pPr>
            <w:r>
              <w:rPr/>
              <w:t> </w:t>
            </w:r>
          </w:p>
        </w:tc>
        <w:tc>
          <w:tcPr>
            <w:tcW w:w="126" w:type="dxa"/>
            <w:tcBorders>
              <w:bottom w:val="single" w:sz="4" w:space="0" w:color="FFFFFF"/>
            </w:tcBorders>
            <w:shd w:fill="FFFFFF" w:val="clear"/>
            <w:vAlign w:val="bottom"/>
          </w:tcPr>
          <w:p>
            <w:pPr>
              <w:pStyle w:val="TableContents"/>
              <w:spacing w:before="0" w:after="283"/>
              <w:jc w:val="left"/>
              <w:rPr/>
            </w:pPr>
            <w:r>
              <w:rPr/>
              <w:t> </w:t>
            </w:r>
          </w:p>
        </w:tc>
        <w:tc>
          <w:tcPr>
            <w:tcW w:w="1175" w:type="dxa"/>
            <w:tcBorders>
              <w:bottom w:val="single" w:sz="4" w:space="0" w:color="FFFFFF"/>
            </w:tcBorders>
            <w:shd w:fill="FFFFFF" w:val="clear"/>
            <w:vAlign w:val="bottom"/>
          </w:tcPr>
          <w:p>
            <w:pPr>
              <w:pStyle w:val="TableContents"/>
              <w:spacing w:before="0" w:after="283"/>
              <w:jc w:val="right"/>
              <w:rPr/>
            </w:pPr>
            <w:r>
              <w:rPr/>
              <w:t> </w:t>
            </w:r>
          </w:p>
        </w:tc>
        <w:tc>
          <w:tcPr>
            <w:tcW w:w="192"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single" w:sz="4" w:space="0" w:color="FFFFFF"/>
            </w:tcBorders>
            <w:shd w:fill="FFFFFF" w:val="clear"/>
            <w:vAlign w:val="bottom"/>
          </w:tcPr>
          <w:p>
            <w:pPr>
              <w:pStyle w:val="TableContents"/>
              <w:spacing w:before="0" w:after="283"/>
              <w:jc w:val="left"/>
              <w:rPr/>
            </w:pPr>
            <w:r>
              <w:rPr/>
              <w:t> </w:t>
            </w:r>
          </w:p>
        </w:tc>
        <w:tc>
          <w:tcPr>
            <w:tcW w:w="1175" w:type="dxa"/>
            <w:tcBorders>
              <w:bottom w:val="single" w:sz="4" w:space="0" w:color="FFFFFF"/>
            </w:tcBorders>
            <w:shd w:fill="FFFFFF" w:val="clear"/>
            <w:vAlign w:val="bottom"/>
          </w:tcPr>
          <w:p>
            <w:pPr>
              <w:pStyle w:val="TableContents"/>
              <w:spacing w:before="0" w:after="283"/>
              <w:jc w:val="right"/>
              <w:rPr/>
            </w:pPr>
            <w:r>
              <w:rPr/>
              <w:t> </w:t>
            </w:r>
          </w:p>
        </w:tc>
        <w:tc>
          <w:tcPr>
            <w:tcW w:w="192"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lineRule="auto" w:line="300" w:before="0" w:after="0"/>
              <w:ind w:left="0" w:right="0" w:hanging="0"/>
              <w:jc w:val="left"/>
              <w:rPr/>
            </w:pPr>
            <w:bookmarkStart w:id="563" w:name="TAB1364"/>
            <w:bookmarkEnd w:id="563"/>
            <w:r>
              <w:rPr>
                <w:rStyle w:val="StrongEmphasis"/>
                <w:rFonts w:ascii="Times New Roman" w:hAnsi="Times New Roman"/>
                <w:sz w:val="20"/>
              </w:rPr>
              <w:t>$</w:t>
            </w:r>
            <w:bookmarkStart w:id="564" w:name="TAB249"/>
            <w:bookmarkEnd w:id="564"/>
          </w:p>
        </w:tc>
        <w:tc>
          <w:tcPr>
            <w:tcW w:w="1141" w:type="dxa"/>
            <w:tcBorders>
              <w:bottom w:val="double" w:sz="2" w:space="0" w:color="000000"/>
            </w:tcBorders>
            <w:shd w:fill="FFFFFF" w:val="clear"/>
            <w:vAlign w:val="bottom"/>
          </w:tcPr>
          <w:p>
            <w:pPr>
              <w:pStyle w:val="TableContents"/>
              <w:spacing w:lineRule="auto" w:line="300" w:before="0" w:after="0"/>
              <w:ind w:left="0" w:right="0" w:hanging="0"/>
              <w:jc w:val="right"/>
              <w:rPr/>
            </w:pPr>
            <w:bookmarkStart w:id="565" w:name="TAB250"/>
            <w:bookmarkStart w:id="566" w:name="TAB1365"/>
            <w:bookmarkEnd w:id="565"/>
            <w:bookmarkEnd w:id="566"/>
            <w:r>
              <w:rPr>
                <w:rStyle w:val="StrongEmphasis"/>
                <w:rFonts w:ascii="Times New Roman" w:hAnsi="Times New Roman"/>
                <w:sz w:val="20"/>
              </w:rPr>
              <w:t>4,573</w:t>
            </w:r>
          </w:p>
        </w:tc>
        <w:tc>
          <w:tcPr>
            <w:tcW w:w="198"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lineRule="auto" w:line="300" w:before="0" w:after="0"/>
              <w:ind w:left="0" w:right="0" w:hanging="0"/>
              <w:jc w:val="left"/>
              <w:rPr/>
            </w:pPr>
            <w:bookmarkStart w:id="567" w:name="TAB1366"/>
            <w:bookmarkEnd w:id="567"/>
            <w:r>
              <w:rPr>
                <w:rStyle w:val="StrongEmphasis"/>
                <w:rFonts w:ascii="Times New Roman" w:hAnsi="Times New Roman"/>
                <w:sz w:val="20"/>
              </w:rPr>
              <w:t>$</w:t>
            </w:r>
            <w:bookmarkStart w:id="568" w:name="TAB251"/>
            <w:bookmarkEnd w:id="568"/>
          </w:p>
        </w:tc>
        <w:tc>
          <w:tcPr>
            <w:tcW w:w="1140" w:type="dxa"/>
            <w:tcBorders>
              <w:bottom w:val="double" w:sz="2" w:space="0" w:color="000000"/>
            </w:tcBorders>
            <w:shd w:fill="FFFFFF" w:val="clear"/>
            <w:vAlign w:val="bottom"/>
          </w:tcPr>
          <w:p>
            <w:pPr>
              <w:pStyle w:val="TableContents"/>
              <w:spacing w:lineRule="auto" w:line="300" w:before="0" w:after="0"/>
              <w:ind w:left="0" w:right="0" w:hanging="0"/>
              <w:jc w:val="right"/>
              <w:rPr/>
            </w:pPr>
            <w:bookmarkStart w:id="569" w:name="TAB252"/>
            <w:bookmarkStart w:id="570" w:name="TAB1367"/>
            <w:bookmarkEnd w:id="569"/>
            <w:bookmarkEnd w:id="570"/>
            <w:r>
              <w:rPr>
                <w:rStyle w:val="StrongEmphasis"/>
                <w:rFonts w:ascii="Times New Roman" w:hAnsi="Times New Roman"/>
                <w:sz w:val="20"/>
              </w:rPr>
              <w:t>3,610</w:t>
            </w:r>
          </w:p>
        </w:tc>
        <w:tc>
          <w:tcPr>
            <w:tcW w:w="124"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571" w:name="ftable13"/>
      <w:bookmarkStart w:id="572" w:name="ftable13"/>
      <w:bookmarkEnd w:id="572"/>
    </w:p>
    <w:tbl>
      <w:tblPr>
        <w:tblW w:w="5000" w:type="pct"/>
        <w:jc w:val="left"/>
        <w:tblInd w:w="0" w:type="dxa"/>
        <w:tblCellMar>
          <w:top w:w="0" w:type="dxa"/>
          <w:left w:w="0" w:type="dxa"/>
          <w:bottom w:w="28" w:type="dxa"/>
          <w:right w:w="0" w:type="dxa"/>
        </w:tblCellMar>
      </w:tblPr>
      <w:tblGrid>
        <w:gridCol w:w="4173"/>
        <w:gridCol w:w="198"/>
        <w:gridCol w:w="125"/>
        <w:gridCol w:w="1166"/>
        <w:gridCol w:w="198"/>
        <w:gridCol w:w="125"/>
        <w:gridCol w:w="1166"/>
        <w:gridCol w:w="198"/>
        <w:gridCol w:w="125"/>
        <w:gridCol w:w="1136"/>
        <w:gridCol w:w="204"/>
        <w:gridCol w:w="125"/>
        <w:gridCol w:w="1137"/>
        <w:gridCol w:w="129"/>
      </w:tblGrid>
      <w:tr>
        <w:trPr/>
        <w:tc>
          <w:tcPr>
            <w:tcW w:w="4173" w:type="dxa"/>
            <w:tcBorders>
              <w:bottom w:val="single" w:sz="4" w:space="0" w:color="FFFFFF"/>
            </w:tcBorders>
            <w:shd w:fill="auto" w:val="clear"/>
            <w:vAlign w:val="bottom"/>
          </w:tcPr>
          <w:p>
            <w:pPr>
              <w:pStyle w:val="TableContents"/>
              <w:spacing w:before="0" w:after="283"/>
              <w:jc w:val="left"/>
              <w:rPr/>
            </w:pPr>
            <w:r>
              <w:rPr/>
              <w:t> </w:t>
            </w:r>
          </w:p>
        </w:tc>
        <w:tc>
          <w:tcPr>
            <w:tcW w:w="198" w:type="dxa"/>
            <w:tcBorders>
              <w:bottom w:val="single" w:sz="4" w:space="0" w:color="FFFFFF"/>
            </w:tcBorders>
            <w:shd w:fill="auto" w:val="clear"/>
            <w:vAlign w:val="center"/>
          </w:tcPr>
          <w:p>
            <w:pPr>
              <w:pStyle w:val="TableContents"/>
              <w:spacing w:before="0" w:after="283"/>
              <w:rPr/>
            </w:pPr>
            <w:r>
              <w:rPr/>
              <w:t> </w:t>
            </w:r>
          </w:p>
        </w:tc>
        <w:tc>
          <w:tcPr>
            <w:tcW w:w="5705" w:type="dxa"/>
            <w:gridSpan w:val="11"/>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Three Months Ended January 31,</w:t>
            </w:r>
          </w:p>
        </w:tc>
        <w:tc>
          <w:tcPr>
            <w:tcW w:w="129" w:type="dxa"/>
            <w:tcBorders>
              <w:bottom w:val="single" w:sz="4" w:space="0" w:color="FFFFFF"/>
            </w:tcBorders>
            <w:shd w:fill="auto" w:val="clear"/>
            <w:vAlign w:val="bottom"/>
          </w:tcPr>
          <w:p>
            <w:pPr>
              <w:pStyle w:val="TableContents"/>
              <w:spacing w:before="0" w:after="283"/>
              <w:jc w:val="left"/>
              <w:rPr/>
            </w:pPr>
            <w:r>
              <w:rPr/>
              <w:t> </w:t>
            </w:r>
          </w:p>
        </w:tc>
      </w:tr>
      <w:tr>
        <w:trPr/>
        <w:tc>
          <w:tcPr>
            <w:tcW w:w="4173" w:type="dxa"/>
            <w:tcBorders>
              <w:bottom w:val="single" w:sz="4" w:space="0" w:color="FFFFFF"/>
            </w:tcBorders>
            <w:shd w:fill="auto" w:val="clear"/>
            <w:vAlign w:val="bottom"/>
          </w:tcPr>
          <w:p>
            <w:pPr>
              <w:pStyle w:val="TableContents"/>
              <w:spacing w:before="0" w:after="283"/>
              <w:jc w:val="left"/>
              <w:rPr/>
            </w:pPr>
            <w:r>
              <w:rPr/>
              <w:t> </w:t>
            </w:r>
          </w:p>
        </w:tc>
        <w:tc>
          <w:tcPr>
            <w:tcW w:w="198" w:type="dxa"/>
            <w:tcBorders>
              <w:bottom w:val="single" w:sz="4" w:space="0" w:color="FFFFFF"/>
            </w:tcBorders>
            <w:shd w:fill="auto" w:val="clear"/>
            <w:vAlign w:val="center"/>
          </w:tcPr>
          <w:p>
            <w:pPr>
              <w:pStyle w:val="TableContents"/>
              <w:spacing w:before="0" w:after="283"/>
              <w:rPr/>
            </w:pPr>
            <w:r>
              <w:rPr/>
              <w:t> </w:t>
            </w:r>
          </w:p>
        </w:tc>
        <w:tc>
          <w:tcPr>
            <w:tcW w:w="2780"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Net Sales</w:t>
            </w:r>
          </w:p>
        </w:tc>
        <w:tc>
          <w:tcPr>
            <w:tcW w:w="198" w:type="dxa"/>
            <w:tcBorders>
              <w:bottom w:val="single" w:sz="4" w:space="0" w:color="FFFFFF"/>
            </w:tcBorders>
            <w:shd w:fill="auto" w:val="clear"/>
            <w:vAlign w:val="bottom"/>
          </w:tcPr>
          <w:p>
            <w:pPr>
              <w:pStyle w:val="TableContents"/>
              <w:spacing w:before="0" w:after="283"/>
              <w:jc w:val="left"/>
              <w:rPr/>
            </w:pPr>
            <w:r>
              <w:rPr/>
              <w:t> </w:t>
            </w:r>
          </w:p>
        </w:tc>
        <w:tc>
          <w:tcPr>
            <w:tcW w:w="2727"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Operating Income</w:t>
            </w:r>
          </w:p>
        </w:tc>
        <w:tc>
          <w:tcPr>
            <w:tcW w:w="129" w:type="dxa"/>
            <w:tcBorders>
              <w:bottom w:val="single" w:sz="4" w:space="0" w:color="FFFFFF"/>
            </w:tcBorders>
            <w:shd w:fill="auto" w:val="clear"/>
            <w:vAlign w:val="bottom"/>
          </w:tcPr>
          <w:p>
            <w:pPr>
              <w:pStyle w:val="TableContents"/>
              <w:spacing w:before="0" w:after="283"/>
              <w:jc w:val="left"/>
              <w:rPr/>
            </w:pPr>
            <w:r>
              <w:rPr/>
              <w:t> </w:t>
            </w:r>
          </w:p>
        </w:tc>
      </w:tr>
      <w:tr>
        <w:trPr/>
        <w:tc>
          <w:tcPr>
            <w:tcW w:w="4173" w:type="dxa"/>
            <w:tcBorders>
              <w:bottom w:val="single" w:sz="4" w:space="0" w:color="FFFFFF"/>
            </w:tcBorders>
            <w:shd w:fill="auto" w:val="clear"/>
            <w:vAlign w:val="bottom"/>
          </w:tcPr>
          <w:p>
            <w:pPr>
              <w:pStyle w:val="TableContents"/>
              <w:spacing w:before="0" w:after="283"/>
              <w:jc w:val="left"/>
              <w:rPr/>
            </w:pPr>
            <w:r>
              <w:rPr/>
              <w:t> </w:t>
            </w:r>
          </w:p>
        </w:tc>
        <w:tc>
          <w:tcPr>
            <w:tcW w:w="198" w:type="dxa"/>
            <w:tcBorders>
              <w:bottom w:val="single" w:sz="4" w:space="0" w:color="FFFFFF"/>
            </w:tcBorders>
            <w:shd w:fill="auto" w:val="clear"/>
            <w:vAlign w:val="center"/>
          </w:tcPr>
          <w:p>
            <w:pPr>
              <w:pStyle w:val="TableContents"/>
              <w:spacing w:before="0" w:after="283"/>
              <w:rPr/>
            </w:pPr>
            <w:r>
              <w:rPr/>
              <w:t> </w:t>
            </w:r>
          </w:p>
        </w:tc>
        <w:tc>
          <w:tcPr>
            <w:tcW w:w="1291"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2008</w:t>
            </w:r>
          </w:p>
        </w:tc>
        <w:tc>
          <w:tcPr>
            <w:tcW w:w="198" w:type="dxa"/>
            <w:tcBorders>
              <w:bottom w:val="single" w:sz="4" w:space="0" w:color="FFFFFF"/>
            </w:tcBorders>
            <w:shd w:fill="auto" w:val="clear"/>
            <w:vAlign w:val="bottom"/>
          </w:tcPr>
          <w:p>
            <w:pPr>
              <w:pStyle w:val="TableContents"/>
              <w:spacing w:before="0" w:after="283"/>
              <w:jc w:val="left"/>
              <w:rPr/>
            </w:pPr>
            <w:r>
              <w:rPr/>
              <w:t> </w:t>
            </w:r>
          </w:p>
        </w:tc>
        <w:tc>
          <w:tcPr>
            <w:tcW w:w="1291"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2007</w:t>
            </w:r>
          </w:p>
        </w:tc>
        <w:tc>
          <w:tcPr>
            <w:tcW w:w="198" w:type="dxa"/>
            <w:tcBorders>
              <w:bottom w:val="single" w:sz="4" w:space="0" w:color="FFFFFF"/>
            </w:tcBorders>
            <w:shd w:fill="auto" w:val="clear"/>
            <w:vAlign w:val="bottom"/>
          </w:tcPr>
          <w:p>
            <w:pPr>
              <w:pStyle w:val="TableContents"/>
              <w:spacing w:before="0" w:after="283"/>
              <w:jc w:val="left"/>
              <w:rPr/>
            </w:pPr>
            <w:r>
              <w:rPr/>
              <w:t> </w:t>
            </w:r>
          </w:p>
        </w:tc>
        <w:tc>
          <w:tcPr>
            <w:tcW w:w="1261"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2008</w:t>
            </w:r>
          </w:p>
        </w:tc>
        <w:tc>
          <w:tcPr>
            <w:tcW w:w="204" w:type="dxa"/>
            <w:tcBorders>
              <w:bottom w:val="single" w:sz="4" w:space="0" w:color="FFFFFF"/>
            </w:tcBorders>
            <w:shd w:fill="auto" w:val="clear"/>
            <w:vAlign w:val="bottom"/>
          </w:tcPr>
          <w:p>
            <w:pPr>
              <w:pStyle w:val="TableContents"/>
              <w:spacing w:before="0" w:after="283"/>
              <w:jc w:val="left"/>
              <w:rPr/>
            </w:pPr>
            <w:r>
              <w:rPr/>
              <w:t> </w:t>
            </w:r>
          </w:p>
        </w:tc>
        <w:tc>
          <w:tcPr>
            <w:tcW w:w="1262"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2007</w:t>
            </w:r>
          </w:p>
        </w:tc>
        <w:tc>
          <w:tcPr>
            <w:tcW w:w="129" w:type="dxa"/>
            <w:tcBorders>
              <w:bottom w:val="single" w:sz="4" w:space="0" w:color="FFFFFF"/>
            </w:tcBorders>
            <w:shd w:fill="auto" w:val="clear"/>
            <w:vAlign w:val="bottom"/>
          </w:tcPr>
          <w:p>
            <w:pPr>
              <w:pStyle w:val="TableContents"/>
              <w:spacing w:before="0" w:after="283"/>
              <w:jc w:val="left"/>
              <w:rPr/>
            </w:pPr>
            <w:r>
              <w:rPr/>
              <w:t> </w:t>
            </w:r>
          </w:p>
        </w:tc>
      </w:tr>
      <w:tr>
        <w:trPr/>
        <w:tc>
          <w:tcPr>
            <w:tcW w:w="4173" w:type="dxa"/>
            <w:tcBorders/>
            <w:shd w:fill="auto" w:val="clear"/>
            <w:tcMar>
              <w:bottom w:w="0" w:type="dxa"/>
            </w:tcMar>
            <w:vAlign w:val="bottom"/>
          </w:tcPr>
          <w:p>
            <w:pPr>
              <w:pStyle w:val="TableContents"/>
              <w:spacing w:before="0" w:after="283"/>
              <w:jc w:val="left"/>
              <w:rPr/>
            </w:pPr>
            <w:r>
              <w:rPr/>
              <w:t> </w:t>
            </w:r>
          </w:p>
        </w:tc>
        <w:tc>
          <w:tcPr>
            <w:tcW w:w="198" w:type="dxa"/>
            <w:tcBorders/>
            <w:shd w:fill="auto" w:val="clear"/>
            <w:tcMar>
              <w:bottom w:w="0" w:type="dxa"/>
            </w:tcMar>
            <w:vAlign w:val="center"/>
          </w:tcPr>
          <w:p>
            <w:pPr>
              <w:pStyle w:val="TableContents"/>
              <w:spacing w:before="0" w:after="283"/>
              <w:rPr/>
            </w:pPr>
            <w:r>
              <w:rPr/>
              <w:t> </w:t>
            </w:r>
          </w:p>
        </w:tc>
        <w:tc>
          <w:tcPr>
            <w:tcW w:w="5705" w:type="dxa"/>
            <w:gridSpan w:val="11"/>
            <w:tcBorders/>
            <w:shd w:fill="auto" w:val="clear"/>
            <w:tcMar>
              <w:bottom w:w="0" w:type="dxa"/>
            </w:tcMar>
            <w:vAlign w:val="bottom"/>
          </w:tcPr>
          <w:p>
            <w:pPr>
              <w:pStyle w:val="TableContents"/>
              <w:spacing w:lineRule="auto" w:line="300" w:before="0" w:after="0"/>
              <w:ind w:left="0" w:right="0" w:hanging="0"/>
              <w:jc w:val="center"/>
              <w:rPr/>
            </w:pPr>
            <w:r>
              <w:rPr>
                <w:rStyle w:val="StrongEmphasis"/>
                <w:rFonts w:ascii="Times New Roman" w:hAnsi="Times New Roman"/>
                <w:sz w:val="20"/>
              </w:rPr>
              <w:t>(in thousands)</w:t>
            </w:r>
          </w:p>
        </w:tc>
        <w:tc>
          <w:tcPr>
            <w:tcW w:w="129" w:type="dxa"/>
            <w:tcBorders/>
            <w:shd w:fill="auto" w:val="clear"/>
            <w:tcMar>
              <w:bottom w:w="0" w:type="dxa"/>
            </w:tcMar>
            <w:vAlign w:val="bottom"/>
          </w:tcPr>
          <w:p>
            <w:pPr>
              <w:pStyle w:val="TableContents"/>
              <w:spacing w:before="0" w:after="283"/>
              <w:jc w:val="left"/>
              <w:rPr/>
            </w:pPr>
            <w:r>
              <w:rPr/>
              <w:t> </w:t>
            </w:r>
          </w:p>
        </w:tc>
      </w:tr>
      <w:tr>
        <w:trPr/>
        <w:tc>
          <w:tcPr>
            <w:tcW w:w="4173"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Business to Business Products </w:t>
            </w:r>
          </w:p>
        </w:tc>
        <w:tc>
          <w:tcPr>
            <w:tcW w:w="198"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166"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18,563</w:t>
            </w:r>
          </w:p>
        </w:tc>
        <w:tc>
          <w:tcPr>
            <w:tcW w:w="198"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166"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16,897</w:t>
            </w:r>
          </w:p>
        </w:tc>
        <w:tc>
          <w:tcPr>
            <w:tcW w:w="198"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lineRule="auto" w:line="300" w:before="0" w:after="0"/>
              <w:ind w:left="0" w:right="0" w:hanging="0"/>
              <w:jc w:val="left"/>
              <w:rPr/>
            </w:pPr>
            <w:bookmarkStart w:id="573" w:name="TAB1368"/>
            <w:bookmarkStart w:id="574" w:name="TAB1369"/>
            <w:bookmarkEnd w:id="573"/>
            <w:bookmarkEnd w:id="574"/>
            <w:r>
              <w:rPr>
                <w:rStyle w:val="StrongEmphasis"/>
                <w:rFonts w:ascii="Times New Roman" w:hAnsi="Times New Roman"/>
                <w:sz w:val="20"/>
              </w:rPr>
              <w:t>$</w:t>
            </w:r>
          </w:p>
        </w:tc>
        <w:tc>
          <w:tcPr>
            <w:tcW w:w="1136" w:type="dxa"/>
            <w:tcBorders/>
            <w:shd w:fill="CCFFCC" w:val="clear"/>
            <w:tcMar>
              <w:bottom w:w="0" w:type="dxa"/>
            </w:tcMar>
            <w:vAlign w:val="bottom"/>
          </w:tcPr>
          <w:p>
            <w:pPr>
              <w:pStyle w:val="TableContents"/>
              <w:spacing w:lineRule="auto" w:line="300" w:before="0" w:after="0"/>
              <w:ind w:left="0" w:right="0" w:hanging="0"/>
              <w:jc w:val="right"/>
              <w:rPr/>
            </w:pPr>
            <w:bookmarkStart w:id="575" w:name="TAB1370"/>
            <w:bookmarkStart w:id="576" w:name="TAB1371"/>
            <w:bookmarkEnd w:id="575"/>
            <w:bookmarkEnd w:id="576"/>
            <w:r>
              <w:rPr>
                <w:rStyle w:val="StrongEmphasis"/>
                <w:rFonts w:ascii="Times New Roman" w:hAnsi="Times New Roman"/>
                <w:sz w:val="20"/>
              </w:rPr>
              <w:t>3,656</w:t>
            </w:r>
          </w:p>
        </w:tc>
        <w:tc>
          <w:tcPr>
            <w:tcW w:w="204"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lineRule="auto" w:line="300" w:before="0" w:after="0"/>
              <w:ind w:left="0" w:right="0" w:hanging="0"/>
              <w:jc w:val="left"/>
              <w:rPr/>
            </w:pPr>
            <w:bookmarkStart w:id="577" w:name="TAB1372"/>
            <w:bookmarkStart w:id="578" w:name="TAB1373"/>
            <w:bookmarkEnd w:id="577"/>
            <w:bookmarkEnd w:id="578"/>
            <w:r>
              <w:rPr>
                <w:rStyle w:val="StrongEmphasis"/>
                <w:rFonts w:ascii="Times New Roman" w:hAnsi="Times New Roman"/>
                <w:sz w:val="20"/>
              </w:rPr>
              <w:t>$</w:t>
            </w:r>
          </w:p>
        </w:tc>
        <w:tc>
          <w:tcPr>
            <w:tcW w:w="1137" w:type="dxa"/>
            <w:tcBorders/>
            <w:shd w:fill="CCFFCC" w:val="clear"/>
            <w:tcMar>
              <w:bottom w:w="0" w:type="dxa"/>
            </w:tcMar>
            <w:vAlign w:val="bottom"/>
          </w:tcPr>
          <w:p>
            <w:pPr>
              <w:pStyle w:val="TableContents"/>
              <w:spacing w:lineRule="auto" w:line="300" w:before="0" w:after="0"/>
              <w:ind w:left="0" w:right="0" w:hanging="0"/>
              <w:jc w:val="right"/>
              <w:rPr/>
            </w:pPr>
            <w:bookmarkStart w:id="579" w:name="TAB1374"/>
            <w:bookmarkStart w:id="580" w:name="TAB1375"/>
            <w:bookmarkEnd w:id="579"/>
            <w:bookmarkEnd w:id="580"/>
            <w:r>
              <w:rPr>
                <w:rStyle w:val="StrongEmphasis"/>
                <w:rFonts w:ascii="Times New Roman" w:hAnsi="Times New Roman"/>
                <w:sz w:val="20"/>
              </w:rPr>
              <w:t>2,851</w:t>
            </w:r>
          </w:p>
        </w:tc>
        <w:tc>
          <w:tcPr>
            <w:tcW w:w="129" w:type="dxa"/>
            <w:tcBorders/>
            <w:shd w:fill="CCFFCC" w:val="clear"/>
            <w:tcMar>
              <w:bottom w:w="0" w:type="dxa"/>
            </w:tcMar>
            <w:vAlign w:val="bottom"/>
          </w:tcPr>
          <w:p>
            <w:pPr>
              <w:pStyle w:val="TableContents"/>
              <w:spacing w:before="0" w:after="283"/>
              <w:jc w:val="left"/>
              <w:rPr/>
            </w:pPr>
            <w:r>
              <w:rPr/>
              <w:t> </w:t>
            </w:r>
          </w:p>
        </w:tc>
      </w:tr>
      <w:tr>
        <w:trPr/>
        <w:tc>
          <w:tcPr>
            <w:tcW w:w="4173" w:type="dxa"/>
            <w:tcBorders>
              <w:bottom w:val="single" w:sz="4"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Retail and Wholesale Products </w:t>
            </w:r>
          </w:p>
        </w:tc>
        <w:tc>
          <w:tcPr>
            <w:tcW w:w="198" w:type="dxa"/>
            <w:tcBorders>
              <w:bottom w:val="single" w:sz="4"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66"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581" w:name="TAB1376"/>
            <w:bookmarkEnd w:id="581"/>
            <w:r>
              <w:rPr>
                <w:rStyle w:val="StrongEmphasis"/>
                <w:rFonts w:ascii="Times New Roman" w:hAnsi="Times New Roman"/>
                <w:sz w:val="20"/>
              </w:rPr>
              <w:t>39,463</w:t>
            </w:r>
          </w:p>
        </w:tc>
        <w:tc>
          <w:tcPr>
            <w:tcW w:w="198"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66"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582" w:name="TAB1377"/>
            <w:bookmarkEnd w:id="582"/>
            <w:r>
              <w:rPr>
                <w:rStyle w:val="StrongEmphasis"/>
                <w:rFonts w:ascii="Times New Roman" w:hAnsi="Times New Roman"/>
                <w:sz w:val="20"/>
              </w:rPr>
              <w:t>35,976</w:t>
            </w:r>
          </w:p>
        </w:tc>
        <w:tc>
          <w:tcPr>
            <w:tcW w:w="198"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36"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583" w:name="TAB1378"/>
            <w:bookmarkStart w:id="584" w:name="TAB1379"/>
            <w:bookmarkEnd w:id="583"/>
            <w:bookmarkEnd w:id="584"/>
            <w:r>
              <w:rPr>
                <w:rStyle w:val="StrongEmphasis"/>
                <w:rFonts w:ascii="Times New Roman" w:hAnsi="Times New Roman"/>
                <w:sz w:val="20"/>
              </w:rPr>
              <w:t>3,883</w:t>
            </w:r>
          </w:p>
        </w:tc>
        <w:tc>
          <w:tcPr>
            <w:tcW w:w="204"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37"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585" w:name="TAB1380"/>
            <w:bookmarkStart w:id="586" w:name="TAB1381"/>
            <w:bookmarkEnd w:id="585"/>
            <w:bookmarkEnd w:id="586"/>
            <w:r>
              <w:rPr>
                <w:rStyle w:val="StrongEmphasis"/>
                <w:rFonts w:ascii="Times New Roman" w:hAnsi="Times New Roman"/>
                <w:sz w:val="20"/>
              </w:rPr>
              <w:t>4,540</w:t>
            </w:r>
          </w:p>
        </w:tc>
        <w:tc>
          <w:tcPr>
            <w:tcW w:w="129" w:type="dxa"/>
            <w:tcBorders>
              <w:bottom w:val="single" w:sz="4" w:space="0" w:color="FFFFFF"/>
            </w:tcBorders>
            <w:shd w:fill="FFFFFF" w:val="clear"/>
            <w:vAlign w:val="bottom"/>
          </w:tcPr>
          <w:p>
            <w:pPr>
              <w:pStyle w:val="TableContents"/>
              <w:spacing w:before="0" w:after="283"/>
              <w:jc w:val="left"/>
              <w:rPr/>
            </w:pPr>
            <w:r>
              <w:rPr/>
              <w:t> </w:t>
            </w:r>
          </w:p>
        </w:tc>
      </w:tr>
      <w:tr>
        <w:trPr/>
        <w:tc>
          <w:tcPr>
            <w:tcW w:w="4173" w:type="dxa"/>
            <w:tcBorders>
              <w:bottom w:val="single" w:sz="4"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Total Sales/Operating Income</w:t>
            </w:r>
          </w:p>
        </w:tc>
        <w:tc>
          <w:tcPr>
            <w:tcW w:w="198" w:type="dxa"/>
            <w:tcBorders>
              <w:bottom w:val="single" w:sz="4" w:space="0" w:color="CCFFCC"/>
            </w:tcBorders>
            <w:shd w:fill="CCFFCC" w:val="clear"/>
            <w:vAlign w:val="center"/>
          </w:tcPr>
          <w:p>
            <w:pPr>
              <w:pStyle w:val="TableContents"/>
              <w:spacing w:before="0" w:after="283"/>
              <w:rPr/>
            </w:pPr>
            <w:r>
              <w:rPr/>
              <w:t> </w:t>
            </w:r>
          </w:p>
        </w:tc>
        <w:tc>
          <w:tcPr>
            <w:tcW w:w="125" w:type="dxa"/>
            <w:tcBorders>
              <w:bottom w:val="single" w:sz="2" w:space="0" w:color="000000"/>
            </w:tcBorders>
            <w:shd w:fill="CCFFCC" w:val="clear"/>
            <w:vAlign w:val="bottom"/>
          </w:tcPr>
          <w:p>
            <w:pPr>
              <w:pStyle w:val="TableContents"/>
              <w:spacing w:lineRule="auto" w:line="300" w:before="0" w:after="0"/>
              <w:ind w:left="0" w:right="0" w:hanging="0"/>
              <w:jc w:val="left"/>
              <w:rPr/>
            </w:pPr>
            <w:bookmarkStart w:id="587" w:name="TAB1382"/>
            <w:bookmarkEnd w:id="587"/>
            <w:r>
              <w:rPr>
                <w:rStyle w:val="StrongEmphasis"/>
                <w:rFonts w:ascii="Times New Roman" w:hAnsi="Times New Roman"/>
                <w:sz w:val="20"/>
              </w:rPr>
              <w:t>$</w:t>
            </w:r>
          </w:p>
        </w:tc>
        <w:tc>
          <w:tcPr>
            <w:tcW w:w="1166"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588" w:name="TAB1383"/>
            <w:bookmarkEnd w:id="588"/>
            <w:r>
              <w:rPr>
                <w:rStyle w:val="StrongEmphasis"/>
                <w:rFonts w:ascii="Times New Roman" w:hAnsi="Times New Roman"/>
                <w:sz w:val="20"/>
              </w:rPr>
              <w:t>58,026</w:t>
            </w:r>
          </w:p>
        </w:tc>
        <w:tc>
          <w:tcPr>
            <w:tcW w:w="198" w:type="dxa"/>
            <w:tcBorders>
              <w:bottom w:val="single" w:sz="4" w:space="0" w:color="CCFFCC"/>
            </w:tcBorders>
            <w:shd w:fill="CCFFCC" w:val="clear"/>
            <w:vAlign w:val="bottom"/>
          </w:tcPr>
          <w:p>
            <w:pPr>
              <w:pStyle w:val="TableContents"/>
              <w:spacing w:before="0" w:after="283"/>
              <w:jc w:val="left"/>
              <w:rPr/>
            </w:pPr>
            <w:r>
              <w:rPr/>
              <w:t> </w:t>
            </w:r>
          </w:p>
        </w:tc>
        <w:tc>
          <w:tcPr>
            <w:tcW w:w="125" w:type="dxa"/>
            <w:tcBorders>
              <w:bottom w:val="single" w:sz="2" w:space="0" w:color="000000"/>
            </w:tcBorders>
            <w:shd w:fill="CCFFCC" w:val="clear"/>
            <w:vAlign w:val="bottom"/>
          </w:tcPr>
          <w:p>
            <w:pPr>
              <w:pStyle w:val="TableContents"/>
              <w:spacing w:lineRule="auto" w:line="300" w:before="0" w:after="0"/>
              <w:ind w:left="0" w:right="0" w:hanging="0"/>
              <w:jc w:val="left"/>
              <w:rPr/>
            </w:pPr>
            <w:bookmarkStart w:id="589" w:name="TAB1384"/>
            <w:bookmarkEnd w:id="589"/>
            <w:r>
              <w:rPr>
                <w:rStyle w:val="StrongEmphasis"/>
                <w:rFonts w:ascii="Times New Roman" w:hAnsi="Times New Roman"/>
                <w:sz w:val="20"/>
              </w:rPr>
              <w:t>$</w:t>
            </w:r>
          </w:p>
        </w:tc>
        <w:tc>
          <w:tcPr>
            <w:tcW w:w="1166"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590" w:name="TAB1385"/>
            <w:bookmarkEnd w:id="590"/>
            <w:r>
              <w:rPr>
                <w:rStyle w:val="StrongEmphasis"/>
                <w:rFonts w:ascii="Times New Roman" w:hAnsi="Times New Roman"/>
                <w:sz w:val="20"/>
              </w:rPr>
              <w:t>52,873</w:t>
            </w:r>
          </w:p>
        </w:tc>
        <w:tc>
          <w:tcPr>
            <w:tcW w:w="198" w:type="dxa"/>
            <w:tcBorders>
              <w:bottom w:val="single" w:sz="4" w:space="0" w:color="CCFFCC"/>
            </w:tcBorders>
            <w:shd w:fill="CCFFCC" w:val="clear"/>
            <w:vAlign w:val="bottom"/>
          </w:tcPr>
          <w:p>
            <w:pPr>
              <w:pStyle w:val="TableContents"/>
              <w:spacing w:before="0" w:after="283"/>
              <w:jc w:val="left"/>
              <w:rPr/>
            </w:pPr>
            <w:r>
              <w:rPr/>
              <w:t> </w:t>
            </w:r>
          </w:p>
        </w:tc>
        <w:tc>
          <w:tcPr>
            <w:tcW w:w="125" w:type="dxa"/>
            <w:tcBorders>
              <w:bottom w:val="single" w:sz="4" w:space="0" w:color="CCFFCC"/>
            </w:tcBorders>
            <w:shd w:fill="CCFFCC" w:val="clear"/>
            <w:vAlign w:val="bottom"/>
          </w:tcPr>
          <w:p>
            <w:pPr>
              <w:pStyle w:val="TableContents"/>
              <w:spacing w:before="0" w:after="283"/>
              <w:jc w:val="left"/>
              <w:rPr/>
            </w:pPr>
            <w:r>
              <w:rPr/>
              <w:t> </w:t>
            </w:r>
          </w:p>
        </w:tc>
        <w:tc>
          <w:tcPr>
            <w:tcW w:w="1136" w:type="dxa"/>
            <w:tcBorders>
              <w:bottom w:val="single" w:sz="4" w:space="0" w:color="CCFFCC"/>
            </w:tcBorders>
            <w:shd w:fill="CCFFCC" w:val="clear"/>
            <w:vAlign w:val="bottom"/>
          </w:tcPr>
          <w:p>
            <w:pPr>
              <w:pStyle w:val="TableContents"/>
              <w:spacing w:lineRule="auto" w:line="300" w:before="0" w:after="0"/>
              <w:ind w:left="0" w:right="0" w:hanging="0"/>
              <w:jc w:val="right"/>
              <w:rPr/>
            </w:pPr>
            <w:bookmarkStart w:id="591" w:name="TAB1386"/>
            <w:bookmarkStart w:id="592" w:name="TAB1387"/>
            <w:bookmarkEnd w:id="591"/>
            <w:bookmarkEnd w:id="592"/>
            <w:r>
              <w:rPr>
                <w:rStyle w:val="StrongEmphasis"/>
                <w:rFonts w:ascii="Times New Roman" w:hAnsi="Times New Roman"/>
                <w:sz w:val="20"/>
              </w:rPr>
              <w:t>7,539</w:t>
            </w:r>
          </w:p>
        </w:tc>
        <w:tc>
          <w:tcPr>
            <w:tcW w:w="204" w:type="dxa"/>
            <w:tcBorders>
              <w:bottom w:val="single" w:sz="4" w:space="0" w:color="CCFFCC"/>
            </w:tcBorders>
            <w:shd w:fill="CCFFCC" w:val="clear"/>
            <w:vAlign w:val="bottom"/>
          </w:tcPr>
          <w:p>
            <w:pPr>
              <w:pStyle w:val="TableContents"/>
              <w:spacing w:before="0" w:after="283"/>
              <w:jc w:val="left"/>
              <w:rPr/>
            </w:pPr>
            <w:r>
              <w:rPr/>
              <w:t> </w:t>
            </w:r>
          </w:p>
        </w:tc>
        <w:tc>
          <w:tcPr>
            <w:tcW w:w="125" w:type="dxa"/>
            <w:tcBorders>
              <w:bottom w:val="single" w:sz="4" w:space="0" w:color="CCFFCC"/>
            </w:tcBorders>
            <w:shd w:fill="CCFFCC" w:val="clear"/>
            <w:vAlign w:val="bottom"/>
          </w:tcPr>
          <w:p>
            <w:pPr>
              <w:pStyle w:val="TableContents"/>
              <w:spacing w:before="0" w:after="283"/>
              <w:jc w:val="left"/>
              <w:rPr/>
            </w:pPr>
            <w:r>
              <w:rPr/>
              <w:t> </w:t>
            </w:r>
          </w:p>
        </w:tc>
        <w:tc>
          <w:tcPr>
            <w:tcW w:w="1137" w:type="dxa"/>
            <w:tcBorders>
              <w:bottom w:val="single" w:sz="4" w:space="0" w:color="CCFFCC"/>
            </w:tcBorders>
            <w:shd w:fill="CCFFCC" w:val="clear"/>
            <w:vAlign w:val="bottom"/>
          </w:tcPr>
          <w:p>
            <w:pPr>
              <w:pStyle w:val="TableContents"/>
              <w:spacing w:lineRule="auto" w:line="300" w:before="0" w:after="0"/>
              <w:ind w:left="0" w:right="0" w:hanging="0"/>
              <w:jc w:val="right"/>
              <w:rPr/>
            </w:pPr>
            <w:bookmarkStart w:id="593" w:name="TAB1388"/>
            <w:bookmarkStart w:id="594" w:name="TAB1389"/>
            <w:bookmarkEnd w:id="593"/>
            <w:bookmarkEnd w:id="594"/>
            <w:r>
              <w:rPr>
                <w:rStyle w:val="StrongEmphasis"/>
                <w:rFonts w:ascii="Times New Roman" w:hAnsi="Times New Roman"/>
                <w:sz w:val="20"/>
              </w:rPr>
              <w:t>7,391</w:t>
            </w:r>
          </w:p>
        </w:tc>
        <w:tc>
          <w:tcPr>
            <w:tcW w:w="129" w:type="dxa"/>
            <w:tcBorders>
              <w:bottom w:val="single" w:sz="4" w:space="0" w:color="CCFFCC"/>
            </w:tcBorders>
            <w:shd w:fill="CCFFCC" w:val="clear"/>
            <w:vAlign w:val="bottom"/>
          </w:tcPr>
          <w:p>
            <w:pPr>
              <w:pStyle w:val="TableContents"/>
              <w:spacing w:before="0" w:after="283"/>
              <w:jc w:val="left"/>
              <w:rPr/>
            </w:pPr>
            <w:r>
              <w:rPr/>
              <w:t> </w:t>
            </w:r>
          </w:p>
        </w:tc>
      </w:tr>
      <w:tr>
        <w:trPr/>
        <w:tc>
          <w:tcPr>
            <w:tcW w:w="4173"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Less:</w:t>
            </w:r>
          </w:p>
        </w:tc>
        <w:tc>
          <w:tcPr>
            <w:tcW w:w="198"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66" w:type="dxa"/>
            <w:tcBorders/>
            <w:shd w:fill="FFFFFF" w:val="clear"/>
            <w:tcMar>
              <w:bottom w:w="0" w:type="dxa"/>
            </w:tcMar>
            <w:vAlign w:val="bottom"/>
          </w:tcPr>
          <w:p>
            <w:pPr>
              <w:pStyle w:val="TableContents"/>
              <w:spacing w:before="0" w:after="283"/>
              <w:jc w:val="right"/>
              <w:rPr/>
            </w:pPr>
            <w:r>
              <w:rPr/>
              <w:t> </w:t>
            </w:r>
          </w:p>
        </w:tc>
        <w:tc>
          <w:tcPr>
            <w:tcW w:w="198"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66" w:type="dxa"/>
            <w:tcBorders/>
            <w:shd w:fill="FFFFFF" w:val="clear"/>
            <w:tcMar>
              <w:bottom w:w="0" w:type="dxa"/>
            </w:tcMar>
            <w:vAlign w:val="bottom"/>
          </w:tcPr>
          <w:p>
            <w:pPr>
              <w:pStyle w:val="TableContents"/>
              <w:spacing w:before="0" w:after="283"/>
              <w:jc w:val="right"/>
              <w:rPr/>
            </w:pPr>
            <w:r>
              <w:rPr/>
              <w:t> </w:t>
            </w:r>
          </w:p>
        </w:tc>
        <w:tc>
          <w:tcPr>
            <w:tcW w:w="198"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6" w:type="dxa"/>
            <w:tcBorders/>
            <w:shd w:fill="FFFFFF" w:val="clear"/>
            <w:tcMar>
              <w:bottom w:w="0" w:type="dxa"/>
            </w:tcMar>
            <w:vAlign w:val="bottom"/>
          </w:tcPr>
          <w:p>
            <w:pPr>
              <w:pStyle w:val="TableContents"/>
              <w:spacing w:before="0" w:after="283"/>
              <w:jc w:val="right"/>
              <w:rPr/>
            </w:pPr>
            <w:r>
              <w:rPr/>
              <w:t> </w:t>
            </w:r>
          </w:p>
        </w:tc>
        <w:tc>
          <w:tcPr>
            <w:tcW w:w="204"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7" w:type="dxa"/>
            <w:tcBorders/>
            <w:shd w:fill="FFFFFF" w:val="clear"/>
            <w:tcMar>
              <w:bottom w:w="0" w:type="dxa"/>
            </w:tcMar>
            <w:vAlign w:val="bottom"/>
          </w:tcPr>
          <w:p>
            <w:pPr>
              <w:pStyle w:val="TableContents"/>
              <w:spacing w:before="0" w:after="283"/>
              <w:jc w:val="right"/>
              <w:rPr/>
            </w:pPr>
            <w:r>
              <w:rPr/>
              <w:t> </w:t>
            </w:r>
          </w:p>
        </w:tc>
        <w:tc>
          <w:tcPr>
            <w:tcW w:w="129" w:type="dxa"/>
            <w:tcBorders/>
            <w:shd w:fill="FFFFFF" w:val="clear"/>
            <w:tcMar>
              <w:bottom w:w="0" w:type="dxa"/>
            </w:tcMar>
            <w:vAlign w:val="bottom"/>
          </w:tcPr>
          <w:p>
            <w:pPr>
              <w:pStyle w:val="TableContents"/>
              <w:spacing w:before="0" w:after="283"/>
              <w:jc w:val="left"/>
              <w:rPr/>
            </w:pPr>
            <w:r>
              <w:rPr/>
              <w:t> </w:t>
            </w:r>
          </w:p>
        </w:tc>
      </w:tr>
      <w:tr>
        <w:trPr/>
        <w:tc>
          <w:tcPr>
            <w:tcW w:w="4173" w:type="dxa"/>
            <w:tcBorders/>
            <w:shd w:fill="CCFFCC" w:val="clear"/>
            <w:tcMar>
              <w:bottom w:w="0" w:type="dxa"/>
            </w:tcMar>
            <w:vAlign w:val="bottom"/>
          </w:tcPr>
          <w:p>
            <w:pPr>
              <w:pStyle w:val="TableContents"/>
              <w:spacing w:lineRule="auto" w:line="300" w:before="0" w:after="0"/>
              <w:ind w:left="180" w:right="0" w:hanging="0"/>
              <w:jc w:val="left"/>
              <w:rPr/>
            </w:pPr>
            <w:r>
              <w:rPr>
                <w:rStyle w:val="StrongEmphasis"/>
                <w:rFonts w:ascii="Times New Roman" w:hAnsi="Times New Roman"/>
                <w:sz w:val="20"/>
              </w:rPr>
              <w:t>Corporate Expenses</w:t>
            </w:r>
          </w:p>
        </w:tc>
        <w:tc>
          <w:tcPr>
            <w:tcW w:w="198"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66" w:type="dxa"/>
            <w:tcBorders/>
            <w:shd w:fill="CCFFCC" w:val="clear"/>
            <w:tcMar>
              <w:bottom w:w="0" w:type="dxa"/>
            </w:tcMar>
            <w:vAlign w:val="bottom"/>
          </w:tcPr>
          <w:p>
            <w:pPr>
              <w:pStyle w:val="TableContents"/>
              <w:spacing w:before="0" w:after="283"/>
              <w:jc w:val="right"/>
              <w:rPr/>
            </w:pPr>
            <w:r>
              <w:rPr/>
              <w:t> </w:t>
            </w:r>
          </w:p>
        </w:tc>
        <w:tc>
          <w:tcPr>
            <w:tcW w:w="198"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66" w:type="dxa"/>
            <w:tcBorders/>
            <w:shd w:fill="CCFFCC" w:val="clear"/>
            <w:tcMar>
              <w:bottom w:w="0" w:type="dxa"/>
            </w:tcMar>
            <w:vAlign w:val="bottom"/>
          </w:tcPr>
          <w:p>
            <w:pPr>
              <w:pStyle w:val="TableContents"/>
              <w:spacing w:before="0" w:after="283"/>
              <w:jc w:val="right"/>
              <w:rPr/>
            </w:pPr>
            <w:r>
              <w:rPr/>
              <w:t> </w:t>
            </w:r>
          </w:p>
        </w:tc>
        <w:tc>
          <w:tcPr>
            <w:tcW w:w="198"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36" w:type="dxa"/>
            <w:tcBorders/>
            <w:shd w:fill="CCFFCC" w:val="clear"/>
            <w:tcMar>
              <w:bottom w:w="0" w:type="dxa"/>
            </w:tcMar>
            <w:vAlign w:val="bottom"/>
          </w:tcPr>
          <w:p>
            <w:pPr>
              <w:pStyle w:val="TableContents"/>
              <w:spacing w:lineRule="auto" w:line="300" w:before="0" w:after="0"/>
              <w:ind w:left="0" w:right="0" w:hanging="0"/>
              <w:jc w:val="right"/>
              <w:rPr/>
            </w:pPr>
            <w:bookmarkStart w:id="595" w:name="TAB1390"/>
            <w:bookmarkStart w:id="596" w:name="TAB1391"/>
            <w:bookmarkEnd w:id="595"/>
            <w:bookmarkEnd w:id="596"/>
            <w:r>
              <w:rPr>
                <w:rStyle w:val="StrongEmphasis"/>
                <w:rFonts w:ascii="Times New Roman" w:hAnsi="Times New Roman"/>
                <w:sz w:val="20"/>
              </w:rPr>
              <w:t>4,371</w:t>
            </w:r>
          </w:p>
        </w:tc>
        <w:tc>
          <w:tcPr>
            <w:tcW w:w="204"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37" w:type="dxa"/>
            <w:tcBorders/>
            <w:shd w:fill="CCFFCC" w:val="clear"/>
            <w:tcMar>
              <w:bottom w:w="0" w:type="dxa"/>
            </w:tcMar>
            <w:vAlign w:val="bottom"/>
          </w:tcPr>
          <w:p>
            <w:pPr>
              <w:pStyle w:val="TableContents"/>
              <w:spacing w:lineRule="auto" w:line="300" w:before="0" w:after="0"/>
              <w:ind w:left="0" w:right="0" w:hanging="0"/>
              <w:jc w:val="right"/>
              <w:rPr/>
            </w:pPr>
            <w:bookmarkStart w:id="597" w:name="TAB1392"/>
            <w:bookmarkStart w:id="598" w:name="TAB1393"/>
            <w:bookmarkEnd w:id="597"/>
            <w:bookmarkEnd w:id="598"/>
            <w:r>
              <w:rPr>
                <w:rStyle w:val="StrongEmphasis"/>
                <w:rFonts w:ascii="Times New Roman" w:hAnsi="Times New Roman"/>
                <w:sz w:val="20"/>
              </w:rPr>
              <w:t>4,423</w:t>
            </w:r>
          </w:p>
        </w:tc>
        <w:tc>
          <w:tcPr>
            <w:tcW w:w="129" w:type="dxa"/>
            <w:tcBorders/>
            <w:shd w:fill="CCFFCC" w:val="clear"/>
            <w:tcMar>
              <w:bottom w:w="0" w:type="dxa"/>
            </w:tcMar>
            <w:vAlign w:val="bottom"/>
          </w:tcPr>
          <w:p>
            <w:pPr>
              <w:pStyle w:val="TableContents"/>
              <w:spacing w:before="0" w:after="283"/>
              <w:jc w:val="left"/>
              <w:rPr/>
            </w:pPr>
            <w:r>
              <w:rPr/>
              <w:t> </w:t>
            </w:r>
          </w:p>
        </w:tc>
      </w:tr>
      <w:tr>
        <w:trPr/>
        <w:tc>
          <w:tcPr>
            <w:tcW w:w="4173" w:type="dxa"/>
            <w:tcBorders/>
            <w:shd w:fill="FFFFFF" w:val="clear"/>
            <w:tcMar>
              <w:bottom w:w="0" w:type="dxa"/>
            </w:tcMar>
            <w:vAlign w:val="bottom"/>
          </w:tcPr>
          <w:p>
            <w:pPr>
              <w:pStyle w:val="TableContents"/>
              <w:spacing w:lineRule="auto" w:line="300" w:before="0" w:after="0"/>
              <w:ind w:left="180" w:right="0" w:hanging="0"/>
              <w:jc w:val="left"/>
              <w:rPr/>
            </w:pPr>
            <w:r>
              <w:rPr>
                <w:rStyle w:val="StrongEmphasis"/>
                <w:rFonts w:ascii="Times New Roman" w:hAnsi="Times New Roman"/>
                <w:sz w:val="20"/>
              </w:rPr>
              <w:t>Interest Expense, net of</w:t>
            </w:r>
          </w:p>
        </w:tc>
        <w:tc>
          <w:tcPr>
            <w:tcW w:w="198"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66" w:type="dxa"/>
            <w:tcBorders/>
            <w:shd w:fill="FFFFFF" w:val="clear"/>
            <w:tcMar>
              <w:bottom w:w="0" w:type="dxa"/>
            </w:tcMar>
            <w:vAlign w:val="bottom"/>
          </w:tcPr>
          <w:p>
            <w:pPr>
              <w:pStyle w:val="TableContents"/>
              <w:spacing w:before="0" w:after="283"/>
              <w:jc w:val="right"/>
              <w:rPr/>
            </w:pPr>
            <w:r>
              <w:rPr/>
              <w:t> </w:t>
            </w:r>
          </w:p>
        </w:tc>
        <w:tc>
          <w:tcPr>
            <w:tcW w:w="198"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66" w:type="dxa"/>
            <w:tcBorders/>
            <w:shd w:fill="FFFFFF" w:val="clear"/>
            <w:tcMar>
              <w:bottom w:w="0" w:type="dxa"/>
            </w:tcMar>
            <w:vAlign w:val="bottom"/>
          </w:tcPr>
          <w:p>
            <w:pPr>
              <w:pStyle w:val="TableContents"/>
              <w:spacing w:before="0" w:after="283"/>
              <w:jc w:val="right"/>
              <w:rPr/>
            </w:pPr>
            <w:r>
              <w:rPr/>
              <w:t> </w:t>
            </w:r>
          </w:p>
        </w:tc>
        <w:tc>
          <w:tcPr>
            <w:tcW w:w="198"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6" w:type="dxa"/>
            <w:tcBorders/>
            <w:shd w:fill="FFFFFF" w:val="clear"/>
            <w:tcMar>
              <w:bottom w:w="0" w:type="dxa"/>
            </w:tcMar>
            <w:vAlign w:val="bottom"/>
          </w:tcPr>
          <w:p>
            <w:pPr>
              <w:pStyle w:val="TableContents"/>
              <w:spacing w:before="0" w:after="283"/>
              <w:jc w:val="right"/>
              <w:rPr/>
            </w:pPr>
            <w:r>
              <w:rPr/>
              <w:t> </w:t>
            </w:r>
          </w:p>
        </w:tc>
        <w:tc>
          <w:tcPr>
            <w:tcW w:w="204"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7" w:type="dxa"/>
            <w:tcBorders/>
            <w:shd w:fill="FFFFFF" w:val="clear"/>
            <w:tcMar>
              <w:bottom w:w="0" w:type="dxa"/>
            </w:tcMar>
            <w:vAlign w:val="bottom"/>
          </w:tcPr>
          <w:p>
            <w:pPr>
              <w:pStyle w:val="TableContents"/>
              <w:spacing w:before="0" w:after="283"/>
              <w:jc w:val="right"/>
              <w:rPr/>
            </w:pPr>
            <w:r>
              <w:rPr/>
              <w:t> </w:t>
            </w:r>
          </w:p>
        </w:tc>
        <w:tc>
          <w:tcPr>
            <w:tcW w:w="129" w:type="dxa"/>
            <w:tcBorders/>
            <w:shd w:fill="FFFFFF" w:val="clear"/>
            <w:tcMar>
              <w:bottom w:w="0" w:type="dxa"/>
            </w:tcMar>
            <w:vAlign w:val="bottom"/>
          </w:tcPr>
          <w:p>
            <w:pPr>
              <w:pStyle w:val="TableContents"/>
              <w:spacing w:before="0" w:after="283"/>
              <w:jc w:val="left"/>
              <w:rPr/>
            </w:pPr>
            <w:r>
              <w:rPr/>
              <w:t> </w:t>
            </w:r>
          </w:p>
        </w:tc>
      </w:tr>
      <w:tr>
        <w:trPr/>
        <w:tc>
          <w:tcPr>
            <w:tcW w:w="4173" w:type="dxa"/>
            <w:tcBorders>
              <w:bottom w:val="single" w:sz="4" w:space="0" w:color="CCFFCC"/>
            </w:tcBorders>
            <w:shd w:fill="CCFFCC" w:val="clear"/>
            <w:vAlign w:val="bottom"/>
          </w:tcPr>
          <w:p>
            <w:pPr>
              <w:pStyle w:val="TableContents"/>
              <w:spacing w:lineRule="auto" w:line="300" w:before="0" w:after="0"/>
              <w:ind w:left="180" w:right="0" w:hanging="0"/>
              <w:jc w:val="left"/>
              <w:rPr/>
            </w:pPr>
            <w:r>
              <w:rPr>
                <w:rStyle w:val="StrongEmphasis"/>
                <w:rFonts w:ascii="Times New Roman" w:hAnsi="Times New Roman"/>
                <w:sz w:val="20"/>
              </w:rPr>
              <w:t>Interest Income</w:t>
            </w:r>
          </w:p>
        </w:tc>
        <w:tc>
          <w:tcPr>
            <w:tcW w:w="198" w:type="dxa"/>
            <w:tcBorders>
              <w:bottom w:val="single" w:sz="4" w:space="0" w:color="CCFFCC"/>
            </w:tcBorders>
            <w:shd w:fill="CCFFCC" w:val="clear"/>
            <w:vAlign w:val="center"/>
          </w:tcPr>
          <w:p>
            <w:pPr>
              <w:pStyle w:val="TableContents"/>
              <w:spacing w:before="0" w:after="283"/>
              <w:rPr/>
            </w:pPr>
            <w:r>
              <w:rPr/>
              <w:t> </w:t>
            </w:r>
          </w:p>
        </w:tc>
        <w:tc>
          <w:tcPr>
            <w:tcW w:w="125" w:type="dxa"/>
            <w:tcBorders>
              <w:bottom w:val="single" w:sz="4" w:space="0" w:color="CCFFCC"/>
            </w:tcBorders>
            <w:shd w:fill="CCFFCC" w:val="clear"/>
            <w:vAlign w:val="bottom"/>
          </w:tcPr>
          <w:p>
            <w:pPr>
              <w:pStyle w:val="TableContents"/>
              <w:spacing w:before="0" w:after="283"/>
              <w:jc w:val="left"/>
              <w:rPr/>
            </w:pPr>
            <w:r>
              <w:rPr/>
              <w:t> </w:t>
            </w:r>
          </w:p>
        </w:tc>
        <w:tc>
          <w:tcPr>
            <w:tcW w:w="1166" w:type="dxa"/>
            <w:tcBorders>
              <w:bottom w:val="single" w:sz="4" w:space="0" w:color="CCFFCC"/>
            </w:tcBorders>
            <w:shd w:fill="CCFFCC" w:val="clear"/>
            <w:vAlign w:val="bottom"/>
          </w:tcPr>
          <w:p>
            <w:pPr>
              <w:pStyle w:val="TableContents"/>
              <w:spacing w:before="0" w:after="283"/>
              <w:jc w:val="right"/>
              <w:rPr/>
            </w:pPr>
            <w:r>
              <w:rPr/>
              <w:t> </w:t>
            </w:r>
          </w:p>
        </w:tc>
        <w:tc>
          <w:tcPr>
            <w:tcW w:w="198" w:type="dxa"/>
            <w:tcBorders>
              <w:bottom w:val="single" w:sz="4" w:space="0" w:color="CCFFCC"/>
            </w:tcBorders>
            <w:shd w:fill="CCFFCC" w:val="clear"/>
            <w:vAlign w:val="bottom"/>
          </w:tcPr>
          <w:p>
            <w:pPr>
              <w:pStyle w:val="TableContents"/>
              <w:spacing w:before="0" w:after="283"/>
              <w:jc w:val="left"/>
              <w:rPr/>
            </w:pPr>
            <w:r>
              <w:rPr/>
              <w:t> </w:t>
            </w:r>
          </w:p>
        </w:tc>
        <w:tc>
          <w:tcPr>
            <w:tcW w:w="125" w:type="dxa"/>
            <w:tcBorders>
              <w:bottom w:val="single" w:sz="4" w:space="0" w:color="CCFFCC"/>
            </w:tcBorders>
            <w:shd w:fill="CCFFCC" w:val="clear"/>
            <w:vAlign w:val="bottom"/>
          </w:tcPr>
          <w:p>
            <w:pPr>
              <w:pStyle w:val="TableContents"/>
              <w:spacing w:before="0" w:after="283"/>
              <w:jc w:val="left"/>
              <w:rPr/>
            </w:pPr>
            <w:r>
              <w:rPr/>
              <w:t> </w:t>
            </w:r>
          </w:p>
        </w:tc>
        <w:tc>
          <w:tcPr>
            <w:tcW w:w="1166" w:type="dxa"/>
            <w:tcBorders>
              <w:bottom w:val="single" w:sz="4" w:space="0" w:color="CCFFCC"/>
            </w:tcBorders>
            <w:shd w:fill="CCFFCC" w:val="clear"/>
            <w:vAlign w:val="bottom"/>
          </w:tcPr>
          <w:p>
            <w:pPr>
              <w:pStyle w:val="TableContents"/>
              <w:spacing w:before="0" w:after="283"/>
              <w:jc w:val="right"/>
              <w:rPr/>
            </w:pPr>
            <w:r>
              <w:rPr/>
              <w:t> </w:t>
            </w:r>
          </w:p>
        </w:tc>
        <w:tc>
          <w:tcPr>
            <w:tcW w:w="198" w:type="dxa"/>
            <w:tcBorders>
              <w:bottom w:val="single" w:sz="4" w:space="0" w:color="CCFFCC"/>
            </w:tcBorders>
            <w:shd w:fill="CCFFCC" w:val="clear"/>
            <w:vAlign w:val="bottom"/>
          </w:tcPr>
          <w:p>
            <w:pPr>
              <w:pStyle w:val="TableContents"/>
              <w:spacing w:before="0" w:after="283"/>
              <w:jc w:val="left"/>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136"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599" w:name="TAB1394"/>
            <w:bookmarkStart w:id="600" w:name="TAB1395"/>
            <w:bookmarkEnd w:id="599"/>
            <w:bookmarkEnd w:id="600"/>
            <w:r>
              <w:rPr>
                <w:rStyle w:val="StrongEmphasis"/>
                <w:rFonts w:ascii="Times New Roman" w:hAnsi="Times New Roman"/>
                <w:sz w:val="20"/>
              </w:rPr>
              <w:t>286</w:t>
            </w:r>
          </w:p>
        </w:tc>
        <w:tc>
          <w:tcPr>
            <w:tcW w:w="204" w:type="dxa"/>
            <w:tcBorders>
              <w:bottom w:val="single" w:sz="4" w:space="0" w:color="CCFFCC"/>
            </w:tcBorders>
            <w:shd w:fill="CCFFCC" w:val="clear"/>
            <w:vAlign w:val="bottom"/>
          </w:tcPr>
          <w:p>
            <w:pPr>
              <w:pStyle w:val="TableContents"/>
              <w:spacing w:before="0" w:after="283"/>
              <w:jc w:val="left"/>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137"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601" w:name="TAB1396"/>
            <w:bookmarkStart w:id="602" w:name="TAB1397"/>
            <w:bookmarkEnd w:id="601"/>
            <w:bookmarkEnd w:id="602"/>
            <w:r>
              <w:rPr>
                <w:rStyle w:val="StrongEmphasis"/>
                <w:rFonts w:ascii="Times New Roman" w:hAnsi="Times New Roman"/>
                <w:sz w:val="20"/>
              </w:rPr>
              <w:t>288</w:t>
            </w:r>
          </w:p>
        </w:tc>
        <w:tc>
          <w:tcPr>
            <w:tcW w:w="129" w:type="dxa"/>
            <w:tcBorders>
              <w:bottom w:val="single" w:sz="4" w:space="0" w:color="CCFFCC"/>
            </w:tcBorders>
            <w:shd w:fill="CCFFCC" w:val="clear"/>
            <w:vAlign w:val="bottom"/>
          </w:tcPr>
          <w:p>
            <w:pPr>
              <w:pStyle w:val="TableContents"/>
              <w:spacing w:before="0" w:after="283"/>
              <w:jc w:val="left"/>
              <w:rPr/>
            </w:pPr>
            <w:r>
              <w:rPr/>
              <w:t> </w:t>
            </w:r>
          </w:p>
        </w:tc>
      </w:tr>
      <w:tr>
        <w:trPr/>
        <w:tc>
          <w:tcPr>
            <w:tcW w:w="4173"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Income before Income Taxes </w:t>
            </w:r>
          </w:p>
        </w:tc>
        <w:tc>
          <w:tcPr>
            <w:tcW w:w="198"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66" w:type="dxa"/>
            <w:tcBorders/>
            <w:shd w:fill="FFFFFF" w:val="clear"/>
            <w:tcMar>
              <w:bottom w:w="0" w:type="dxa"/>
            </w:tcMar>
            <w:vAlign w:val="bottom"/>
          </w:tcPr>
          <w:p>
            <w:pPr>
              <w:pStyle w:val="TableContents"/>
              <w:spacing w:before="0" w:after="283"/>
              <w:jc w:val="right"/>
              <w:rPr/>
            </w:pPr>
            <w:r>
              <w:rPr/>
              <w:t> </w:t>
            </w:r>
          </w:p>
        </w:tc>
        <w:tc>
          <w:tcPr>
            <w:tcW w:w="198"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66" w:type="dxa"/>
            <w:tcBorders/>
            <w:shd w:fill="FFFFFF" w:val="clear"/>
            <w:tcMar>
              <w:bottom w:w="0" w:type="dxa"/>
            </w:tcMar>
            <w:vAlign w:val="bottom"/>
          </w:tcPr>
          <w:p>
            <w:pPr>
              <w:pStyle w:val="TableContents"/>
              <w:spacing w:before="0" w:after="283"/>
              <w:jc w:val="right"/>
              <w:rPr/>
            </w:pPr>
            <w:r>
              <w:rPr/>
              <w:t> </w:t>
            </w:r>
          </w:p>
        </w:tc>
        <w:tc>
          <w:tcPr>
            <w:tcW w:w="198"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6" w:type="dxa"/>
            <w:tcBorders/>
            <w:shd w:fill="FFFFFF" w:val="clear"/>
            <w:tcMar>
              <w:bottom w:w="0" w:type="dxa"/>
            </w:tcMar>
            <w:vAlign w:val="bottom"/>
          </w:tcPr>
          <w:p>
            <w:pPr>
              <w:pStyle w:val="TableContents"/>
              <w:spacing w:lineRule="auto" w:line="300" w:before="0" w:after="0"/>
              <w:ind w:left="0" w:right="0" w:hanging="0"/>
              <w:jc w:val="right"/>
              <w:rPr/>
            </w:pPr>
            <w:bookmarkStart w:id="603" w:name="TAB1398"/>
            <w:bookmarkStart w:id="604" w:name="TAB1399"/>
            <w:bookmarkEnd w:id="603"/>
            <w:bookmarkEnd w:id="604"/>
            <w:r>
              <w:rPr>
                <w:rStyle w:val="StrongEmphasis"/>
                <w:rFonts w:ascii="Times New Roman" w:hAnsi="Times New Roman"/>
                <w:sz w:val="20"/>
              </w:rPr>
              <w:t>2,882</w:t>
            </w:r>
          </w:p>
        </w:tc>
        <w:tc>
          <w:tcPr>
            <w:tcW w:w="204"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7" w:type="dxa"/>
            <w:tcBorders/>
            <w:shd w:fill="FFFFFF" w:val="clear"/>
            <w:tcMar>
              <w:bottom w:w="0" w:type="dxa"/>
            </w:tcMar>
            <w:vAlign w:val="bottom"/>
          </w:tcPr>
          <w:p>
            <w:pPr>
              <w:pStyle w:val="TableContents"/>
              <w:spacing w:lineRule="auto" w:line="300" w:before="0" w:after="0"/>
              <w:ind w:left="0" w:right="0" w:hanging="0"/>
              <w:jc w:val="right"/>
              <w:rPr/>
            </w:pPr>
            <w:bookmarkStart w:id="605" w:name="TAB1400"/>
            <w:bookmarkStart w:id="606" w:name="TAB1401"/>
            <w:bookmarkEnd w:id="605"/>
            <w:bookmarkEnd w:id="606"/>
            <w:r>
              <w:rPr>
                <w:rStyle w:val="StrongEmphasis"/>
                <w:rFonts w:ascii="Times New Roman" w:hAnsi="Times New Roman"/>
                <w:sz w:val="20"/>
              </w:rPr>
              <w:t>2,680</w:t>
            </w:r>
          </w:p>
        </w:tc>
        <w:tc>
          <w:tcPr>
            <w:tcW w:w="129" w:type="dxa"/>
            <w:tcBorders/>
            <w:shd w:fill="FFFFFF" w:val="clear"/>
            <w:tcMar>
              <w:bottom w:w="0" w:type="dxa"/>
            </w:tcMar>
            <w:vAlign w:val="bottom"/>
          </w:tcPr>
          <w:p>
            <w:pPr>
              <w:pStyle w:val="TableContents"/>
              <w:spacing w:before="0" w:after="283"/>
              <w:jc w:val="left"/>
              <w:rPr/>
            </w:pPr>
            <w:r>
              <w:rPr/>
              <w:t> </w:t>
            </w:r>
          </w:p>
        </w:tc>
      </w:tr>
      <w:tr>
        <w:trPr/>
        <w:tc>
          <w:tcPr>
            <w:tcW w:w="4173" w:type="dxa"/>
            <w:tcBorders>
              <w:bottom w:val="single" w:sz="4"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Income Taxes </w:t>
            </w:r>
          </w:p>
        </w:tc>
        <w:tc>
          <w:tcPr>
            <w:tcW w:w="198" w:type="dxa"/>
            <w:tcBorders>
              <w:bottom w:val="single" w:sz="4" w:space="0" w:color="CCFFCC"/>
            </w:tcBorders>
            <w:shd w:fill="CCFFCC" w:val="clear"/>
            <w:vAlign w:val="center"/>
          </w:tcPr>
          <w:p>
            <w:pPr>
              <w:pStyle w:val="TableContents"/>
              <w:spacing w:before="0" w:after="283"/>
              <w:rPr/>
            </w:pPr>
            <w:r>
              <w:rPr/>
              <w:t> </w:t>
            </w:r>
          </w:p>
        </w:tc>
        <w:tc>
          <w:tcPr>
            <w:tcW w:w="125" w:type="dxa"/>
            <w:tcBorders>
              <w:bottom w:val="single" w:sz="4" w:space="0" w:color="CCFFCC"/>
            </w:tcBorders>
            <w:shd w:fill="CCFFCC" w:val="clear"/>
            <w:vAlign w:val="bottom"/>
          </w:tcPr>
          <w:p>
            <w:pPr>
              <w:pStyle w:val="TableContents"/>
              <w:spacing w:before="0" w:after="283"/>
              <w:jc w:val="left"/>
              <w:rPr/>
            </w:pPr>
            <w:r>
              <w:rPr/>
              <w:t> </w:t>
            </w:r>
          </w:p>
        </w:tc>
        <w:tc>
          <w:tcPr>
            <w:tcW w:w="1166" w:type="dxa"/>
            <w:tcBorders>
              <w:bottom w:val="single" w:sz="4" w:space="0" w:color="CCFFCC"/>
            </w:tcBorders>
            <w:shd w:fill="CCFFCC" w:val="clear"/>
            <w:vAlign w:val="bottom"/>
          </w:tcPr>
          <w:p>
            <w:pPr>
              <w:pStyle w:val="TableContents"/>
              <w:spacing w:before="0" w:after="283"/>
              <w:jc w:val="right"/>
              <w:rPr/>
            </w:pPr>
            <w:r>
              <w:rPr/>
              <w:t> </w:t>
            </w:r>
          </w:p>
        </w:tc>
        <w:tc>
          <w:tcPr>
            <w:tcW w:w="198" w:type="dxa"/>
            <w:tcBorders>
              <w:bottom w:val="single" w:sz="4" w:space="0" w:color="CCFFCC"/>
            </w:tcBorders>
            <w:shd w:fill="CCFFCC" w:val="clear"/>
            <w:vAlign w:val="bottom"/>
          </w:tcPr>
          <w:p>
            <w:pPr>
              <w:pStyle w:val="TableContents"/>
              <w:spacing w:before="0" w:after="283"/>
              <w:jc w:val="left"/>
              <w:rPr/>
            </w:pPr>
            <w:r>
              <w:rPr/>
              <w:t> </w:t>
            </w:r>
          </w:p>
        </w:tc>
        <w:tc>
          <w:tcPr>
            <w:tcW w:w="125" w:type="dxa"/>
            <w:tcBorders>
              <w:bottom w:val="single" w:sz="4" w:space="0" w:color="CCFFCC"/>
            </w:tcBorders>
            <w:shd w:fill="CCFFCC" w:val="clear"/>
            <w:vAlign w:val="bottom"/>
          </w:tcPr>
          <w:p>
            <w:pPr>
              <w:pStyle w:val="TableContents"/>
              <w:spacing w:before="0" w:after="283"/>
              <w:jc w:val="left"/>
              <w:rPr/>
            </w:pPr>
            <w:r>
              <w:rPr/>
              <w:t> </w:t>
            </w:r>
          </w:p>
        </w:tc>
        <w:tc>
          <w:tcPr>
            <w:tcW w:w="1166" w:type="dxa"/>
            <w:tcBorders>
              <w:bottom w:val="single" w:sz="4" w:space="0" w:color="CCFFCC"/>
            </w:tcBorders>
            <w:shd w:fill="CCFFCC" w:val="clear"/>
            <w:vAlign w:val="bottom"/>
          </w:tcPr>
          <w:p>
            <w:pPr>
              <w:pStyle w:val="TableContents"/>
              <w:spacing w:before="0" w:after="283"/>
              <w:jc w:val="right"/>
              <w:rPr/>
            </w:pPr>
            <w:r>
              <w:rPr/>
              <w:t> </w:t>
            </w:r>
          </w:p>
        </w:tc>
        <w:tc>
          <w:tcPr>
            <w:tcW w:w="198" w:type="dxa"/>
            <w:tcBorders>
              <w:bottom w:val="single" w:sz="4" w:space="0" w:color="CCFFCC"/>
            </w:tcBorders>
            <w:shd w:fill="CCFFCC" w:val="clear"/>
            <w:vAlign w:val="bottom"/>
          </w:tcPr>
          <w:p>
            <w:pPr>
              <w:pStyle w:val="TableContents"/>
              <w:spacing w:before="0" w:after="283"/>
              <w:jc w:val="left"/>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136"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607" w:name="TAB1402"/>
            <w:bookmarkStart w:id="608" w:name="TAB1403"/>
            <w:bookmarkEnd w:id="607"/>
            <w:bookmarkEnd w:id="608"/>
            <w:r>
              <w:rPr>
                <w:rStyle w:val="StrongEmphasis"/>
                <w:rFonts w:ascii="Times New Roman" w:hAnsi="Times New Roman"/>
                <w:sz w:val="20"/>
              </w:rPr>
              <w:t>(793</w:t>
            </w:r>
          </w:p>
        </w:tc>
        <w:tc>
          <w:tcPr>
            <w:tcW w:w="204" w:type="dxa"/>
            <w:tcBorders>
              <w:bottom w:val="single" w:sz="4" w:space="0" w:color="CCFFCC"/>
            </w:tcBorders>
            <w:shd w:fill="CCFFCC" w:val="clear"/>
            <w:vAlign w:val="bottom"/>
          </w:tcPr>
          <w:p>
            <w:pPr>
              <w:pStyle w:val="TableContents"/>
              <w:spacing w:lineRule="auto" w:line="300" w:before="0" w:after="0"/>
              <w:ind w:left="0" w:right="0" w:hanging="0"/>
              <w:jc w:val="left"/>
              <w:rPr/>
            </w:pPr>
            <w:bookmarkStart w:id="609" w:name="TAB1404"/>
            <w:bookmarkStart w:id="610" w:name="TAB1405"/>
            <w:bookmarkEnd w:id="609"/>
            <w:bookmarkEnd w:id="610"/>
            <w:r>
              <w:rPr>
                <w:rStyle w:val="StrongEmphasis"/>
                <w:rFonts w:ascii="Times New Roman" w:hAnsi="Times New Roman"/>
                <w:sz w:val="20"/>
              </w:rPr>
              <w:t>)</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137"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611" w:name="TAB1406"/>
            <w:bookmarkStart w:id="612" w:name="TAB1407"/>
            <w:bookmarkEnd w:id="611"/>
            <w:bookmarkEnd w:id="612"/>
            <w:r>
              <w:rPr>
                <w:rStyle w:val="StrongEmphasis"/>
                <w:rFonts w:ascii="Times New Roman" w:hAnsi="Times New Roman"/>
                <w:sz w:val="20"/>
              </w:rPr>
              <w:t>(717</w:t>
            </w:r>
          </w:p>
        </w:tc>
        <w:tc>
          <w:tcPr>
            <w:tcW w:w="129" w:type="dxa"/>
            <w:tcBorders>
              <w:bottom w:val="single" w:sz="4" w:space="0" w:color="CCFFCC"/>
            </w:tcBorders>
            <w:shd w:fill="CCFFCC" w:val="clear"/>
            <w:vAlign w:val="bottom"/>
          </w:tcPr>
          <w:p>
            <w:pPr>
              <w:pStyle w:val="TableContents"/>
              <w:spacing w:lineRule="auto" w:line="300" w:before="0" w:after="0"/>
              <w:ind w:left="0" w:right="0" w:hanging="0"/>
              <w:jc w:val="left"/>
              <w:rPr/>
            </w:pPr>
            <w:bookmarkStart w:id="613" w:name="TAB1408"/>
            <w:bookmarkStart w:id="614" w:name="TAB1409"/>
            <w:bookmarkEnd w:id="613"/>
            <w:bookmarkEnd w:id="614"/>
            <w:r>
              <w:rPr>
                <w:rStyle w:val="StrongEmphasis"/>
                <w:rFonts w:ascii="Times New Roman" w:hAnsi="Times New Roman"/>
                <w:sz w:val="20"/>
              </w:rPr>
              <w:t>)</w:t>
            </w:r>
          </w:p>
        </w:tc>
      </w:tr>
      <w:tr>
        <w:trPr/>
        <w:tc>
          <w:tcPr>
            <w:tcW w:w="4173" w:type="dxa"/>
            <w:tcBorders>
              <w:bottom w:val="single" w:sz="4"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Net Income</w:t>
            </w:r>
          </w:p>
        </w:tc>
        <w:tc>
          <w:tcPr>
            <w:tcW w:w="198" w:type="dxa"/>
            <w:tcBorders>
              <w:bottom w:val="single" w:sz="4" w:space="0" w:color="FFFFFF"/>
            </w:tcBorders>
            <w:shd w:fill="FFFFFF" w:val="clear"/>
            <w:vAlign w:val="center"/>
          </w:tcPr>
          <w:p>
            <w:pPr>
              <w:pStyle w:val="TableContents"/>
              <w:spacing w:before="0" w:after="283"/>
              <w:rPr/>
            </w:pPr>
            <w:r>
              <w:rPr/>
              <w:t> </w:t>
            </w:r>
          </w:p>
        </w:tc>
        <w:tc>
          <w:tcPr>
            <w:tcW w:w="125" w:type="dxa"/>
            <w:tcBorders>
              <w:bottom w:val="single" w:sz="4" w:space="0" w:color="FFFFFF"/>
            </w:tcBorders>
            <w:shd w:fill="FFFFFF" w:val="clear"/>
            <w:vAlign w:val="bottom"/>
          </w:tcPr>
          <w:p>
            <w:pPr>
              <w:pStyle w:val="TableContents"/>
              <w:spacing w:before="0" w:after="283"/>
              <w:jc w:val="left"/>
              <w:rPr/>
            </w:pPr>
            <w:r>
              <w:rPr/>
              <w:t> </w:t>
            </w:r>
          </w:p>
        </w:tc>
        <w:tc>
          <w:tcPr>
            <w:tcW w:w="1166" w:type="dxa"/>
            <w:tcBorders>
              <w:bottom w:val="single" w:sz="4" w:space="0" w:color="FFFFFF"/>
            </w:tcBorders>
            <w:shd w:fill="FFFFFF" w:val="clear"/>
            <w:vAlign w:val="bottom"/>
          </w:tcPr>
          <w:p>
            <w:pPr>
              <w:pStyle w:val="TableContents"/>
              <w:spacing w:before="0" w:after="283"/>
              <w:jc w:val="right"/>
              <w:rPr/>
            </w:pPr>
            <w:r>
              <w:rPr/>
              <w:t> </w:t>
            </w:r>
          </w:p>
        </w:tc>
        <w:tc>
          <w:tcPr>
            <w:tcW w:w="198"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single" w:sz="4" w:space="0" w:color="FFFFFF"/>
            </w:tcBorders>
            <w:shd w:fill="FFFFFF" w:val="clear"/>
            <w:vAlign w:val="bottom"/>
          </w:tcPr>
          <w:p>
            <w:pPr>
              <w:pStyle w:val="TableContents"/>
              <w:spacing w:before="0" w:after="283"/>
              <w:jc w:val="left"/>
              <w:rPr/>
            </w:pPr>
            <w:r>
              <w:rPr/>
              <w:t> </w:t>
            </w:r>
          </w:p>
        </w:tc>
        <w:tc>
          <w:tcPr>
            <w:tcW w:w="1166" w:type="dxa"/>
            <w:tcBorders>
              <w:bottom w:val="single" w:sz="4" w:space="0" w:color="FFFFFF"/>
            </w:tcBorders>
            <w:shd w:fill="FFFFFF" w:val="clear"/>
            <w:vAlign w:val="bottom"/>
          </w:tcPr>
          <w:p>
            <w:pPr>
              <w:pStyle w:val="TableContents"/>
              <w:spacing w:before="0" w:after="283"/>
              <w:jc w:val="right"/>
              <w:rPr/>
            </w:pPr>
            <w:r>
              <w:rPr/>
              <w:t> </w:t>
            </w:r>
          </w:p>
        </w:tc>
        <w:tc>
          <w:tcPr>
            <w:tcW w:w="198"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lineRule="auto" w:line="300" w:before="0" w:after="0"/>
              <w:ind w:left="0" w:right="0" w:hanging="0"/>
              <w:jc w:val="left"/>
              <w:rPr/>
            </w:pPr>
            <w:bookmarkStart w:id="615" w:name="TAB1410"/>
            <w:bookmarkEnd w:id="615"/>
            <w:r>
              <w:rPr>
                <w:rStyle w:val="StrongEmphasis"/>
                <w:rFonts w:ascii="Times New Roman" w:hAnsi="Times New Roman"/>
                <w:sz w:val="20"/>
              </w:rPr>
              <w:t>$</w:t>
            </w:r>
            <w:bookmarkStart w:id="616" w:name="TAB253"/>
            <w:bookmarkEnd w:id="616"/>
          </w:p>
        </w:tc>
        <w:tc>
          <w:tcPr>
            <w:tcW w:w="1136" w:type="dxa"/>
            <w:tcBorders>
              <w:bottom w:val="double" w:sz="2" w:space="0" w:color="000000"/>
            </w:tcBorders>
            <w:shd w:fill="FFFFFF" w:val="clear"/>
            <w:vAlign w:val="bottom"/>
          </w:tcPr>
          <w:p>
            <w:pPr>
              <w:pStyle w:val="TableContents"/>
              <w:spacing w:lineRule="auto" w:line="300" w:before="0" w:after="0"/>
              <w:ind w:left="0" w:right="0" w:hanging="0"/>
              <w:jc w:val="right"/>
              <w:rPr/>
            </w:pPr>
            <w:bookmarkStart w:id="617" w:name="TAB254"/>
            <w:bookmarkStart w:id="618" w:name="TAB1411"/>
            <w:bookmarkEnd w:id="617"/>
            <w:bookmarkEnd w:id="618"/>
            <w:r>
              <w:rPr>
                <w:rStyle w:val="StrongEmphasis"/>
                <w:rFonts w:ascii="Times New Roman" w:hAnsi="Times New Roman"/>
                <w:sz w:val="20"/>
              </w:rPr>
              <w:t>2,089</w:t>
            </w:r>
          </w:p>
        </w:tc>
        <w:tc>
          <w:tcPr>
            <w:tcW w:w="204"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lineRule="auto" w:line="300" w:before="0" w:after="0"/>
              <w:ind w:left="0" w:right="0" w:hanging="0"/>
              <w:jc w:val="left"/>
              <w:rPr/>
            </w:pPr>
            <w:bookmarkStart w:id="619" w:name="TAB1412"/>
            <w:bookmarkEnd w:id="619"/>
            <w:r>
              <w:rPr>
                <w:rStyle w:val="StrongEmphasis"/>
                <w:rFonts w:ascii="Times New Roman" w:hAnsi="Times New Roman"/>
                <w:sz w:val="20"/>
              </w:rPr>
              <w:t>$</w:t>
            </w:r>
            <w:bookmarkStart w:id="620" w:name="TAB255"/>
            <w:bookmarkEnd w:id="620"/>
          </w:p>
        </w:tc>
        <w:tc>
          <w:tcPr>
            <w:tcW w:w="1137" w:type="dxa"/>
            <w:tcBorders>
              <w:bottom w:val="double" w:sz="2" w:space="0" w:color="000000"/>
            </w:tcBorders>
            <w:shd w:fill="FFFFFF" w:val="clear"/>
            <w:vAlign w:val="bottom"/>
          </w:tcPr>
          <w:p>
            <w:pPr>
              <w:pStyle w:val="TableContents"/>
              <w:spacing w:lineRule="auto" w:line="300" w:before="0" w:after="0"/>
              <w:ind w:left="0" w:right="0" w:hanging="0"/>
              <w:jc w:val="right"/>
              <w:rPr/>
            </w:pPr>
            <w:bookmarkStart w:id="621" w:name="TAB256"/>
            <w:bookmarkStart w:id="622" w:name="TAB1413"/>
            <w:bookmarkEnd w:id="621"/>
            <w:bookmarkEnd w:id="622"/>
            <w:r>
              <w:rPr>
                <w:rStyle w:val="StrongEmphasis"/>
                <w:rFonts w:ascii="Times New Roman" w:hAnsi="Times New Roman"/>
                <w:sz w:val="20"/>
              </w:rPr>
              <w:t>1,963</w:t>
            </w:r>
          </w:p>
        </w:tc>
        <w:tc>
          <w:tcPr>
            <w:tcW w:w="129" w:type="dxa"/>
            <w:tcBorders>
              <w:bottom w:val="single" w:sz="4" w:space="0" w:color="FFFFFF"/>
            </w:tcBorders>
            <w:shd w:fill="FFFFFF" w:val="clear"/>
            <w:vAlign w:val="bottom"/>
          </w:tcPr>
          <w:p>
            <w:pPr>
              <w:pStyle w:val="TableContents"/>
              <w:spacing w:before="0" w:after="283"/>
              <w:jc w:val="left"/>
              <w:rPr/>
            </w:pPr>
            <w:r>
              <w:rPr/>
              <w:t>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623" w:name="PGBRK11"/>
      <w:bookmarkStart w:id="624" w:name="PGBRK11"/>
      <w:bookmarkEnd w:id="6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625" w:name="FTR11"/>
      <w:bookmarkStart w:id="626" w:name="FTR11"/>
      <w:bookmarkEnd w:id="6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627" w:name="GLFTR11"/>
      <w:bookmarkStart w:id="628" w:name="GLFTR11"/>
      <w:bookmarkEnd w:id="6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629" w:name="PN11"/>
      <w:bookmarkEnd w:id="629"/>
      <w:r>
        <w:rPr>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630" w:name="HDR11"/>
      <w:bookmarkStart w:id="631" w:name="HDR11"/>
      <w:bookmarkEnd w:id="6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632" w:name="GLHDR11"/>
      <w:bookmarkStart w:id="633" w:name="GLHDR11"/>
      <w:bookmarkEnd w:id="6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r>
        <w:rPr/>
        <w:t> </w:t>
      </w:r>
    </w:p>
    <w:p>
      <w:pPr>
        <w:pStyle w:val="TextBody"/>
        <w:spacing w:lineRule="auto" w:line="300" w:before="0" w:after="0"/>
        <w:ind w:left="0" w:right="0" w:hanging="0"/>
        <w:jc w:val="left"/>
        <w:rPr/>
      </w:pPr>
      <w:r>
        <w:rPr>
          <w:rFonts w:ascii="Times New Roman" w:hAnsi="Times New Roman"/>
          <w:sz w:val="20"/>
        </w:rPr>
        <w:t>6.</w:t>
      </w:r>
      <w:bookmarkStart w:id="634" w:name="TAB257"/>
      <w:bookmarkEnd w:id="634"/>
      <w:r>
        <w:rPr>
          <w:color w:val="000000"/>
          <w:spacing w:val="180"/>
        </w:rPr>
        <w:t> </w:t>
      </w:r>
      <w:r>
        <w:rPr>
          <w:rStyle w:val="StrongEmphasis"/>
          <w:rFonts w:ascii="Times New Roman" w:hAnsi="Times New Roman"/>
          <w:sz w:val="20"/>
        </w:rPr>
        <w:t>STOCK-BASED COMPENSATION</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We adopted Statement of Financial Accounting Standards No. 123 (revised 2004), “Share-Based Payments” (“SFAS 123R”) in the first quarter of fiscal 2006. In accordance with this pronouncement, we record compensation expense for all awards granted after the date of adoption and for the unvested portion of previously granted awards that remain outstanding at the date of adoption. The stock-based compensation expense in the first six months of fiscal years 2008 and 2007 is the cost related to the unvested portion of grants issued after August 1, 2000 and grants issued after July 31, 2005. The stock options granted before August 1, 2000 were fully vested as of the beginning of fiscal 2006.</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Stock Options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Our 1995 Long Term Incentive Plan (the “1995 Plan”) provided for grants of both incentive and non-qualified stock options principally at an option price per share of 100% of the fair market value of our Class A Common Stock or, if no Class A Common Stock is outstanding, our Common Stock (“Stock”) on the date of grant. Stock options were generally granted with a five-year vesting period and a 10-year term. The stock options generally vest 25% two years after the grant date and 25% in each of the three following anniversaries of the grant date. This plan expired for purposes of issuing new grants on August 5, 2005. All stock issued from option exercises under this plan were from authorized but unissued stock. All restricted stock issued was from treasury stock.</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On March 14, 2006, our Board of Directors unanimously approved adoption of the Oil-Dri Corporation of America 2006 Long Term Incentive Plan; our Board amended and restated the plan following the five-for-four stock split described below (as so amended and restated, the “2006 Plan”). The 2006 Plan was approved by our stockholders at our annual meeting on December 5, 2006. The 2006 Plan permits the grant of stock options, stock appreciation rights, restricted stock, restricted stock units, performance awards and other stock-based and cash-based awards.  Our employees and non-employee directors are eligible to receive grants under the 2006 Plan.  The total number of shares of Stock subject to grants under the 2006 Plan may not exceed 919,500. Option grants covering 25,000 shares were issued to our outside directors with a vesting period of one year and option grants covering 32,500 shares were issued to employees with vesting similar to the vesting described above under the 1995 Plan. There were 90,000 shares of restricted stock issued under the 2006 Plan.</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Oil-Dri Corporation of America Outside Director Stock Plan (the “Directors’ Plan”) provides for grants of stock options to our directors at an option price per share of 100% of the fair market value of Common Stock on the date of grant. Our directors are considered employees under the provisions of SFAS 123R. Stock options have been granted to our directors for a 10-year term with a one year vesting period. There are 106,250 stock options outstanding as of January 31, 2008, and no stock options available for future grants under this plan. All stock issued under this plan were from treasury stock.</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A five-for-four stock split was announced by our Board on June 6, 2006. In keeping with historical practices, we have adjusted the number of shares and the option prices to equitably adjust all outstanding stock options. Under SFAS 123R, the equitable adjustment of outstanding options to reflect a change in capitalization (such as a stock split) may require the recognition of incremental compensation expense if the adjustment is not determined to have been required by the actual terms of the equity incentive plan. The Directors’ Plan and the 1995 Plan may be deemed to have been discretionary, rather than required by the actual terms of these plans. We therefore recognized additional stock-based compensation expense as a result of the modification of approximately $96,000 and $105,000 in the second quarter of fiscal 2008 and 2007, respectively, and $207,000 and $247,000 in the first six months of fiscal 2008 and 2007, respectively.</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The fair value of the fiscal 2007 stock options was estimated on the date of grant using a Black-Scholes option valuation model. The assumptions used during the full fiscal 2007 were: volatility, 22.4%; risk free interest rate, 4.6%; expected life, 5.0 years; dividend rate, 2.8%. There were no stock options granted in the first six months of fiscal 2008. The risk-free rate is based on the U.S. Treasury yield curve in effect at the time of grant. The expected life (estimated period of time outstanding) of the options granted was estimated by reference to the vesting schedule, historical and future expected exercise behavior of employees and comparison with other reporting companies. Expected volatility was based on historical volatility for a period of five years, ending the day of grant, and calculated on a daily basis. The dividend rate is based on the actual dividend and share price on the grant date.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35" w:name="PGBRK12"/>
      <w:bookmarkStart w:id="636" w:name="PGBRK12"/>
      <w:bookmarkEnd w:id="6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7" w:name="FTR12"/>
      <w:bookmarkStart w:id="638" w:name="FTR12"/>
      <w:bookmarkEnd w:id="6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9" w:name="GLFTR12"/>
      <w:bookmarkStart w:id="640" w:name="GLFTR12"/>
      <w:bookmarkEnd w:id="6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641" w:name="PN12"/>
      <w:bookmarkEnd w:id="641"/>
      <w:r>
        <w:rPr>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2" w:name="HDR12"/>
      <w:bookmarkStart w:id="643" w:name="HDR12"/>
      <w:bookmarkEnd w:id="6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4" w:name="GLHDR12"/>
      <w:bookmarkStart w:id="645" w:name="GLHDR12"/>
      <w:bookmarkEnd w:id="6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Changes in our stock options during the first six months of fiscal 2008 were as follows:</w:t>
      </w:r>
    </w:p>
    <w:p>
      <w:pPr>
        <w:pStyle w:val="TextBody"/>
        <w:spacing w:lineRule="auto" w:line="300" w:before="0" w:after="0"/>
        <w:ind w:left="0" w:right="0" w:hanging="0"/>
        <w:jc w:val="both"/>
        <w:rPr/>
      </w:pPr>
      <w:r>
        <w:rPr/>
      </w:r>
    </w:p>
    <w:p>
      <w:pPr>
        <w:pStyle w:val="Normal"/>
        <w:spacing w:before="0" w:after="0"/>
        <w:ind w:left="1080" w:right="0" w:hanging="0"/>
        <w:rPr>
          <w:sz w:val="4"/>
          <w:szCs w:val="4"/>
        </w:rPr>
      </w:pPr>
      <w:r>
        <w:rPr>
          <w:sz w:val="4"/>
          <w:szCs w:val="4"/>
        </w:rPr>
      </w:r>
      <w:bookmarkStart w:id="646" w:name="ftable14"/>
      <w:bookmarkStart w:id="647" w:name="ftable14"/>
      <w:bookmarkEnd w:id="647"/>
    </w:p>
    <w:tbl>
      <w:tblPr>
        <w:tblW w:w="4500" w:type="pct"/>
        <w:jc w:val="left"/>
        <w:tblInd w:w="1080" w:type="dxa"/>
        <w:tblCellMar>
          <w:top w:w="0" w:type="dxa"/>
          <w:left w:w="0" w:type="dxa"/>
          <w:bottom w:w="28" w:type="dxa"/>
          <w:right w:w="0" w:type="dxa"/>
        </w:tblCellMar>
      </w:tblPr>
      <w:tblGrid>
        <w:gridCol w:w="2745"/>
        <w:gridCol w:w="163"/>
        <w:gridCol w:w="163"/>
        <w:gridCol w:w="1225"/>
        <w:gridCol w:w="180"/>
        <w:gridCol w:w="225"/>
        <w:gridCol w:w="1138"/>
        <w:gridCol w:w="163"/>
        <w:gridCol w:w="203"/>
        <w:gridCol w:w="1298"/>
        <w:gridCol w:w="163"/>
        <w:gridCol w:w="204"/>
        <w:gridCol w:w="1197"/>
        <w:gridCol w:w="117"/>
      </w:tblGrid>
      <w:tr>
        <w:trPr/>
        <w:tc>
          <w:tcPr>
            <w:tcW w:w="2745" w:type="dxa"/>
            <w:tcBorders>
              <w:bottom w:val="single" w:sz="4" w:space="0" w:color="FFFFFF"/>
            </w:tcBorders>
            <w:shd w:fill="auto" w:val="clear"/>
            <w:vAlign w:val="bottom"/>
          </w:tcPr>
          <w:p>
            <w:pPr>
              <w:pStyle w:val="TableContents"/>
              <w:spacing w:before="0" w:after="283"/>
              <w:jc w:val="left"/>
              <w:rPr/>
            </w:pPr>
            <w:r>
              <w:rPr/>
              <w:t> </w:t>
            </w:r>
          </w:p>
        </w:tc>
        <w:tc>
          <w:tcPr>
            <w:tcW w:w="163" w:type="dxa"/>
            <w:tcBorders>
              <w:bottom w:val="single" w:sz="2" w:space="0" w:color="FFFFFF"/>
            </w:tcBorders>
            <w:shd w:fill="auto" w:val="clear"/>
            <w:vAlign w:val="center"/>
          </w:tcPr>
          <w:p>
            <w:pPr>
              <w:pStyle w:val="TableContents"/>
              <w:spacing w:before="0" w:after="283"/>
              <w:rPr/>
            </w:pPr>
            <w:r>
              <w:rPr/>
              <w:t> </w:t>
            </w:r>
          </w:p>
        </w:tc>
        <w:tc>
          <w:tcPr>
            <w:tcW w:w="1388"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Number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of Shares</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(in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thousands)</w:t>
            </w:r>
          </w:p>
        </w:tc>
        <w:tc>
          <w:tcPr>
            <w:tcW w:w="180" w:type="dxa"/>
            <w:tcBorders>
              <w:bottom w:val="single" w:sz="2" w:space="0" w:color="FFFFFF"/>
            </w:tcBorders>
            <w:shd w:fill="auto" w:val="clear"/>
            <w:vAlign w:val="bottom"/>
          </w:tcPr>
          <w:p>
            <w:pPr>
              <w:pStyle w:val="TableContents"/>
              <w:spacing w:before="0" w:after="283"/>
              <w:jc w:val="left"/>
              <w:rPr/>
            </w:pPr>
            <w:r>
              <w:rPr/>
              <w:t> </w:t>
            </w:r>
          </w:p>
        </w:tc>
        <w:tc>
          <w:tcPr>
            <w:tcW w:w="1363"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Weighted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Average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Exercise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Price</w:t>
            </w:r>
          </w:p>
        </w:tc>
        <w:tc>
          <w:tcPr>
            <w:tcW w:w="163" w:type="dxa"/>
            <w:tcBorders>
              <w:bottom w:val="single" w:sz="2" w:space="0" w:color="FFFFFF"/>
            </w:tcBorders>
            <w:shd w:fill="auto" w:val="clear"/>
            <w:vAlign w:val="bottom"/>
          </w:tcPr>
          <w:p>
            <w:pPr>
              <w:pStyle w:val="TableContents"/>
              <w:spacing w:before="0" w:after="283"/>
              <w:jc w:val="left"/>
              <w:rPr/>
            </w:pPr>
            <w:r>
              <w:rPr/>
              <w:t> </w:t>
            </w:r>
          </w:p>
        </w:tc>
        <w:tc>
          <w:tcPr>
            <w:tcW w:w="1501"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Weighted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Average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Remaining Contractual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Term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(Years)</w:t>
            </w:r>
          </w:p>
        </w:tc>
        <w:tc>
          <w:tcPr>
            <w:tcW w:w="163" w:type="dxa"/>
            <w:tcBorders>
              <w:bottom w:val="single" w:sz="2" w:space="0" w:color="FFFFFF"/>
            </w:tcBorders>
            <w:shd w:fill="auto" w:val="clear"/>
            <w:vAlign w:val="bottom"/>
          </w:tcPr>
          <w:p>
            <w:pPr>
              <w:pStyle w:val="TableContents"/>
              <w:spacing w:before="0" w:after="283"/>
              <w:jc w:val="left"/>
              <w:rPr/>
            </w:pPr>
            <w:r>
              <w:rPr/>
              <w:t> </w:t>
            </w:r>
          </w:p>
        </w:tc>
        <w:tc>
          <w:tcPr>
            <w:tcW w:w="1401"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Aggregate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Intrinsic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Value (in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thousands)</w:t>
            </w:r>
          </w:p>
        </w:tc>
        <w:tc>
          <w:tcPr>
            <w:tcW w:w="117" w:type="dxa"/>
            <w:tcBorders>
              <w:bottom w:val="single" w:sz="2" w:space="0" w:color="FFFFFF"/>
            </w:tcBorders>
            <w:shd w:fill="auto" w:val="clear"/>
            <w:vAlign w:val="bottom"/>
          </w:tcPr>
          <w:p>
            <w:pPr>
              <w:pStyle w:val="TableContents"/>
              <w:spacing w:before="0" w:after="283"/>
              <w:jc w:val="left"/>
              <w:rPr/>
            </w:pPr>
            <w:r>
              <w:rPr/>
              <w:t> </w:t>
            </w:r>
          </w:p>
        </w:tc>
      </w:tr>
      <w:tr>
        <w:trPr/>
        <w:tc>
          <w:tcPr>
            <w:tcW w:w="2745"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Options outstanding, July 31, 2007</w:t>
            </w:r>
          </w:p>
        </w:tc>
        <w:tc>
          <w:tcPr>
            <w:tcW w:w="163" w:type="dxa"/>
            <w:tcBorders/>
            <w:shd w:fill="CCFFCC" w:val="clear"/>
            <w:tcMar>
              <w:bottom w:w="0" w:type="dxa"/>
            </w:tcMar>
            <w:vAlign w:val="center"/>
          </w:tcPr>
          <w:p>
            <w:pPr>
              <w:pStyle w:val="TableContents"/>
              <w:spacing w:before="0" w:after="283"/>
              <w:rPr/>
            </w:pPr>
            <w:r>
              <w:rPr/>
              <w:t> </w:t>
            </w:r>
          </w:p>
        </w:tc>
        <w:tc>
          <w:tcPr>
            <w:tcW w:w="163" w:type="dxa"/>
            <w:tcBorders/>
            <w:shd w:fill="CCFFCC" w:val="clear"/>
            <w:tcMar>
              <w:bottom w:w="0" w:type="dxa"/>
            </w:tcMar>
            <w:vAlign w:val="bottom"/>
          </w:tcPr>
          <w:p>
            <w:pPr>
              <w:pStyle w:val="TableContents"/>
              <w:spacing w:before="0" w:after="283"/>
              <w:jc w:val="left"/>
              <w:rPr/>
            </w:pPr>
            <w:r>
              <w:rPr/>
              <w:t> </w:t>
            </w:r>
          </w:p>
        </w:tc>
        <w:tc>
          <w:tcPr>
            <w:tcW w:w="1225"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786</w:t>
            </w:r>
          </w:p>
        </w:tc>
        <w:tc>
          <w:tcPr>
            <w:tcW w:w="180" w:type="dxa"/>
            <w:tcBorders/>
            <w:shd w:fill="CCFFCC" w:val="clear"/>
            <w:tcMar>
              <w:bottom w:w="0" w:type="dxa"/>
            </w:tcMar>
            <w:vAlign w:val="bottom"/>
          </w:tcPr>
          <w:p>
            <w:pPr>
              <w:pStyle w:val="TableContents"/>
              <w:spacing w:before="0" w:after="283"/>
              <w:jc w:val="left"/>
              <w:rPr/>
            </w:pPr>
            <w:r>
              <w:rPr/>
              <w:t> </w:t>
            </w:r>
          </w:p>
        </w:tc>
        <w:tc>
          <w:tcPr>
            <w:tcW w:w="225"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38"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8.87</w:t>
            </w:r>
          </w:p>
        </w:tc>
        <w:tc>
          <w:tcPr>
            <w:tcW w:w="163" w:type="dxa"/>
            <w:tcBorders/>
            <w:shd w:fill="CCFFCC" w:val="clear"/>
            <w:tcMar>
              <w:bottom w:w="0" w:type="dxa"/>
            </w:tcMar>
            <w:vAlign w:val="bottom"/>
          </w:tcPr>
          <w:p>
            <w:pPr>
              <w:pStyle w:val="TableContents"/>
              <w:spacing w:before="0" w:after="283"/>
              <w:jc w:val="left"/>
              <w:rPr/>
            </w:pPr>
            <w:r>
              <w:rPr/>
              <w:t> </w:t>
            </w:r>
          </w:p>
        </w:tc>
        <w:tc>
          <w:tcPr>
            <w:tcW w:w="203" w:type="dxa"/>
            <w:tcBorders/>
            <w:shd w:fill="CCFFCC" w:val="clear"/>
            <w:tcMar>
              <w:bottom w:w="0" w:type="dxa"/>
            </w:tcMar>
            <w:vAlign w:val="bottom"/>
          </w:tcPr>
          <w:p>
            <w:pPr>
              <w:pStyle w:val="TableContents"/>
              <w:spacing w:before="0" w:after="283"/>
              <w:jc w:val="left"/>
              <w:rPr/>
            </w:pPr>
            <w:r>
              <w:rPr/>
              <w:t> </w:t>
            </w:r>
          </w:p>
        </w:tc>
        <w:tc>
          <w:tcPr>
            <w:tcW w:w="1298" w:type="dxa"/>
            <w:tcBorders/>
            <w:shd w:fill="CCFFCC" w:val="clear"/>
            <w:tcMar>
              <w:bottom w:w="0" w:type="dxa"/>
            </w:tcMar>
            <w:vAlign w:val="bottom"/>
          </w:tcPr>
          <w:p>
            <w:pPr>
              <w:pStyle w:val="TableContents"/>
              <w:spacing w:before="0" w:after="283"/>
              <w:jc w:val="right"/>
              <w:rPr/>
            </w:pPr>
            <w:r>
              <w:rPr/>
              <w:t> </w:t>
            </w:r>
          </w:p>
        </w:tc>
        <w:tc>
          <w:tcPr>
            <w:tcW w:w="163" w:type="dxa"/>
            <w:tcBorders/>
            <w:shd w:fill="CCFFCC" w:val="clear"/>
            <w:tcMar>
              <w:bottom w:w="0" w:type="dxa"/>
            </w:tcMar>
            <w:vAlign w:val="bottom"/>
          </w:tcPr>
          <w:p>
            <w:pPr>
              <w:pStyle w:val="TableContents"/>
              <w:spacing w:before="0" w:after="283"/>
              <w:jc w:val="left"/>
              <w:rPr/>
            </w:pPr>
            <w:r>
              <w:rPr/>
              <w:t> </w:t>
            </w:r>
          </w:p>
        </w:tc>
        <w:tc>
          <w:tcPr>
            <w:tcW w:w="204"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97"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8,789</w:t>
            </w:r>
          </w:p>
        </w:tc>
        <w:tc>
          <w:tcPr>
            <w:tcW w:w="117" w:type="dxa"/>
            <w:tcBorders/>
            <w:shd w:fill="CCFFCC" w:val="clear"/>
            <w:tcMar>
              <w:bottom w:w="0" w:type="dxa"/>
            </w:tcMar>
            <w:vAlign w:val="bottom"/>
          </w:tcPr>
          <w:p>
            <w:pPr>
              <w:pStyle w:val="TableContents"/>
              <w:spacing w:before="0" w:after="283"/>
              <w:jc w:val="left"/>
              <w:rPr/>
            </w:pPr>
            <w:r>
              <w:rPr/>
              <w:t> </w:t>
            </w:r>
          </w:p>
        </w:tc>
      </w:tr>
      <w:tr>
        <w:trPr/>
        <w:tc>
          <w:tcPr>
            <w:tcW w:w="274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Exercised</w:t>
            </w:r>
          </w:p>
        </w:tc>
        <w:tc>
          <w:tcPr>
            <w:tcW w:w="163" w:type="dxa"/>
            <w:tcBorders/>
            <w:shd w:fill="FFFFFF" w:val="clear"/>
            <w:tcMar>
              <w:bottom w:w="0" w:type="dxa"/>
            </w:tcMar>
            <w:vAlign w:val="center"/>
          </w:tcPr>
          <w:p>
            <w:pPr>
              <w:pStyle w:val="TableContents"/>
              <w:spacing w:before="0" w:after="283"/>
              <w:rPr/>
            </w:pPr>
            <w:r>
              <w:rPr/>
              <w:t> </w:t>
            </w:r>
          </w:p>
        </w:tc>
        <w:tc>
          <w:tcPr>
            <w:tcW w:w="163" w:type="dxa"/>
            <w:tcBorders/>
            <w:shd w:fill="FFFFFF" w:val="clear"/>
            <w:tcMar>
              <w:bottom w:w="0" w:type="dxa"/>
            </w:tcMar>
            <w:vAlign w:val="bottom"/>
          </w:tcPr>
          <w:p>
            <w:pPr>
              <w:pStyle w:val="TableContents"/>
              <w:spacing w:before="0" w:after="283"/>
              <w:jc w:val="left"/>
              <w:rPr/>
            </w:pPr>
            <w:r>
              <w:rPr/>
              <w:t> </w:t>
            </w:r>
          </w:p>
        </w:tc>
        <w:tc>
          <w:tcPr>
            <w:tcW w:w="122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(97</w:t>
            </w:r>
          </w:p>
        </w:tc>
        <w:tc>
          <w:tcPr>
            <w:tcW w:w="180"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2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3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9.20</w:t>
            </w:r>
          </w:p>
        </w:tc>
        <w:tc>
          <w:tcPr>
            <w:tcW w:w="163" w:type="dxa"/>
            <w:tcBorders/>
            <w:shd w:fill="FFFFFF" w:val="clear"/>
            <w:tcMar>
              <w:bottom w:w="0" w:type="dxa"/>
            </w:tcMar>
            <w:vAlign w:val="bottom"/>
          </w:tcPr>
          <w:p>
            <w:pPr>
              <w:pStyle w:val="TableContents"/>
              <w:spacing w:before="0" w:after="283"/>
              <w:jc w:val="left"/>
              <w:rPr/>
            </w:pPr>
            <w:r>
              <w:rPr/>
              <w:t> </w:t>
            </w:r>
          </w:p>
        </w:tc>
        <w:tc>
          <w:tcPr>
            <w:tcW w:w="203" w:type="dxa"/>
            <w:tcBorders/>
            <w:shd w:fill="FFFFFF" w:val="clear"/>
            <w:tcMar>
              <w:bottom w:w="0" w:type="dxa"/>
            </w:tcMar>
            <w:vAlign w:val="bottom"/>
          </w:tcPr>
          <w:p>
            <w:pPr>
              <w:pStyle w:val="TableContents"/>
              <w:spacing w:before="0" w:after="283"/>
              <w:jc w:val="left"/>
              <w:rPr/>
            </w:pPr>
            <w:r>
              <w:rPr/>
              <w:t> </w:t>
            </w:r>
          </w:p>
        </w:tc>
        <w:tc>
          <w:tcPr>
            <w:tcW w:w="1298" w:type="dxa"/>
            <w:tcBorders/>
            <w:shd w:fill="FFFFFF" w:val="clear"/>
            <w:tcMar>
              <w:bottom w:w="0" w:type="dxa"/>
            </w:tcMar>
            <w:vAlign w:val="bottom"/>
          </w:tcPr>
          <w:p>
            <w:pPr>
              <w:pStyle w:val="TableContents"/>
              <w:spacing w:before="0" w:after="283"/>
              <w:jc w:val="right"/>
              <w:rPr/>
            </w:pPr>
            <w:r>
              <w:rPr/>
              <w:t> </w:t>
            </w:r>
          </w:p>
        </w:tc>
        <w:tc>
          <w:tcPr>
            <w:tcW w:w="163" w:type="dxa"/>
            <w:tcBorders/>
            <w:shd w:fill="FFFFFF" w:val="clear"/>
            <w:tcMar>
              <w:bottom w:w="0" w:type="dxa"/>
            </w:tcMar>
            <w:vAlign w:val="bottom"/>
          </w:tcPr>
          <w:p>
            <w:pPr>
              <w:pStyle w:val="TableContents"/>
              <w:spacing w:before="0" w:after="283"/>
              <w:jc w:val="left"/>
              <w:rPr/>
            </w:pPr>
            <w:r>
              <w:rPr/>
              <w:t> </w:t>
            </w:r>
          </w:p>
        </w:tc>
        <w:tc>
          <w:tcPr>
            <w:tcW w:w="20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9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983</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2745"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Cancelled</w:t>
            </w:r>
          </w:p>
        </w:tc>
        <w:tc>
          <w:tcPr>
            <w:tcW w:w="163" w:type="dxa"/>
            <w:tcBorders>
              <w:bottom w:val="single" w:sz="2" w:space="0" w:color="CCFFCC"/>
            </w:tcBorders>
            <w:shd w:fill="CCFFCC" w:val="clear"/>
            <w:vAlign w:val="center"/>
          </w:tcPr>
          <w:p>
            <w:pPr>
              <w:pStyle w:val="TableContents"/>
              <w:spacing w:before="0" w:after="283"/>
              <w:rPr/>
            </w:pPr>
            <w:r>
              <w:rPr/>
              <w:t> </w:t>
            </w:r>
          </w:p>
        </w:tc>
        <w:tc>
          <w:tcPr>
            <w:tcW w:w="163" w:type="dxa"/>
            <w:tcBorders>
              <w:bottom w:val="single" w:sz="2" w:space="0" w:color="000000"/>
            </w:tcBorders>
            <w:shd w:fill="CCFFCC" w:val="clear"/>
            <w:vAlign w:val="bottom"/>
          </w:tcPr>
          <w:p>
            <w:pPr>
              <w:pStyle w:val="TableContents"/>
              <w:spacing w:before="0" w:after="283"/>
              <w:jc w:val="left"/>
              <w:rPr/>
            </w:pPr>
            <w:r>
              <w:rPr/>
              <w:t> </w:t>
            </w:r>
          </w:p>
        </w:tc>
        <w:tc>
          <w:tcPr>
            <w:tcW w:w="1225"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w:t>
            </w:r>
          </w:p>
        </w:tc>
        <w:tc>
          <w:tcPr>
            <w:tcW w:w="180" w:type="dxa"/>
            <w:tcBorders>
              <w:bottom w:val="single" w:sz="2"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225"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38" w:type="dxa"/>
            <w:tcBorders>
              <w:bottom w:val="single" w:sz="4" w:space="0" w:color="CCFFCC"/>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9.33</w:t>
            </w:r>
          </w:p>
        </w:tc>
        <w:tc>
          <w:tcPr>
            <w:tcW w:w="163" w:type="dxa"/>
            <w:tcBorders>
              <w:bottom w:val="single" w:sz="2" w:space="0" w:color="CCFFCC"/>
            </w:tcBorders>
            <w:shd w:fill="CCFFCC" w:val="clear"/>
            <w:vAlign w:val="bottom"/>
          </w:tcPr>
          <w:p>
            <w:pPr>
              <w:pStyle w:val="TableContents"/>
              <w:spacing w:before="0" w:after="283"/>
              <w:jc w:val="left"/>
              <w:rPr/>
            </w:pPr>
            <w:r>
              <w:rPr/>
              <w:t> </w:t>
            </w:r>
          </w:p>
        </w:tc>
        <w:tc>
          <w:tcPr>
            <w:tcW w:w="203" w:type="dxa"/>
            <w:tcBorders>
              <w:bottom w:val="single" w:sz="4" w:space="0" w:color="CCFFCC"/>
            </w:tcBorders>
            <w:shd w:fill="CCFFCC" w:val="clear"/>
            <w:vAlign w:val="bottom"/>
          </w:tcPr>
          <w:p>
            <w:pPr>
              <w:pStyle w:val="TableContents"/>
              <w:spacing w:before="0" w:after="283"/>
              <w:jc w:val="left"/>
              <w:rPr/>
            </w:pPr>
            <w:r>
              <w:rPr/>
              <w:t> </w:t>
            </w:r>
          </w:p>
        </w:tc>
        <w:tc>
          <w:tcPr>
            <w:tcW w:w="1298" w:type="dxa"/>
            <w:tcBorders>
              <w:bottom w:val="single" w:sz="4" w:space="0" w:color="CCFFCC"/>
            </w:tcBorders>
            <w:shd w:fill="CCFFCC" w:val="clear"/>
            <w:vAlign w:val="bottom"/>
          </w:tcPr>
          <w:p>
            <w:pPr>
              <w:pStyle w:val="TableContents"/>
              <w:spacing w:before="0" w:after="283"/>
              <w:jc w:val="right"/>
              <w:rPr/>
            </w:pPr>
            <w:r>
              <w:rPr/>
              <w:t> </w:t>
            </w:r>
          </w:p>
        </w:tc>
        <w:tc>
          <w:tcPr>
            <w:tcW w:w="163" w:type="dxa"/>
            <w:tcBorders>
              <w:bottom w:val="single" w:sz="2" w:space="0" w:color="CCFFCC"/>
            </w:tcBorders>
            <w:shd w:fill="CCFFCC" w:val="clear"/>
            <w:vAlign w:val="bottom"/>
          </w:tcPr>
          <w:p>
            <w:pPr>
              <w:pStyle w:val="TableContents"/>
              <w:spacing w:before="0" w:after="283"/>
              <w:jc w:val="left"/>
              <w:rPr/>
            </w:pPr>
            <w:r>
              <w:rPr/>
              <w:t> </w:t>
            </w:r>
          </w:p>
        </w:tc>
        <w:tc>
          <w:tcPr>
            <w:tcW w:w="204"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97" w:type="dxa"/>
            <w:tcBorders>
              <w:bottom w:val="single" w:sz="4" w:space="0" w:color="CCFFCC"/>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101</w:t>
            </w:r>
          </w:p>
        </w:tc>
        <w:tc>
          <w:tcPr>
            <w:tcW w:w="117" w:type="dxa"/>
            <w:tcBorders>
              <w:bottom w:val="single" w:sz="2" w:space="0" w:color="CCFFCC"/>
            </w:tcBorders>
            <w:shd w:fill="CCFFCC" w:val="clear"/>
            <w:vAlign w:val="bottom"/>
          </w:tcPr>
          <w:p>
            <w:pPr>
              <w:pStyle w:val="TableContents"/>
              <w:spacing w:before="0" w:after="283"/>
              <w:jc w:val="left"/>
              <w:rPr/>
            </w:pPr>
            <w:r>
              <w:rPr/>
              <w:t> </w:t>
            </w:r>
          </w:p>
        </w:tc>
      </w:tr>
      <w:tr>
        <w:trPr/>
        <w:tc>
          <w:tcPr>
            <w:tcW w:w="2745"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Options outstanding, January 31, 2008</w:t>
            </w:r>
          </w:p>
        </w:tc>
        <w:tc>
          <w:tcPr>
            <w:tcW w:w="163" w:type="dxa"/>
            <w:tcBorders>
              <w:bottom w:val="single" w:sz="2" w:space="0" w:color="FFFFFF"/>
            </w:tcBorders>
            <w:shd w:fill="FFFFFF" w:val="clear"/>
            <w:vAlign w:val="center"/>
          </w:tcPr>
          <w:p>
            <w:pPr>
              <w:pStyle w:val="TableContents"/>
              <w:spacing w:before="0" w:after="283"/>
              <w:rPr/>
            </w:pPr>
            <w:r>
              <w:rPr/>
              <w:t> </w:t>
            </w:r>
          </w:p>
        </w:tc>
        <w:tc>
          <w:tcPr>
            <w:tcW w:w="163" w:type="dxa"/>
            <w:tcBorders>
              <w:bottom w:val="double" w:sz="2" w:space="0" w:color="000000"/>
            </w:tcBorders>
            <w:shd w:fill="FFFFFF" w:val="clear"/>
            <w:vAlign w:val="bottom"/>
          </w:tcPr>
          <w:p>
            <w:pPr>
              <w:pStyle w:val="TableContents"/>
              <w:spacing w:before="0" w:after="283"/>
              <w:jc w:val="left"/>
              <w:rPr/>
            </w:pPr>
            <w:r>
              <w:rPr/>
              <w:t> </w:t>
            </w:r>
          </w:p>
        </w:tc>
        <w:tc>
          <w:tcPr>
            <w:tcW w:w="1225"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679</w:t>
            </w:r>
          </w:p>
        </w:tc>
        <w:tc>
          <w:tcPr>
            <w:tcW w:w="180" w:type="dxa"/>
            <w:tcBorders>
              <w:bottom w:val="single" w:sz="4" w:space="0" w:color="FFFFFF"/>
            </w:tcBorders>
            <w:shd w:fill="FFFFFF" w:val="clear"/>
            <w:vAlign w:val="bottom"/>
          </w:tcPr>
          <w:p>
            <w:pPr>
              <w:pStyle w:val="TableContents"/>
              <w:spacing w:before="0" w:after="283"/>
              <w:jc w:val="left"/>
              <w:rPr/>
            </w:pPr>
            <w:r>
              <w:rPr/>
              <w:t> </w:t>
            </w:r>
          </w:p>
        </w:tc>
        <w:tc>
          <w:tcPr>
            <w:tcW w:w="225"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38" w:type="dxa"/>
            <w:tcBorders>
              <w:bottom w:val="single" w:sz="4" w:space="0" w:color="FFFFFF"/>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8.81</w:t>
            </w:r>
          </w:p>
        </w:tc>
        <w:tc>
          <w:tcPr>
            <w:tcW w:w="163" w:type="dxa"/>
            <w:tcBorders>
              <w:bottom w:val="single" w:sz="2" w:space="0" w:color="FFFFFF"/>
            </w:tcBorders>
            <w:shd w:fill="FFFFFF" w:val="clear"/>
            <w:vAlign w:val="bottom"/>
          </w:tcPr>
          <w:p>
            <w:pPr>
              <w:pStyle w:val="TableContents"/>
              <w:spacing w:before="0" w:after="283"/>
              <w:jc w:val="left"/>
              <w:rPr/>
            </w:pPr>
            <w:r>
              <w:rPr/>
              <w:t> </w:t>
            </w:r>
          </w:p>
        </w:tc>
        <w:tc>
          <w:tcPr>
            <w:tcW w:w="203" w:type="dxa"/>
            <w:tcBorders>
              <w:bottom w:val="single" w:sz="4" w:space="0" w:color="FFFFFF"/>
            </w:tcBorders>
            <w:shd w:fill="FFFFFF" w:val="clear"/>
            <w:vAlign w:val="bottom"/>
          </w:tcPr>
          <w:p>
            <w:pPr>
              <w:pStyle w:val="TableContents"/>
              <w:spacing w:before="0" w:after="283"/>
              <w:jc w:val="left"/>
              <w:rPr/>
            </w:pPr>
            <w:r>
              <w:rPr/>
              <w:t> </w:t>
            </w:r>
          </w:p>
        </w:tc>
        <w:tc>
          <w:tcPr>
            <w:tcW w:w="1298" w:type="dxa"/>
            <w:tcBorders>
              <w:bottom w:val="single" w:sz="4" w:space="0" w:color="FFFFFF"/>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4.6</w:t>
            </w:r>
          </w:p>
        </w:tc>
        <w:tc>
          <w:tcPr>
            <w:tcW w:w="163" w:type="dxa"/>
            <w:tcBorders>
              <w:bottom w:val="single" w:sz="2" w:space="0" w:color="FFFFFF"/>
            </w:tcBorders>
            <w:shd w:fill="FFFFFF" w:val="clear"/>
            <w:vAlign w:val="bottom"/>
          </w:tcPr>
          <w:p>
            <w:pPr>
              <w:pStyle w:val="TableContents"/>
              <w:spacing w:before="0" w:after="283"/>
              <w:jc w:val="left"/>
              <w:rPr/>
            </w:pPr>
            <w:r>
              <w:rPr/>
              <w:t> </w:t>
            </w:r>
          </w:p>
        </w:tc>
        <w:tc>
          <w:tcPr>
            <w:tcW w:w="204"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97" w:type="dxa"/>
            <w:tcBorders>
              <w:bottom w:val="single" w:sz="4" w:space="0" w:color="FFFFFF"/>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7,633</w:t>
            </w:r>
          </w:p>
        </w:tc>
        <w:tc>
          <w:tcPr>
            <w:tcW w:w="117" w:type="dxa"/>
            <w:tcBorders>
              <w:bottom w:val="single" w:sz="2" w:space="0" w:color="FFFFFF"/>
            </w:tcBorders>
            <w:shd w:fill="FFFFFF" w:val="clear"/>
            <w:vAlign w:val="bottom"/>
          </w:tcPr>
          <w:p>
            <w:pPr>
              <w:pStyle w:val="TableContents"/>
              <w:spacing w:before="0" w:after="283"/>
              <w:jc w:val="left"/>
              <w:rPr/>
            </w:pPr>
            <w:r>
              <w:rPr/>
              <w:t> </w:t>
            </w:r>
          </w:p>
        </w:tc>
      </w:tr>
      <w:tr>
        <w:trPr/>
        <w:tc>
          <w:tcPr>
            <w:tcW w:w="2745"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Options exercisable, January 31, 2008</w:t>
            </w:r>
          </w:p>
        </w:tc>
        <w:tc>
          <w:tcPr>
            <w:tcW w:w="163" w:type="dxa"/>
            <w:tcBorders>
              <w:bottom w:val="single" w:sz="2" w:space="0" w:color="CCFFCC"/>
            </w:tcBorders>
            <w:shd w:fill="CCFFCC" w:val="clear"/>
            <w:vAlign w:val="center"/>
          </w:tcPr>
          <w:p>
            <w:pPr>
              <w:pStyle w:val="TableContents"/>
              <w:spacing w:before="0" w:after="283"/>
              <w:rPr/>
            </w:pPr>
            <w:r>
              <w:rPr/>
              <w:t> </w:t>
            </w:r>
          </w:p>
        </w:tc>
        <w:tc>
          <w:tcPr>
            <w:tcW w:w="163" w:type="dxa"/>
            <w:tcBorders>
              <w:bottom w:val="double" w:sz="2" w:space="0" w:color="000000"/>
            </w:tcBorders>
            <w:shd w:fill="CCFFCC" w:val="clear"/>
            <w:vAlign w:val="bottom"/>
          </w:tcPr>
          <w:p>
            <w:pPr>
              <w:pStyle w:val="TableContents"/>
              <w:spacing w:before="0" w:after="283"/>
              <w:jc w:val="left"/>
              <w:rPr/>
            </w:pPr>
            <w:r>
              <w:rPr/>
              <w:t> </w:t>
            </w:r>
          </w:p>
        </w:tc>
        <w:tc>
          <w:tcPr>
            <w:tcW w:w="1225"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460</w:t>
            </w:r>
          </w:p>
        </w:tc>
        <w:tc>
          <w:tcPr>
            <w:tcW w:w="180" w:type="dxa"/>
            <w:tcBorders>
              <w:bottom w:val="single" w:sz="4" w:space="0" w:color="CCFFCC"/>
            </w:tcBorders>
            <w:shd w:fill="CCFFCC" w:val="clear"/>
            <w:vAlign w:val="bottom"/>
          </w:tcPr>
          <w:p>
            <w:pPr>
              <w:pStyle w:val="TableContents"/>
              <w:spacing w:before="0" w:after="283"/>
              <w:jc w:val="left"/>
              <w:rPr/>
            </w:pPr>
            <w:r>
              <w:rPr/>
              <w:t> </w:t>
            </w:r>
          </w:p>
        </w:tc>
        <w:tc>
          <w:tcPr>
            <w:tcW w:w="225"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38" w:type="dxa"/>
            <w:tcBorders>
              <w:bottom w:val="single" w:sz="4" w:space="0" w:color="CCFFCC"/>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8.84</w:t>
            </w:r>
          </w:p>
        </w:tc>
        <w:tc>
          <w:tcPr>
            <w:tcW w:w="163" w:type="dxa"/>
            <w:tcBorders>
              <w:bottom w:val="single" w:sz="2" w:space="0" w:color="CCFFCC"/>
            </w:tcBorders>
            <w:shd w:fill="CCFFCC" w:val="clear"/>
            <w:vAlign w:val="bottom"/>
          </w:tcPr>
          <w:p>
            <w:pPr>
              <w:pStyle w:val="TableContents"/>
              <w:spacing w:before="0" w:after="283"/>
              <w:jc w:val="left"/>
              <w:rPr/>
            </w:pPr>
            <w:r>
              <w:rPr/>
              <w:t> </w:t>
            </w:r>
          </w:p>
        </w:tc>
        <w:tc>
          <w:tcPr>
            <w:tcW w:w="203" w:type="dxa"/>
            <w:tcBorders>
              <w:bottom w:val="single" w:sz="4" w:space="0" w:color="CCFFCC"/>
            </w:tcBorders>
            <w:shd w:fill="CCFFCC" w:val="clear"/>
            <w:vAlign w:val="bottom"/>
          </w:tcPr>
          <w:p>
            <w:pPr>
              <w:pStyle w:val="TableContents"/>
              <w:spacing w:before="0" w:after="283"/>
              <w:jc w:val="left"/>
              <w:rPr/>
            </w:pPr>
            <w:r>
              <w:rPr/>
              <w:t> </w:t>
            </w:r>
          </w:p>
        </w:tc>
        <w:tc>
          <w:tcPr>
            <w:tcW w:w="1298" w:type="dxa"/>
            <w:tcBorders>
              <w:bottom w:val="single" w:sz="4" w:space="0" w:color="CCFFCC"/>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4.3</w:t>
            </w:r>
          </w:p>
        </w:tc>
        <w:tc>
          <w:tcPr>
            <w:tcW w:w="163" w:type="dxa"/>
            <w:tcBorders>
              <w:bottom w:val="single" w:sz="2" w:space="0" w:color="CCFFCC"/>
            </w:tcBorders>
            <w:shd w:fill="CCFFCC" w:val="clear"/>
            <w:vAlign w:val="bottom"/>
          </w:tcPr>
          <w:p>
            <w:pPr>
              <w:pStyle w:val="TableContents"/>
              <w:spacing w:before="0" w:after="283"/>
              <w:jc w:val="left"/>
              <w:rPr/>
            </w:pPr>
            <w:r>
              <w:rPr/>
              <w:t> </w:t>
            </w:r>
          </w:p>
        </w:tc>
        <w:tc>
          <w:tcPr>
            <w:tcW w:w="204"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97" w:type="dxa"/>
            <w:tcBorders>
              <w:bottom w:val="single" w:sz="4" w:space="0" w:color="CCFFCC"/>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5,157</w:t>
            </w:r>
          </w:p>
        </w:tc>
        <w:tc>
          <w:tcPr>
            <w:tcW w:w="117" w:type="dxa"/>
            <w:tcBorders>
              <w:bottom w:val="single" w:sz="2" w:space="0" w:color="CCFFCC"/>
            </w:tcBorders>
            <w:shd w:fill="CCFFCC"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amount of cash received from the exercise of stock options during the second quarter of fiscal 2008 was $302,000 and the related tax benefit was $80,000. The amount of cash received from the exercise of stock options during the first six months of fiscal 2008 was $895,000 and the related tax benefit was $238,000.</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Restricted Stock</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Our 1995 Plan and 2006 Plan both provide for grants of restricted stock. The vesting schedule under the 1995 Plan has varied, but has generally been three years or less. Under the 2006 Plan, the grants issued so far have vesting periods between three and five years.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Included in our stock-based compensation expense in the second quarter of fiscal years 2008 and 2007 is $84,000 and $82,000, respectively, related to the unvested restricted stock granted in fiscal 2005 and the 90,000 shares of restricted stock granted in fiscal 2006. In the first six months of fiscal years 2008 and 2007, the expense related to the unvested restricted stock was $164,000 and $167,000, respectively. No shares of restricted stock were granted in the first six months of fiscal 2008.</w:t>
      </w:r>
    </w:p>
    <w:p>
      <w:pPr>
        <w:pStyle w:val="TextBody"/>
        <w:spacing w:lineRule="auto" w:line="300" w:before="0" w:after="0"/>
        <w:ind w:left="0" w:right="0" w:hanging="0"/>
        <w:jc w:val="both"/>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 xml:space="preserve">Changes in our restricted stock outstanding during the first six months of fiscal 2008 were as follows: </w:t>
      </w:r>
    </w:p>
    <w:p>
      <w:pPr>
        <w:pStyle w:val="TextBody"/>
        <w:spacing w:lineRule="auto" w:line="300" w:before="0" w:after="0"/>
        <w:ind w:left="0" w:right="0" w:hanging="0"/>
        <w:jc w:val="left"/>
        <w:rPr/>
      </w:pPr>
      <w:r>
        <w:rPr/>
      </w:r>
    </w:p>
    <w:p>
      <w:pPr>
        <w:pStyle w:val="Normal"/>
        <w:spacing w:before="0" w:after="0"/>
        <w:ind w:left="1080" w:right="0" w:hanging="0"/>
        <w:rPr>
          <w:sz w:val="4"/>
          <w:szCs w:val="4"/>
        </w:rPr>
      </w:pPr>
      <w:r>
        <w:rPr>
          <w:sz w:val="4"/>
          <w:szCs w:val="4"/>
        </w:rPr>
      </w:r>
      <w:bookmarkStart w:id="648" w:name="ftable15"/>
      <w:bookmarkStart w:id="649" w:name="ftable15"/>
      <w:bookmarkEnd w:id="649"/>
    </w:p>
    <w:tbl>
      <w:tblPr>
        <w:tblW w:w="3500" w:type="pct"/>
        <w:jc w:val="left"/>
        <w:tblInd w:w="1080" w:type="dxa"/>
        <w:tblCellMar>
          <w:top w:w="0" w:type="dxa"/>
          <w:left w:w="0" w:type="dxa"/>
          <w:bottom w:w="28" w:type="dxa"/>
          <w:right w:w="0" w:type="dxa"/>
        </w:tblCellMar>
      </w:tblPr>
      <w:tblGrid>
        <w:gridCol w:w="3579"/>
        <w:gridCol w:w="191"/>
        <w:gridCol w:w="186"/>
        <w:gridCol w:w="1348"/>
        <w:gridCol w:w="207"/>
        <w:gridCol w:w="234"/>
        <w:gridCol w:w="1275"/>
        <w:gridCol w:w="123"/>
      </w:tblGrid>
      <w:tr>
        <w:trPr/>
        <w:tc>
          <w:tcPr>
            <w:tcW w:w="3579" w:type="dxa"/>
            <w:tcBorders>
              <w:bottom w:val="single" w:sz="4" w:space="0" w:color="FFFFFF"/>
            </w:tcBorders>
            <w:shd w:fill="auto" w:val="clear"/>
            <w:vAlign w:val="bottom"/>
          </w:tcPr>
          <w:p>
            <w:pPr>
              <w:pStyle w:val="TableContents"/>
              <w:spacing w:before="0" w:after="283"/>
              <w:jc w:val="left"/>
              <w:rPr/>
            </w:pPr>
            <w:r>
              <w:rPr/>
              <w:t> </w:t>
            </w:r>
          </w:p>
        </w:tc>
        <w:tc>
          <w:tcPr>
            <w:tcW w:w="191" w:type="dxa"/>
            <w:tcBorders>
              <w:bottom w:val="single" w:sz="4" w:space="0" w:color="FFFFFF"/>
            </w:tcBorders>
            <w:shd w:fill="auto" w:val="clear"/>
            <w:vAlign w:val="center"/>
          </w:tcPr>
          <w:p>
            <w:pPr>
              <w:pStyle w:val="TableContents"/>
              <w:spacing w:before="0" w:after="283"/>
              <w:rPr/>
            </w:pPr>
            <w:r>
              <w:rPr/>
              <w:t> </w:t>
            </w:r>
          </w:p>
        </w:tc>
        <w:tc>
          <w:tcPr>
            <w:tcW w:w="3250" w:type="dxa"/>
            <w:gridSpan w:val="5"/>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(shares in thousands)</w:t>
            </w:r>
          </w:p>
        </w:tc>
        <w:tc>
          <w:tcPr>
            <w:tcW w:w="123" w:type="dxa"/>
            <w:tcBorders>
              <w:bottom w:val="single" w:sz="4" w:space="0" w:color="FFFFFF"/>
            </w:tcBorders>
            <w:shd w:fill="auto" w:val="clear"/>
            <w:vAlign w:val="bottom"/>
          </w:tcPr>
          <w:p>
            <w:pPr>
              <w:pStyle w:val="TableContents"/>
              <w:spacing w:before="0" w:after="0"/>
              <w:jc w:val="left"/>
              <w:rPr/>
            </w:pPr>
            <w:r>
              <w:rPr/>
              <w:t> </w:t>
            </w:r>
          </w:p>
        </w:tc>
      </w:tr>
      <w:tr>
        <w:trPr/>
        <w:tc>
          <w:tcPr>
            <w:tcW w:w="3579" w:type="dxa"/>
            <w:tcBorders>
              <w:bottom w:val="single" w:sz="4" w:space="0" w:color="FFFFFF"/>
            </w:tcBorders>
            <w:shd w:fill="auto" w:val="clear"/>
            <w:vAlign w:val="bottom"/>
          </w:tcPr>
          <w:p>
            <w:pPr>
              <w:pStyle w:val="TableContents"/>
              <w:spacing w:before="0" w:after="0"/>
              <w:jc w:val="left"/>
              <w:rPr/>
            </w:pPr>
            <w:r>
              <w:rPr/>
              <w:t> </w:t>
            </w:r>
          </w:p>
        </w:tc>
        <w:tc>
          <w:tcPr>
            <w:tcW w:w="191" w:type="dxa"/>
            <w:tcBorders>
              <w:bottom w:val="single" w:sz="4" w:space="0" w:color="FFFFFF"/>
            </w:tcBorders>
            <w:shd w:fill="auto" w:val="clear"/>
            <w:vAlign w:val="center"/>
          </w:tcPr>
          <w:p>
            <w:pPr>
              <w:pStyle w:val="TableContents"/>
              <w:spacing w:before="0" w:after="0"/>
              <w:rPr/>
            </w:pPr>
            <w:r>
              <w:rPr/>
              <w:t> </w:t>
            </w:r>
          </w:p>
        </w:tc>
        <w:tc>
          <w:tcPr>
            <w:tcW w:w="1534"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Restricted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Shares</w:t>
            </w:r>
          </w:p>
        </w:tc>
        <w:tc>
          <w:tcPr>
            <w:tcW w:w="207" w:type="dxa"/>
            <w:tcBorders>
              <w:bottom w:val="single" w:sz="4" w:space="0" w:color="FFFFFF"/>
            </w:tcBorders>
            <w:shd w:fill="auto" w:val="clear"/>
            <w:vAlign w:val="bottom"/>
          </w:tcPr>
          <w:p>
            <w:pPr>
              <w:pStyle w:val="TableContents"/>
              <w:spacing w:before="0" w:after="0"/>
              <w:jc w:val="left"/>
              <w:rPr/>
            </w:pPr>
            <w:r>
              <w:rPr/>
              <w:t> </w:t>
            </w:r>
          </w:p>
        </w:tc>
        <w:tc>
          <w:tcPr>
            <w:tcW w:w="1509"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Weighted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Average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Grant Date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Fair Value</w:t>
            </w:r>
          </w:p>
        </w:tc>
        <w:tc>
          <w:tcPr>
            <w:tcW w:w="123" w:type="dxa"/>
            <w:tcBorders>
              <w:bottom w:val="single" w:sz="4" w:space="0" w:color="FFFFFF"/>
            </w:tcBorders>
            <w:shd w:fill="auto" w:val="clear"/>
            <w:vAlign w:val="bottom"/>
          </w:tcPr>
          <w:p>
            <w:pPr>
              <w:pStyle w:val="TableContents"/>
              <w:spacing w:before="0" w:after="0"/>
              <w:jc w:val="left"/>
              <w:rPr/>
            </w:pPr>
            <w:r>
              <w:rPr/>
              <w:t> </w:t>
            </w:r>
          </w:p>
        </w:tc>
      </w:tr>
      <w:tr>
        <w:trPr/>
        <w:tc>
          <w:tcPr>
            <w:tcW w:w="3579"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Unvested restricted stock at July 31, 2007</w:t>
            </w:r>
          </w:p>
        </w:tc>
        <w:tc>
          <w:tcPr>
            <w:tcW w:w="191" w:type="dxa"/>
            <w:tcBorders/>
            <w:shd w:fill="CCFFCC" w:val="clear"/>
            <w:tcMar>
              <w:bottom w:w="0" w:type="dxa"/>
            </w:tcMar>
            <w:vAlign w:val="center"/>
          </w:tcPr>
          <w:p>
            <w:pPr>
              <w:pStyle w:val="TableContents"/>
              <w:spacing w:before="0" w:after="283"/>
              <w:rPr/>
            </w:pPr>
            <w:r>
              <w:rPr/>
              <w:t> </w:t>
            </w:r>
          </w:p>
        </w:tc>
        <w:tc>
          <w:tcPr>
            <w:tcW w:w="186" w:type="dxa"/>
            <w:tcBorders/>
            <w:shd w:fill="CCFFCC" w:val="clear"/>
            <w:tcMar>
              <w:bottom w:w="0" w:type="dxa"/>
            </w:tcMar>
            <w:vAlign w:val="bottom"/>
          </w:tcPr>
          <w:p>
            <w:pPr>
              <w:pStyle w:val="TableContents"/>
              <w:spacing w:before="0" w:after="283"/>
              <w:jc w:val="left"/>
              <w:rPr/>
            </w:pPr>
            <w:r>
              <w:rPr/>
              <w:t> </w:t>
            </w:r>
          </w:p>
        </w:tc>
        <w:tc>
          <w:tcPr>
            <w:tcW w:w="1348"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76</w:t>
            </w:r>
          </w:p>
        </w:tc>
        <w:tc>
          <w:tcPr>
            <w:tcW w:w="207" w:type="dxa"/>
            <w:tcBorders/>
            <w:shd w:fill="CCFFCC" w:val="clear"/>
            <w:tcMar>
              <w:bottom w:w="0" w:type="dxa"/>
            </w:tcMar>
            <w:vAlign w:val="bottom"/>
          </w:tcPr>
          <w:p>
            <w:pPr>
              <w:pStyle w:val="TableContents"/>
              <w:spacing w:before="0" w:after="283"/>
              <w:jc w:val="left"/>
              <w:rPr/>
            </w:pPr>
            <w:r>
              <w:rPr/>
              <w:t> </w:t>
            </w:r>
          </w:p>
        </w:tc>
        <w:tc>
          <w:tcPr>
            <w:tcW w:w="234"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75"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15.38</w:t>
            </w:r>
          </w:p>
        </w:tc>
        <w:tc>
          <w:tcPr>
            <w:tcW w:w="123" w:type="dxa"/>
            <w:tcBorders/>
            <w:shd w:fill="CCFFCC" w:val="clear"/>
            <w:tcMar>
              <w:bottom w:w="0" w:type="dxa"/>
            </w:tcMar>
            <w:vAlign w:val="bottom"/>
          </w:tcPr>
          <w:p>
            <w:pPr>
              <w:pStyle w:val="TableContents"/>
              <w:spacing w:before="0" w:after="283"/>
              <w:jc w:val="left"/>
              <w:rPr/>
            </w:pPr>
            <w:r>
              <w:rPr/>
              <w:t> </w:t>
            </w:r>
          </w:p>
        </w:tc>
      </w:tr>
      <w:tr>
        <w:trPr/>
        <w:tc>
          <w:tcPr>
            <w:tcW w:w="3579"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Vested</w:t>
            </w:r>
          </w:p>
        </w:tc>
        <w:tc>
          <w:tcPr>
            <w:tcW w:w="191" w:type="dxa"/>
            <w:tcBorders>
              <w:bottom w:val="single" w:sz="4" w:space="0" w:color="FFFFFF"/>
            </w:tcBorders>
            <w:shd w:fill="FFFFFF" w:val="clear"/>
            <w:vAlign w:val="center"/>
          </w:tcPr>
          <w:p>
            <w:pPr>
              <w:pStyle w:val="TableContents"/>
              <w:spacing w:before="0" w:after="283"/>
              <w:rPr/>
            </w:pPr>
            <w:r>
              <w:rPr/>
              <w:t> </w:t>
            </w:r>
          </w:p>
        </w:tc>
        <w:tc>
          <w:tcPr>
            <w:tcW w:w="186" w:type="dxa"/>
            <w:tcBorders>
              <w:bottom w:val="single" w:sz="2" w:space="0" w:color="000000"/>
            </w:tcBorders>
            <w:shd w:fill="FFFFFF" w:val="clear"/>
            <w:vAlign w:val="bottom"/>
          </w:tcPr>
          <w:p>
            <w:pPr>
              <w:pStyle w:val="TableContents"/>
              <w:spacing w:before="0" w:after="283"/>
              <w:jc w:val="left"/>
              <w:rPr/>
            </w:pPr>
            <w:r>
              <w:rPr/>
              <w:t> </w:t>
            </w:r>
          </w:p>
        </w:tc>
        <w:tc>
          <w:tcPr>
            <w:tcW w:w="134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(18</w:t>
            </w:r>
          </w:p>
        </w:tc>
        <w:tc>
          <w:tcPr>
            <w:tcW w:w="207"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234" w:type="dxa"/>
            <w:tcBorders>
              <w:bottom w:val="single" w:sz="4" w:space="0" w:color="FFFFFF"/>
            </w:tcBorders>
            <w:shd w:fill="FFFFFF" w:val="clear"/>
            <w:vAlign w:val="bottom"/>
          </w:tcPr>
          <w:p>
            <w:pPr>
              <w:pStyle w:val="TableContents"/>
              <w:spacing w:before="0" w:after="283"/>
              <w:jc w:val="left"/>
              <w:rPr/>
            </w:pPr>
            <w:r>
              <w:rPr/>
              <w:t> </w:t>
            </w:r>
          </w:p>
        </w:tc>
        <w:tc>
          <w:tcPr>
            <w:tcW w:w="1275" w:type="dxa"/>
            <w:tcBorders>
              <w:bottom w:val="single" w:sz="4" w:space="0" w:color="FFFFFF"/>
            </w:tcBorders>
            <w:shd w:fill="FFFFFF" w:val="clear"/>
            <w:vAlign w:val="bottom"/>
          </w:tcPr>
          <w:p>
            <w:pPr>
              <w:pStyle w:val="TableContents"/>
              <w:spacing w:before="0" w:after="283"/>
              <w:jc w:val="right"/>
              <w:rPr/>
            </w:pPr>
            <w:r>
              <w:rPr/>
              <w:t> </w:t>
            </w:r>
          </w:p>
        </w:tc>
        <w:tc>
          <w:tcPr>
            <w:tcW w:w="123" w:type="dxa"/>
            <w:tcBorders>
              <w:bottom w:val="single" w:sz="4" w:space="0" w:color="FFFFFF"/>
            </w:tcBorders>
            <w:shd w:fill="FFFFFF" w:val="clear"/>
            <w:vAlign w:val="bottom"/>
          </w:tcPr>
          <w:p>
            <w:pPr>
              <w:pStyle w:val="TableContents"/>
              <w:spacing w:before="0" w:after="283"/>
              <w:jc w:val="left"/>
              <w:rPr/>
            </w:pPr>
            <w:r>
              <w:rPr/>
              <w:t> </w:t>
            </w:r>
          </w:p>
        </w:tc>
      </w:tr>
      <w:tr>
        <w:trPr/>
        <w:tc>
          <w:tcPr>
            <w:tcW w:w="3579"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Unvested restricted stock at January 31, 2008</w:t>
            </w:r>
          </w:p>
        </w:tc>
        <w:tc>
          <w:tcPr>
            <w:tcW w:w="191" w:type="dxa"/>
            <w:tcBorders>
              <w:bottom w:val="single" w:sz="4" w:space="0" w:color="CCFFCC"/>
            </w:tcBorders>
            <w:shd w:fill="CCFFCC" w:val="clear"/>
            <w:vAlign w:val="center"/>
          </w:tcPr>
          <w:p>
            <w:pPr>
              <w:pStyle w:val="TableContents"/>
              <w:spacing w:before="0" w:after="283"/>
              <w:rPr/>
            </w:pPr>
            <w:r>
              <w:rPr/>
              <w:t> </w:t>
            </w:r>
          </w:p>
        </w:tc>
        <w:tc>
          <w:tcPr>
            <w:tcW w:w="186" w:type="dxa"/>
            <w:tcBorders>
              <w:bottom w:val="double" w:sz="2" w:space="0" w:color="000000"/>
            </w:tcBorders>
            <w:shd w:fill="CCFFCC" w:val="clear"/>
            <w:vAlign w:val="bottom"/>
          </w:tcPr>
          <w:p>
            <w:pPr>
              <w:pStyle w:val="TableContents"/>
              <w:spacing w:before="0" w:after="283"/>
              <w:jc w:val="left"/>
              <w:rPr/>
            </w:pPr>
            <w:r>
              <w:rPr/>
              <w:t> </w:t>
            </w:r>
          </w:p>
        </w:tc>
        <w:tc>
          <w:tcPr>
            <w:tcW w:w="1348"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58</w:t>
            </w:r>
          </w:p>
        </w:tc>
        <w:tc>
          <w:tcPr>
            <w:tcW w:w="207" w:type="dxa"/>
            <w:tcBorders>
              <w:bottom w:val="single" w:sz="4" w:space="0" w:color="CCFFCC"/>
            </w:tcBorders>
            <w:shd w:fill="CCFFCC" w:val="clear"/>
            <w:vAlign w:val="bottom"/>
          </w:tcPr>
          <w:p>
            <w:pPr>
              <w:pStyle w:val="TableContents"/>
              <w:spacing w:before="0" w:after="283"/>
              <w:jc w:val="left"/>
              <w:rPr/>
            </w:pPr>
            <w:r>
              <w:rPr/>
              <w:t> </w:t>
            </w:r>
          </w:p>
        </w:tc>
        <w:tc>
          <w:tcPr>
            <w:tcW w:w="234"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75" w:type="dxa"/>
            <w:tcBorders>
              <w:bottom w:val="single" w:sz="4" w:space="0" w:color="CCFFCC"/>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15.39</w:t>
            </w:r>
          </w:p>
        </w:tc>
        <w:tc>
          <w:tcPr>
            <w:tcW w:w="123" w:type="dxa"/>
            <w:tcBorders>
              <w:bottom w:val="single" w:sz="4" w:space="0" w:color="CCFFCC"/>
            </w:tcBorders>
            <w:shd w:fill="CCFFCC"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left"/>
        <w:rPr/>
      </w:pPr>
      <w:r>
        <w:rPr>
          <w:rFonts w:ascii="Times New Roman" w:hAnsi="Times New Roman"/>
          <w:sz w:val="20"/>
        </w:rPr>
        <w:t>7.</w:t>
      </w:r>
      <w:bookmarkStart w:id="650" w:name="TAB258"/>
      <w:bookmarkEnd w:id="650"/>
      <w:r>
        <w:rPr>
          <w:color w:val="000000"/>
          <w:spacing w:val="180"/>
        </w:rPr>
        <w:t> </w:t>
      </w:r>
      <w:r>
        <w:rPr>
          <w:rStyle w:val="StrongEmphasis"/>
          <w:rFonts w:ascii="Times New Roman" w:hAnsi="Times New Roman"/>
          <w:sz w:val="20"/>
        </w:rPr>
        <w:t>RECENTLY ADOPTED ACCOUNTING PROUNOUNCEMENT</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We adopted FASB Interpretation No. 48, “Accounting for Uncertainty in Income Taxes,” (“FIN 48”) on August 1, 2007. This interpretation clarifies the accounting for uncertainty in income taxes in accordance with SFAS No. 109, “Accounting for Income Taxes.” The pronouncement provides a recognition threshold and measurement guidance for the financial statement recognition of a tax position taken or expected to be taken in a tax return. Under FIN 48,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FIN 48 provides guidance on derecognition, declassification, interest and penalties, accounting in interim periods, disclosure and transition.</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As of August 1, 2007, we have recognized no material adjustments in the liability for unrecognized income tax benefits. As of the adoption date on August 1, 2007, we had approximately $200,000 of unrecognized tax benefits, all of which would impact our effective tax rate if recognized. The amount of unrecognized tax benefits was not materially changed as of January 31, 2008.</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We recognize interest and penalties related to uncertain tax positions in income tax expense. We have no material accrued interest expense or penalties related to unrecognized tax benefits.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51" w:name="PGBRK13"/>
      <w:bookmarkStart w:id="652" w:name="PGBRK13"/>
      <w:bookmarkEnd w:id="6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3" w:name="FTR13"/>
      <w:bookmarkStart w:id="654" w:name="FTR13"/>
      <w:bookmarkEnd w:id="6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5" w:name="GLFTR13"/>
      <w:bookmarkStart w:id="656" w:name="GLFTR13"/>
      <w:bookmarkEnd w:id="6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657" w:name="PN13"/>
      <w:bookmarkEnd w:id="657"/>
      <w:r>
        <w:rPr>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8" w:name="HDR13"/>
      <w:bookmarkStart w:id="659" w:name="HDR13"/>
      <w:bookmarkEnd w:id="6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0" w:name="GLHDR13"/>
      <w:bookmarkStart w:id="661" w:name="GLHDR13"/>
      <w:bookmarkEnd w:id="6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We are subject to U.S. federal income tax as well as income tax in multiple state and foreign jurisdictions. Our federal income tax returns for the fiscal years ending July 31, 2004, through July 31, 2006, remain open for examination by the IRS. However, all U.S. federal income tax examinations for the fiscal years through July 31, 2005, have been effectively concluded. Foreign and U.S. state jurisdictions have statutes of limitations generally ranging from 3 to 5 years. The state impact of any federal income tax changes remains subject to examination by various states for a period of up to one year after formal notification to the states. There are no material open or unsettled federal, state, local or foreign income tax audits. We believe our accrual for tax liabilities is adequate for all open audit years. This assessment is based on estimates and assumptions that may involve judgments about future events. On the basis of present information, we do not anticipate the total unrecognized tax benefits will significantly change due to the settlement of audits or the expiration of statue of limitations in the next twelve months.</w:t>
      </w:r>
    </w:p>
    <w:p>
      <w:pPr>
        <w:pStyle w:val="TextBody"/>
        <w:spacing w:lineRule="auto" w:line="300" w:before="0" w:after="0"/>
        <w:ind w:left="0" w:right="0" w:hanging="0"/>
        <w:jc w:val="both"/>
        <w:rPr/>
      </w:pPr>
      <w:r>
        <w:rPr/>
      </w:r>
    </w:p>
    <w:p>
      <w:pPr>
        <w:pStyle w:val="TextBody"/>
        <w:spacing w:lineRule="auto" w:line="300" w:before="0" w:after="0"/>
        <w:ind w:left="0" w:right="0" w:hanging="0"/>
        <w:jc w:val="left"/>
        <w:rPr/>
      </w:pPr>
      <w:r>
        <w:rPr>
          <w:rStyle w:val="StrongEmphasis"/>
          <w:rFonts w:ascii="Times New Roman" w:hAnsi="Times New Roman"/>
          <w:sz w:val="20"/>
        </w:rPr>
        <w:t>8. CHANGE IN ACCOUNTING FOR STRIPPING COSTS INCURRED DURING PRODUCTION</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In March 2005, the Financial Accounting Standards Board ratified the consensus reached in EITF Issue No. 04-06 (“EITF Issue 04-06”), “Accounting for Stripping Costs Incurred during Production in the Mining Industry.” The consensus was effective for the first fiscal period in the fiscal year beginning after December 15, 2005; therefore, we adopted the pronouncement at the beginning of fiscal 2007. The consensus on EITF Issue 04-06 calls for production stripping costs to be treated as a variable inventory production cost and to be included in cost of sales in the period they are incurred. We will continue to defer and amortize the pre-production overburden removal costs associated with opening a new mine.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Prior to this new pronouncement, we recorded these production stripping costs in a prepaid expense account and, as the usable sorbent material was mined, the prepaid overburden removal expense was amortized over the estimated available material. In accordance with the transition guidance provided by this new pronouncement, we wrote off the August 1, 2006 balance of our prepaid overburden removal expense account to opening retained earnings, with no charge to current earnings. The results for prior periods have not been restated. The cumulative effect adjustment reduced opening retained earnings by $1,235,000, eliminated the $1,686,000 balance of the prepaid overburden removal expense account and adjusted our tax accounts by $451,000. </w:t>
      </w:r>
    </w:p>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662" w:name="list"/>
      <w:bookmarkStart w:id="663" w:name="list"/>
      <w:bookmarkEnd w:id="663"/>
    </w:p>
    <w:tbl>
      <w:tblPr>
        <w:tblW w:w="5000" w:type="pct"/>
        <w:jc w:val="left"/>
        <w:tblInd w:w="0" w:type="dxa"/>
        <w:tblCellMar>
          <w:top w:w="0" w:type="dxa"/>
          <w:left w:w="0" w:type="dxa"/>
          <w:bottom w:w="0" w:type="dxa"/>
          <w:right w:w="0" w:type="dxa"/>
        </w:tblCellMar>
      </w:tblPr>
      <w:tblGrid>
        <w:gridCol w:w="659"/>
        <w:gridCol w:w="9546"/>
      </w:tblGrid>
      <w:tr>
        <w:trPr/>
        <w:tc>
          <w:tcPr>
            <w:tcW w:w="659" w:type="dxa"/>
            <w:tcBorders/>
            <w:shd w:fill="auto" w:val="clear"/>
          </w:tcPr>
          <w:p>
            <w:pPr>
              <w:pStyle w:val="TableContents"/>
              <w:spacing w:before="0" w:after="283"/>
              <w:jc w:val="right"/>
              <w:rPr/>
            </w:pPr>
            <w:r>
              <w:rPr>
                <w:rStyle w:val="StrongEmphasis"/>
                <w:rFonts w:ascii="Times New Roman" w:hAnsi="Times New Roman"/>
                <w:sz w:val="20"/>
              </w:rPr>
              <w:t>9.  </w:t>
            </w:r>
          </w:p>
        </w:tc>
        <w:tc>
          <w:tcPr>
            <w:tcW w:w="9546" w:type="dxa"/>
            <w:tcBorders/>
            <w:shd w:fill="auto" w:val="clear"/>
          </w:tcPr>
          <w:p>
            <w:pPr>
              <w:pStyle w:val="TableContents"/>
              <w:spacing w:before="0" w:after="0"/>
              <w:ind w:left="0" w:right="0" w:hanging="0"/>
              <w:jc w:val="both"/>
              <w:rPr/>
            </w:pPr>
            <w:r>
              <w:rPr>
                <w:rStyle w:val="StrongEmphasis"/>
                <w:rFonts w:ascii="Times New Roman" w:hAnsi="Times New Roman"/>
                <w:sz w:val="20"/>
              </w:rPr>
              <w:t>SALE OF EMISSION REDUCTION CREDITS</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During the first quarter of fiscal 2008, we entered into an agreement to sell emission reduction credits we hold in the State of California to an unaffiliated third party. On November 1, 2007, during our second quarter of fiscal 2008, the San Joaquin Valley Air Pollution Control District completed the transfer of ownership forms and releases, thereby allowing consummation of the sale. Cost of sales for the three and six months ending January 31, 2008, was reduced by the net proceeds of $507,000 as a result of this sale.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64" w:name="PGBRK14"/>
      <w:bookmarkStart w:id="665" w:name="PGBRK14"/>
      <w:bookmarkEnd w:id="6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6" w:name="FTR14"/>
      <w:bookmarkStart w:id="667" w:name="FTR14"/>
      <w:bookmarkEnd w:id="6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8" w:name="GLFTR14"/>
      <w:bookmarkStart w:id="669" w:name="GLFTR14"/>
      <w:bookmarkEnd w:id="6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670" w:name="PN14"/>
      <w:bookmarkEnd w:id="670"/>
      <w:r>
        <w:rPr>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1" w:name="HDR14"/>
      <w:bookmarkStart w:id="672" w:name="HDR14"/>
      <w:bookmarkEnd w:id="6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3" w:name="GLHDR14"/>
      <w:bookmarkStart w:id="674" w:name="GLHDR14"/>
      <w:bookmarkEnd w:id="6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rPr>
        <w:t xml:space="preserve">ITEM 2. MANAGEMENT’S DISCUSSION AND ANALYSIS OF </w:t>
      </w:r>
    </w:p>
    <w:p>
      <w:pPr>
        <w:pStyle w:val="TextBody"/>
        <w:spacing w:lineRule="auto" w:line="300" w:before="0" w:after="0"/>
        <w:ind w:left="720" w:right="0" w:hanging="0"/>
        <w:jc w:val="both"/>
        <w:rPr/>
      </w:pPr>
      <w:r>
        <w:rPr>
          <w:rStyle w:val="StrongEmphasis"/>
          <w:rFonts w:ascii="Times New Roman" w:hAnsi="Times New Roman"/>
          <w:sz w:val="20"/>
        </w:rPr>
        <w:t>FINANCIAL CONDITION AND RESULTS OF OPERATIONS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 xml:space="preserve">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year ended July 31, 2007.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2007.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u w:val="single"/>
        </w:rPr>
        <w:t>OVERVIEW</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We develop, manufacture and market sorbent products principally produced from clay minerals and, to a lesser extent, other sorbent materials. Our principal products include cat litter, industrial and automotive absorbents, bleaching clay and clarification aids, agricultural chemical carriers, animal health and nutrition and sports field products. Our products are sold to two primary customer groups, including customers who resell our products as originally produced to the end customer and those who use our products as part of their production process or use them as an ingredient in their final finished product. We have two reportable segments, the Retail and Wholesale Products Group and the Business to Business Products Group, as described in Note 5 of the unaudited condensed financial statements.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u w:val="single"/>
        </w:rPr>
        <w:t>RESULTS OF OPERATIONS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u w:val="single"/>
        </w:rPr>
        <w:t>SIX MONTHS ENDED JANUARY 31, 2008 COMPARED TO</w:t>
      </w:r>
    </w:p>
    <w:p>
      <w:pPr>
        <w:pStyle w:val="TextBody"/>
        <w:spacing w:lineRule="auto" w:line="300" w:before="0" w:after="0"/>
        <w:ind w:left="0" w:right="0" w:hanging="0"/>
        <w:jc w:val="both"/>
        <w:rPr/>
      </w:pPr>
      <w:r>
        <w:rPr>
          <w:rStyle w:val="StrongEmphasis"/>
          <w:rFonts w:ascii="Times New Roman" w:hAnsi="Times New Roman"/>
          <w:sz w:val="20"/>
          <w:u w:val="single"/>
        </w:rPr>
        <w:t>SIX MONTHS ENDED JANUARY 31, 2007</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Consolidated net sales for the six months ended January 31, 2008 were $113,311,000, an increase of 8% from net sales of $105,002,000 in the first six months of fiscal 2007. Net income for the first six months of fiscal 2008 was $4,573,000, an increase of 27% from net income of $3,610,000 in the first six months of fiscal 2007. Diluted income per share for the first six months of fiscal 2008 was $0.64 versus $0.52 diluted net income per share for the first six months of fiscal 2007.</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Net income for the first six months of fiscal 2008 was positively impacted by overall higher net selling prices, increased volume, lower cost of fuel used in the manufacturing process and a $507,000 reduction in cost of sales resulting from the sale of emission reduction credits, as described in Note 9 of the unaudited condensed consolidated financial statements. Net income was negatively impacted by higher freight and packaging costs. Freight costs increased significantly due to record diesel fuel prices in both the trucking and rail distribution channels and changes in our customer geographic distribution mix. Packaging costs were up due to price increases in the resin and paper markets.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Net sales of the Business to Business Products Group for the first six months of fiscal 2008 were $35,480,000, an increase of $1,698,000 from net sales of $33,782,000 in the first six months of fiscal 2007. Total tons sold for the Group were down 3% compared to the first six months of fiscal 2007; however, the mix of products and increased selling prices provided for higher sales in the first six months of fiscal 2008. Sales of bleaching earth and fluid purification products were up 16% due to increased selling prices and higher tons sold. The higher tonnage was due to increased sales to existing customers and new business, which included applications in the biodiesel production industry. Our co-packaged cat litter sales increased 2% due to a higher selling price and a new co-packaging customer. Sales of animal health and nutrition products also increased primarily due to higher volume and selling price increases for our mycotoxin binder and animal feed binder products. Conversely, sales of agricultural chemical carriers were down due to 16% lower volume caused by the continued market erosion due to growth of genetically modified seed and seed treatments.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The Business to Business Products Group’s segment income increased 23% from $6,249,000 in the first six months of fiscal 2007 to $7,657,000 in the first six months of fiscal 2008. A higher net selling price for most products in the Group offset an increase of approximately 7% in combined freight and packaging costs. Freight costs increased significantly due to higher diesel fuel prices. Packaging costs were up due to price increases in the resin and paper markets.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Net sales of the Retail and Wholesale Products Group for the first six months of fiscal 2008 were $77,831,000, an increase of $6,611,000 from net sales of $71,220,000 reported in the first six months of fiscal 2007. Total tons sold for the Group were up 8%. Cat litter tons sold increased 18%. Net sales of private label cat litter increased 47% due to higher volume and price increases. The higher volume is the result of new distribution to existing customers as well as new customers. In contrast, branded cat litter sales declined 7% due to loss of a customer. Sales of industrial absorbents were down 5% due to lower volume.</w:t>
      </w:r>
    </w:p>
    <w:p>
      <w:pPr>
        <w:pStyle w:val="TextBody"/>
        <w:spacing w:lineRule="auto" w:line="300"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75" w:name="PGBRK15"/>
      <w:bookmarkStart w:id="676" w:name="PGBRK15"/>
      <w:bookmarkEnd w:id="6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7" w:name="FTR15"/>
      <w:bookmarkStart w:id="678" w:name="FTR15"/>
      <w:bookmarkEnd w:id="6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9" w:name="GLFTR15"/>
      <w:bookmarkStart w:id="680" w:name="GLFTR15"/>
      <w:bookmarkEnd w:id="6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681" w:name="PN15"/>
      <w:bookmarkEnd w:id="681"/>
      <w:r>
        <w:rPr>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2" w:name="HDR15"/>
      <w:bookmarkStart w:id="683" w:name="HDR15"/>
      <w:bookmarkEnd w:id="6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4" w:name="GLHDR15"/>
      <w:bookmarkStart w:id="685" w:name="GLHDR15"/>
      <w:bookmarkEnd w:id="6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Retail and Wholesale Products Group’s segment income increased 2% from $8,089,000 in the first six months of fiscal 2007 to $8,233,000 in the first six months of fiscal 2008. The Group’s overall increase in sales was mostly offset by higher costs. Freight costs were approximately 18% higher in the first six months of fiscal 2008 compared to the first six months of fiscal 2007. The cost of freight has increased significantly due to higher fuel costs and the geographic distribution mix of customers. The Group’s product margins were also negatively impacted by increased packaging costs.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Fonts w:ascii="Times New Roman" w:hAnsi="Times New Roman"/>
          <w:sz w:val="20"/>
        </w:rPr>
        <w:t>Our consolidated gross profit as a percentage of net sales for the first six months of fiscal 2008 was 21%, the same as in the first six months</w:t>
      </w:r>
      <w:r>
        <w:rPr/>
        <w:t> </w:t>
      </w:r>
      <w:r>
        <w:rPr>
          <w:rFonts w:ascii="Times New Roman" w:hAnsi="Times New Roman"/>
          <w:sz w:val="20"/>
        </w:rPr>
        <w:t>of fiscal 2007. Increased freight costs were offset by net selling price increases and a 4% decrease in the cost of fuel used in the manufacturing process. Cost of sales for the first six months of fiscal 2008 was also reduced by $507,000 as a result of the sale of emission reduction credits as described in Note 9 of the unaudited condensed consolidated financial statements. Non-fuel manufacturing costs were flat with the prior year.</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Selling, general and administrative expenses as a percentage of net sales for the first six months of fiscal 2008 were 15%, compared to 16% in the first six months of fiscal 2007. Expenses in the first six months of fiscal 2008 included a lower discretionary bonus accrual and lower stock compensation expense, which were partially offset by increased spending for research and development. Discretionary bonus targets are revised each year. Stock compensation expense declined as existing grants were fully expensed and no new grants were issued. Research and development costs increased as we focused on new product development and improvements in existing products.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Interest expense was down $114,000 for the first six months of fiscal 2008 compared to the same period in fiscal 2007 due to continued debt reduction. Interest income was down $39,000 in the second quarter of fiscal 2008. A lower average interest rate offset the benefit of higher average investment balances.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Our effective tax rate was 28% of pre-tax income in the first six months of fiscal 2008 compared to 27% in the first six months of fiscal 2007. The effective tax rate is up slightly based on the projected composition of our taxable income for fiscal 2008.</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Total assets increased $3,274,000 or 2% during the first six months of fiscal 2008. Current assets increased $3,048,000 or 4% from fiscal 2007 year-end balances, primarily due to an increase in investments, accounts receivable, inventories and prepaid expenses. These increases were partially offset by a decrease in cash and cash equivalents. The changes in current assets are described in Liquidity and Capital Resources. Property, plant and equipment, net of accumulated depreciation, increased $287,000 during the first six months of fiscal 2008.</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Total liabilities decreased $1,410,000 during the first six months of fiscal 2008. Current liabilities increased $2,017,000 or 7% primarily due to an increase in current maturities of notes payable, accrued trade spending and other accrued expenses. Partially offsetting these increases was a decrease in accrued salaries. The changes in current liabilities are described in Liquidity and Capital Resources. Non-current liabilities decreased $3,427,000 or 10% due to a reclassification of notes payable from long-term to current.</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u w:val="single"/>
        </w:rPr>
        <w:t>THREE MONTHS ENDED JANUARY 31, 2008 COMPARED TO</w:t>
      </w:r>
    </w:p>
    <w:p>
      <w:pPr>
        <w:pStyle w:val="TextBody"/>
        <w:spacing w:lineRule="auto" w:line="300" w:before="0" w:after="0"/>
        <w:ind w:left="0" w:right="0" w:hanging="0"/>
        <w:jc w:val="both"/>
        <w:rPr/>
      </w:pPr>
      <w:r>
        <w:rPr>
          <w:rStyle w:val="StrongEmphasis"/>
          <w:rFonts w:ascii="Times New Roman" w:hAnsi="Times New Roman"/>
          <w:sz w:val="20"/>
          <w:u w:val="single"/>
        </w:rPr>
        <w:t>THREE MONTHS ENDED JANUARY 31, 2007</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Consolidated net sales for the three months ended January 31, 2008 were $58,026,000, an increase of 10% from net sales of $52,873,000 in the second quarter of fiscal 2007. Net income for the second quarter of fiscal 2008 was $2,089,000, an increase of 6% from net income of $1,963,000 in the second quarter of fiscal 2007. Diluted income per share for the second quarter of fiscal 2008 was $0.29 versus $0.28 diluted net income per share for the second quarter of fiscal 2007.</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Net income for the second quarter of fiscal 2008 was positively impacted by overall higher net selling prices, increased volume, lower cost of fuel used in the manufacturing process and a $507,000 reduction in cost of sales as a result of the sale of emission reduction credits as described in Note 9 of the unaudited condensed consolidated financial statements. Net income for the quarter was negatively impacted by higher freight, packaging and material costs. Freight costs increased significantly due to record diesel fuel prices and changes in our customer geographic distribution mix. Higher selling prices in the Business to Business Products Group contributed to the increased net income; however, higher volume in the Retail and Wholesale Products Group could not overcome a decreased net selling price and higher costs.</w:t>
      </w:r>
    </w:p>
    <w:p>
      <w:pPr>
        <w:pStyle w:val="TextBody"/>
        <w:spacing w:lineRule="auto" w:line="300"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86" w:name="PGBRK16"/>
      <w:bookmarkStart w:id="687" w:name="PGBRK16"/>
      <w:bookmarkEnd w:id="6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8" w:name="FTR16"/>
      <w:bookmarkStart w:id="689" w:name="FTR16"/>
      <w:bookmarkEnd w:id="6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0" w:name="GLFTR16"/>
      <w:bookmarkStart w:id="691" w:name="GLFTR16"/>
      <w:bookmarkEnd w:id="6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692" w:name="PN16"/>
      <w:bookmarkEnd w:id="692"/>
      <w:r>
        <w:rPr>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3" w:name="HDR16"/>
      <w:bookmarkStart w:id="694" w:name="HDR16"/>
      <w:bookmarkEnd w:id="6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5" w:name="GLHDR16"/>
      <w:bookmarkStart w:id="696" w:name="GLHDR16"/>
      <w:bookmarkEnd w:id="6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Net sales of the Business to Business Products Group for the second quarter of fiscal 2008 were $18,563,000, an increase of $1,666,000 from net sales of $16,897,000 in the second quarter of fiscal 2007. Total tons sold for the Group were even with the second quarter of fiscal 2007; however, increased selling prices provided for higher sales in the second quarter of fiscal 2008. Sales of bleaching earth and fluid purification products were up 20% due to increased selling prices and higher tons sold. The higher tonnage was due to increased sales to existing customers and new business, which included applications in the biodiesel production industry. Our co-packaged cat litter sales increased 8% due to a higher selling price and a new co-packaging customer. Sales of animal health and nutrition products also increased due to price increases for our mycotoxin binder products. Sales of agricultural chemical carriers and our Flo-Fre product, a by-product of the chemical carrier manufacturing process, were up due to a higher selling price which offset lower volume.</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Business to Business Products Group’s segment income increased 28% from $2,851,000 in the second quarter of fiscal 2007 to $3,656,000 in the second quarter of fiscal 2008. The increase in sales due to the higher net selling price for most products in the Group was partially offset by a combined freight, packaging and material costs increase of approximately 10%. Freight costs increased significantly due to higher diesel fuel prices. Packaging costs were up due to price increases in the resin and paper markets.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Net sales of the Retail and Wholesale Products Group for the second quarter of fiscal 2008 were $39,463,000, an increase of $3,487,000 from net sales of $35,976,000 reported in the second quarter of fiscal 2007. Total tons sold for the Group were up 11%. Cat litter tons sold increased 22%. Net sales of private label cat litter increased 49% due to higher volume and price increases. The higher volume was the result of new distribution to existing customers and new customers. In contrast, branded cat litter sales declined 6% due to loss of a customer. Sales of industrial absorbents were down for the quarter due to lower volume.</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Retail and Wholesale Products Group’s segment income decreased 15% from $4,540,000 in the second quarter of fiscal 2007 to $3,883,000 in the second quarter of fiscal 2008. The Group’s increase in volume was not sufficient to offset an overall decrease in net selling price and higher costs. The decrease in net selling price was driven by higher trade spending and product mix. Freight costs were approximately 21% higher in the second quarter of fiscal 2008 compared to the second quarter of fiscal 2007. The cost of freight has increased significantly due to higher fuel costs and the geographic distribution mix of customers. Our product margins were also negatively impacted by increased packaging costs.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Fonts w:ascii="Times New Roman" w:hAnsi="Times New Roman"/>
          <w:sz w:val="20"/>
        </w:rPr>
        <w:t>Consolidated gross profit as a percentage of net sales for the second</w:t>
      </w:r>
      <w:r>
        <w:rPr/>
        <w:t xml:space="preserve"> </w:t>
      </w:r>
      <w:r>
        <w:rPr>
          <w:rFonts w:ascii="Times New Roman" w:hAnsi="Times New Roman"/>
          <w:sz w:val="20"/>
        </w:rPr>
        <w:t>quarter</w:t>
      </w:r>
      <w:r>
        <w:rPr/>
        <w:t xml:space="preserve"> </w:t>
      </w:r>
      <w:r>
        <w:rPr>
          <w:rFonts w:ascii="Times New Roman" w:hAnsi="Times New Roman"/>
          <w:sz w:val="20"/>
        </w:rPr>
        <w:t>of fiscal 2008 was 20%, compared to 22% for the second quarter</w:t>
      </w:r>
      <w:r>
        <w:rPr/>
        <w:t xml:space="preserve"> </w:t>
      </w:r>
      <w:r>
        <w:rPr>
          <w:rFonts w:ascii="Times New Roman" w:hAnsi="Times New Roman"/>
          <w:sz w:val="20"/>
        </w:rPr>
        <w:t>of fiscal 2007. Increased freight and packaging costs and a reduced net selling price in the Retail and Wholesale Products Group were partially offset by a 6% decrease in the cost of fuel used in the manufacturing process. Cost of sales for the second quarter of fiscal 2008 was reduced by $507,000 as a result of the sale of emission reduction credits as described in Note 9 of the unaudited condensed consolidated financial statements. Non-fuel manufacturing costs were flat with the prior year.</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Fonts w:ascii="Times New Roman" w:hAnsi="Times New Roman"/>
          <w:sz w:val="20"/>
        </w:rPr>
        <w:t>Selling, general and administrative expenses as a percentage of net sales for the second quarter of fiscal 2008 were 14%, compare to 16% in the second quarter of fiscal 2007. The second quarter of fiscal</w:t>
      </w:r>
      <w:r>
        <w:rPr/>
        <w:t xml:space="preserve"> </w:t>
      </w:r>
      <w:r>
        <w:rPr>
          <w:rFonts w:ascii="Times New Roman" w:hAnsi="Times New Roman"/>
          <w:sz w:val="20"/>
        </w:rPr>
        <w:t xml:space="preserve">2008 expenses included a lower discretionary bonus accrual and lower stock compensation expense. Discretionary bonus targets are revised each year. Stock compensation expense declined as existing grants were fully expensed and no new grants were issued. These decreases were partially offset by increased spending for research and development as we focused on new product development and improvements in existing products.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Interest expense was down $71,000 for the second quarter of fiscal 2008 compared to the same period in fiscal 2007 due to continued debt reduction. Interest income was down $69,000 in the second quarter of fiscal 2008. A lower average interest rate offset the benefit of higher average investment balances.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Our effective tax rate was 28% of pre-tax income in the second quarter of fiscal 2008 compared to 27% in the second quarter of fiscal 2007. The effective tax rate is up slightly based on the projected composition of our taxable income for fiscal 2008. </w:t>
      </w:r>
    </w:p>
    <w:p>
      <w:pPr>
        <w:pStyle w:val="TextBody"/>
        <w:spacing w:lineRule="auto" w:line="300" w:before="0" w:after="0"/>
        <w:ind w:left="0" w:right="0" w:hanging="0"/>
        <w:jc w:val="both"/>
        <w:rPr/>
      </w:pPr>
      <w:r>
        <w:rPr/>
      </w:r>
    </w:p>
    <w:p>
      <w:pPr>
        <w:pStyle w:val="TextBody"/>
        <w:spacing w:lineRule="auto" w:line="300" w:before="0" w:after="0"/>
        <w:ind w:left="0" w:right="0" w:hanging="0"/>
        <w:jc w:val="left"/>
        <w:rPr/>
      </w:pPr>
      <w:r>
        <w:rPr>
          <w:rStyle w:val="StrongEmphasis"/>
          <w:rFonts w:ascii="Times New Roman" w:hAnsi="Times New Roman"/>
          <w:sz w:val="20"/>
          <w:u w:val="single"/>
        </w:rPr>
        <w:t>FOREIGN OPERATIONS</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Net sales by our foreign subsidiaries during the first six months of fiscal 2008 were $8,698,000 or 8% of total Company sales. This represents an increase of 2% from the first six months of fiscal 2007, in which foreign subsidiary sales were $8,510,000 or 8% of total Company sales. The increase in net sales was seen in our United Kingdom subsidiary, while our Canadian subsidiary’s net sales were flat with the comparable period in fiscal 2007. The United Kingdom sales were up due to higher selling prices and higher volume. In our Canadian subsidiary, higher selling prices were offset by lower volume for both cat litter and industrial products. For the first six months of fiscal 2008, our foreign subsidiaries reported net income of $488,000, an increase of $179,000 from the $309,000 net income reported in the first six months of fiscal 2007. Higher selling prices and lower material costs contributed to the improved net income.</w:t>
      </w:r>
    </w:p>
    <w:p>
      <w:pPr>
        <w:pStyle w:val="TextBody"/>
        <w:spacing w:lineRule="auto" w:line="300"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97" w:name="PGBRK17"/>
      <w:bookmarkStart w:id="698" w:name="PGBRK17"/>
      <w:bookmarkEnd w:id="6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9" w:name="FTR17"/>
      <w:bookmarkStart w:id="700" w:name="FTR17"/>
      <w:bookmarkEnd w:id="7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1" w:name="GLFTR17"/>
      <w:bookmarkStart w:id="702" w:name="GLFTR17"/>
      <w:bookmarkEnd w:id="7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703" w:name="PN17"/>
      <w:bookmarkEnd w:id="703"/>
      <w:r>
        <w:rPr>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4" w:name="HDR17"/>
      <w:bookmarkStart w:id="705" w:name="HDR17"/>
      <w:bookmarkEnd w:id="7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6" w:name="GLHDR17"/>
      <w:bookmarkStart w:id="707" w:name="GLHDR17"/>
      <w:bookmarkEnd w:id="7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Identifiable assets of our foreign subsidiaries as of January 31, 2008 were $10,195,000 compared to $9,528,000 as of January 31, 2007. The increase was driven by higher cash and investments and accounts receivable corresponding to the increased sales.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Net sales by our foreign subsidiaries during the second quarter of fiscal 2008 were $4,206,000 or 7% of total Company sales, which is flat with the second quarter of fiscal 2007, in which foreign subsidiary sales were $4,212,000 or 8% of total Company sales. Net sales for our United Kingdom subsidiary were up $148,000, while net sales of our Canadian subsidiary were down a corresponding amount. Selling prices were up for both subsidiaries; however, volume was down for our Canadian subsidiary. For the second quarter of fiscal 2008, our foreign subsidiaries reported net income of $165,000, a decrease of $173,000 from the $338,000 net income reported in the second quarter of fiscal 2007. Our Canadian operations were negatively impacted by increased labor and freight costs.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u w:val="single"/>
        </w:rPr>
        <w:t>LIQUIDITY AND CAPITAL RESOURCES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Our principal capital requirements include funding working capital needs, the purchasing and upgrading of real estate, equipment and facilities, funding new product development and investing in infrastructure and potential acquisitions. We principally have used cash generated from operations and, to the extent needed, issuance of debt securities and borrowings under our credit facilities to fund these requirements. Cash and cash equivalents decreased $7,808,000 during the first six months of fiscal 2008 to $4,325,000 at January 31, 2008.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following table sets forth certain elements of our unaudited condensed consolidated statements of cash flows (in thousands):</w:t>
      </w:r>
    </w:p>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708" w:name="ftable16"/>
      <w:bookmarkStart w:id="709" w:name="ftable16"/>
      <w:bookmarkEnd w:id="709"/>
    </w:p>
    <w:tbl>
      <w:tblPr>
        <w:tblW w:w="4000" w:type="pct"/>
        <w:jc w:val="center"/>
        <w:tblInd w:w="0" w:type="dxa"/>
        <w:tblCellMar>
          <w:top w:w="0" w:type="dxa"/>
          <w:left w:w="0" w:type="dxa"/>
          <w:bottom w:w="28" w:type="dxa"/>
          <w:right w:w="0" w:type="dxa"/>
        </w:tblCellMar>
      </w:tblPr>
      <w:tblGrid>
        <w:gridCol w:w="3989"/>
        <w:gridCol w:w="173"/>
        <w:gridCol w:w="263"/>
        <w:gridCol w:w="1579"/>
        <w:gridCol w:w="188"/>
        <w:gridCol w:w="263"/>
        <w:gridCol w:w="1579"/>
        <w:gridCol w:w="130"/>
      </w:tblGrid>
      <w:tr>
        <w:trPr/>
        <w:tc>
          <w:tcPr>
            <w:tcW w:w="3989" w:type="dxa"/>
            <w:tcBorders>
              <w:bottom w:val="single" w:sz="4" w:space="0" w:color="FFFFFF"/>
            </w:tcBorders>
            <w:shd w:fill="auto" w:val="clear"/>
            <w:vAlign w:val="bottom"/>
          </w:tcPr>
          <w:p>
            <w:pPr>
              <w:pStyle w:val="TableContents"/>
              <w:spacing w:before="0" w:after="283"/>
              <w:jc w:val="left"/>
              <w:rPr/>
            </w:pPr>
            <w:r>
              <w:rPr/>
              <w:t> </w:t>
            </w:r>
          </w:p>
        </w:tc>
        <w:tc>
          <w:tcPr>
            <w:tcW w:w="173" w:type="dxa"/>
            <w:tcBorders>
              <w:bottom w:val="single" w:sz="2" w:space="0" w:color="FFFFFF"/>
            </w:tcBorders>
            <w:shd w:fill="auto" w:val="clear"/>
            <w:vAlign w:val="center"/>
          </w:tcPr>
          <w:p>
            <w:pPr>
              <w:pStyle w:val="TableContents"/>
              <w:spacing w:before="0" w:after="283"/>
              <w:rPr/>
            </w:pPr>
            <w:r>
              <w:rPr/>
              <w:t> </w:t>
            </w:r>
          </w:p>
        </w:tc>
        <w:tc>
          <w:tcPr>
            <w:tcW w:w="3872" w:type="dxa"/>
            <w:gridSpan w:val="5"/>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Six Months Ended</w:t>
            </w:r>
          </w:p>
        </w:tc>
        <w:tc>
          <w:tcPr>
            <w:tcW w:w="130" w:type="dxa"/>
            <w:tcBorders>
              <w:bottom w:val="single" w:sz="2" w:space="0" w:color="FFFFFF"/>
            </w:tcBorders>
            <w:shd w:fill="auto" w:val="clear"/>
            <w:vAlign w:val="bottom"/>
          </w:tcPr>
          <w:p>
            <w:pPr>
              <w:pStyle w:val="TableContents"/>
              <w:spacing w:before="0" w:after="283"/>
              <w:jc w:val="left"/>
              <w:rPr/>
            </w:pPr>
            <w:r>
              <w:rPr/>
              <w:t> </w:t>
            </w:r>
          </w:p>
        </w:tc>
      </w:tr>
      <w:tr>
        <w:trPr/>
        <w:tc>
          <w:tcPr>
            <w:tcW w:w="3989" w:type="dxa"/>
            <w:tcBorders>
              <w:bottom w:val="single" w:sz="4" w:space="0" w:color="FFFFFF"/>
            </w:tcBorders>
            <w:shd w:fill="auto" w:val="clear"/>
            <w:vAlign w:val="bottom"/>
          </w:tcPr>
          <w:p>
            <w:pPr>
              <w:pStyle w:val="TableContents"/>
              <w:spacing w:before="0" w:after="283"/>
              <w:jc w:val="left"/>
              <w:rPr/>
            </w:pPr>
            <w:r>
              <w:rPr/>
              <w:t> </w:t>
            </w:r>
          </w:p>
        </w:tc>
        <w:tc>
          <w:tcPr>
            <w:tcW w:w="173" w:type="dxa"/>
            <w:tcBorders>
              <w:bottom w:val="single" w:sz="2" w:space="0" w:color="FFFFFF"/>
            </w:tcBorders>
            <w:shd w:fill="auto" w:val="clear"/>
            <w:vAlign w:val="center"/>
          </w:tcPr>
          <w:p>
            <w:pPr>
              <w:pStyle w:val="TableContents"/>
              <w:spacing w:before="0" w:after="283"/>
              <w:rPr/>
            </w:pPr>
            <w:r>
              <w:rPr/>
              <w:t> </w:t>
            </w:r>
          </w:p>
        </w:tc>
        <w:tc>
          <w:tcPr>
            <w:tcW w:w="1842"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January 31, 2008</w:t>
            </w:r>
          </w:p>
        </w:tc>
        <w:tc>
          <w:tcPr>
            <w:tcW w:w="188" w:type="dxa"/>
            <w:tcBorders>
              <w:bottom w:val="single" w:sz="2" w:space="0" w:color="FFFFFF"/>
            </w:tcBorders>
            <w:shd w:fill="auto" w:val="clear"/>
            <w:vAlign w:val="bottom"/>
          </w:tcPr>
          <w:p>
            <w:pPr>
              <w:pStyle w:val="TableContents"/>
              <w:spacing w:before="0" w:after="283"/>
              <w:jc w:val="left"/>
              <w:rPr/>
            </w:pPr>
            <w:r>
              <w:rPr/>
              <w:t> </w:t>
            </w:r>
          </w:p>
        </w:tc>
        <w:tc>
          <w:tcPr>
            <w:tcW w:w="1842"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January 31, 2007</w:t>
            </w:r>
          </w:p>
        </w:tc>
        <w:tc>
          <w:tcPr>
            <w:tcW w:w="130" w:type="dxa"/>
            <w:tcBorders>
              <w:bottom w:val="single" w:sz="2" w:space="0" w:color="FFFFFF"/>
            </w:tcBorders>
            <w:shd w:fill="auto" w:val="clear"/>
            <w:vAlign w:val="bottom"/>
          </w:tcPr>
          <w:p>
            <w:pPr>
              <w:pStyle w:val="TableContents"/>
              <w:spacing w:before="0" w:after="283"/>
              <w:jc w:val="left"/>
              <w:rPr/>
            </w:pPr>
            <w:r>
              <w:rPr/>
              <w:t> </w:t>
            </w:r>
          </w:p>
        </w:tc>
      </w:tr>
      <w:tr>
        <w:trPr/>
        <w:tc>
          <w:tcPr>
            <w:tcW w:w="3989"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cash provided by operating activities</w:t>
            </w:r>
          </w:p>
        </w:tc>
        <w:tc>
          <w:tcPr>
            <w:tcW w:w="173" w:type="dxa"/>
            <w:tcBorders/>
            <w:shd w:fill="CCFFCC" w:val="clear"/>
            <w:tcMar>
              <w:bottom w:w="0" w:type="dxa"/>
            </w:tcMar>
            <w:vAlign w:val="center"/>
          </w:tcPr>
          <w:p>
            <w:pPr>
              <w:pStyle w:val="TableContents"/>
              <w:spacing w:before="0" w:after="283"/>
              <w:rPr/>
            </w:pPr>
            <w:r>
              <w:rPr/>
              <w:t> </w:t>
            </w:r>
          </w:p>
        </w:tc>
        <w:tc>
          <w:tcPr>
            <w:tcW w:w="263"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57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2,722</w:t>
            </w:r>
          </w:p>
        </w:tc>
        <w:tc>
          <w:tcPr>
            <w:tcW w:w="188" w:type="dxa"/>
            <w:tcBorders/>
            <w:shd w:fill="CCFFCC" w:val="clear"/>
            <w:tcMar>
              <w:bottom w:w="0" w:type="dxa"/>
            </w:tcMar>
            <w:vAlign w:val="bottom"/>
          </w:tcPr>
          <w:p>
            <w:pPr>
              <w:pStyle w:val="TableContents"/>
              <w:spacing w:before="0" w:after="283"/>
              <w:jc w:val="left"/>
              <w:rPr/>
            </w:pPr>
            <w:r>
              <w:rPr/>
              <w:t> </w:t>
            </w:r>
          </w:p>
        </w:tc>
        <w:tc>
          <w:tcPr>
            <w:tcW w:w="263"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57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7,113</w:t>
            </w:r>
          </w:p>
        </w:tc>
        <w:tc>
          <w:tcPr>
            <w:tcW w:w="130" w:type="dxa"/>
            <w:tcBorders/>
            <w:shd w:fill="CCFFCC" w:val="clear"/>
            <w:tcMar>
              <w:bottom w:w="0" w:type="dxa"/>
            </w:tcMar>
            <w:vAlign w:val="bottom"/>
          </w:tcPr>
          <w:p>
            <w:pPr>
              <w:pStyle w:val="TableContents"/>
              <w:spacing w:before="0" w:after="283"/>
              <w:jc w:val="left"/>
              <w:rPr/>
            </w:pPr>
            <w:r>
              <w:rPr/>
              <w:t> </w:t>
            </w:r>
          </w:p>
        </w:tc>
      </w:tr>
      <w:tr>
        <w:trPr/>
        <w:tc>
          <w:tcPr>
            <w:tcW w:w="3989"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cash used in investing activities</w:t>
            </w:r>
          </w:p>
        </w:tc>
        <w:tc>
          <w:tcPr>
            <w:tcW w:w="173" w:type="dxa"/>
            <w:tcBorders/>
            <w:shd w:fill="FFFFFF" w:val="clear"/>
            <w:tcMar>
              <w:bottom w:w="0" w:type="dxa"/>
            </w:tcMar>
            <w:vAlign w:val="center"/>
          </w:tcPr>
          <w:p>
            <w:pPr>
              <w:pStyle w:val="TableContents"/>
              <w:spacing w:before="0" w:after="283"/>
              <w:rPr/>
            </w:pPr>
            <w:r>
              <w:rPr/>
              <w:t> </w:t>
            </w:r>
          </w:p>
        </w:tc>
        <w:tc>
          <w:tcPr>
            <w:tcW w:w="263" w:type="dxa"/>
            <w:tcBorders/>
            <w:shd w:fill="FFFFFF" w:val="clear"/>
            <w:tcMar>
              <w:bottom w:w="0" w:type="dxa"/>
            </w:tcMar>
            <w:vAlign w:val="bottom"/>
          </w:tcPr>
          <w:p>
            <w:pPr>
              <w:pStyle w:val="TableContents"/>
              <w:spacing w:before="0" w:after="283"/>
              <w:jc w:val="left"/>
              <w:rPr/>
            </w:pPr>
            <w:r>
              <w:rPr/>
              <w:t> </w:t>
            </w:r>
          </w:p>
        </w:tc>
        <w:tc>
          <w:tcPr>
            <w:tcW w:w="157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(9,806</w:t>
            </w:r>
          </w:p>
        </w:tc>
        <w:tc>
          <w:tcPr>
            <w:tcW w:w="188"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263" w:type="dxa"/>
            <w:tcBorders/>
            <w:shd w:fill="FFFFFF" w:val="clear"/>
            <w:tcMar>
              <w:bottom w:w="0" w:type="dxa"/>
            </w:tcMar>
            <w:vAlign w:val="bottom"/>
          </w:tcPr>
          <w:p>
            <w:pPr>
              <w:pStyle w:val="TableContents"/>
              <w:spacing w:before="0" w:after="283"/>
              <w:jc w:val="left"/>
              <w:rPr/>
            </w:pPr>
            <w:r>
              <w:rPr/>
              <w:t> </w:t>
            </w:r>
          </w:p>
        </w:tc>
        <w:tc>
          <w:tcPr>
            <w:tcW w:w="157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(3,220</w:t>
            </w:r>
          </w:p>
        </w:tc>
        <w:tc>
          <w:tcPr>
            <w:tcW w:w="130"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3989"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cash used in provided by financing activities</w:t>
            </w:r>
          </w:p>
        </w:tc>
        <w:tc>
          <w:tcPr>
            <w:tcW w:w="173" w:type="dxa"/>
            <w:tcBorders/>
            <w:shd w:fill="CCFFCC" w:val="clear"/>
            <w:tcMar>
              <w:bottom w:w="0" w:type="dxa"/>
            </w:tcMar>
            <w:vAlign w:val="center"/>
          </w:tcPr>
          <w:p>
            <w:pPr>
              <w:pStyle w:val="TableContents"/>
              <w:spacing w:before="0" w:after="283"/>
              <w:rPr/>
            </w:pPr>
            <w:r>
              <w:rPr/>
              <w:t> </w:t>
            </w:r>
          </w:p>
        </w:tc>
        <w:tc>
          <w:tcPr>
            <w:tcW w:w="263" w:type="dxa"/>
            <w:tcBorders/>
            <w:shd w:fill="CCFFCC" w:val="clear"/>
            <w:tcMar>
              <w:bottom w:w="0" w:type="dxa"/>
            </w:tcMar>
            <w:vAlign w:val="bottom"/>
          </w:tcPr>
          <w:p>
            <w:pPr>
              <w:pStyle w:val="TableContents"/>
              <w:spacing w:before="0" w:after="283"/>
              <w:jc w:val="left"/>
              <w:rPr/>
            </w:pPr>
            <w:r>
              <w:rPr/>
              <w:t> </w:t>
            </w:r>
          </w:p>
        </w:tc>
        <w:tc>
          <w:tcPr>
            <w:tcW w:w="157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(559</w:t>
            </w:r>
          </w:p>
        </w:tc>
        <w:tc>
          <w:tcPr>
            <w:tcW w:w="188"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263" w:type="dxa"/>
            <w:tcBorders/>
            <w:shd w:fill="CCFFCC" w:val="clear"/>
            <w:tcMar>
              <w:bottom w:w="0" w:type="dxa"/>
            </w:tcMar>
            <w:vAlign w:val="bottom"/>
          </w:tcPr>
          <w:p>
            <w:pPr>
              <w:pStyle w:val="TableContents"/>
              <w:spacing w:before="0" w:after="283"/>
              <w:jc w:val="left"/>
              <w:rPr/>
            </w:pPr>
            <w:r>
              <w:rPr/>
              <w:t> </w:t>
            </w:r>
          </w:p>
        </w:tc>
        <w:tc>
          <w:tcPr>
            <w:tcW w:w="157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(971</w:t>
            </w:r>
          </w:p>
        </w:tc>
        <w:tc>
          <w:tcPr>
            <w:tcW w:w="130"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3989"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Effect of exchange rate changes on cash and cash equivalents</w:t>
            </w:r>
          </w:p>
        </w:tc>
        <w:tc>
          <w:tcPr>
            <w:tcW w:w="173" w:type="dxa"/>
            <w:tcBorders>
              <w:bottom w:val="single" w:sz="2" w:space="0" w:color="FFFFFF"/>
            </w:tcBorders>
            <w:shd w:fill="FFFFFF" w:val="clear"/>
            <w:vAlign w:val="center"/>
          </w:tcPr>
          <w:p>
            <w:pPr>
              <w:pStyle w:val="TableContents"/>
              <w:spacing w:before="0" w:after="283"/>
              <w:rPr/>
            </w:pPr>
            <w:r>
              <w:rPr/>
              <w:t> </w:t>
            </w:r>
          </w:p>
        </w:tc>
        <w:tc>
          <w:tcPr>
            <w:tcW w:w="263" w:type="dxa"/>
            <w:tcBorders>
              <w:bottom w:val="single" w:sz="2" w:space="0" w:color="000000"/>
            </w:tcBorders>
            <w:shd w:fill="FFFFFF" w:val="clear"/>
            <w:vAlign w:val="bottom"/>
          </w:tcPr>
          <w:p>
            <w:pPr>
              <w:pStyle w:val="TableContents"/>
              <w:spacing w:before="0" w:after="283"/>
              <w:jc w:val="left"/>
              <w:rPr/>
            </w:pPr>
            <w:r>
              <w:rPr/>
              <w:t> </w:t>
            </w:r>
          </w:p>
        </w:tc>
        <w:tc>
          <w:tcPr>
            <w:tcW w:w="157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(165</w:t>
            </w:r>
          </w:p>
        </w:tc>
        <w:tc>
          <w:tcPr>
            <w:tcW w:w="188" w:type="dxa"/>
            <w:tcBorders>
              <w:bottom w:val="single" w:sz="2"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263" w:type="dxa"/>
            <w:tcBorders>
              <w:bottom w:val="single" w:sz="2" w:space="0" w:color="000000"/>
            </w:tcBorders>
            <w:shd w:fill="FFFFFF" w:val="clear"/>
            <w:vAlign w:val="bottom"/>
          </w:tcPr>
          <w:p>
            <w:pPr>
              <w:pStyle w:val="TableContents"/>
              <w:spacing w:before="0" w:after="283"/>
              <w:jc w:val="left"/>
              <w:rPr/>
            </w:pPr>
            <w:r>
              <w:rPr/>
              <w:t> </w:t>
            </w:r>
          </w:p>
        </w:tc>
        <w:tc>
          <w:tcPr>
            <w:tcW w:w="157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43</w:t>
            </w:r>
          </w:p>
        </w:tc>
        <w:tc>
          <w:tcPr>
            <w:tcW w:w="130" w:type="dxa"/>
            <w:tcBorders>
              <w:bottom w:val="single" w:sz="2" w:space="0" w:color="FFFFFF"/>
            </w:tcBorders>
            <w:shd w:fill="FFFFFF" w:val="clear"/>
            <w:vAlign w:val="bottom"/>
          </w:tcPr>
          <w:p>
            <w:pPr>
              <w:pStyle w:val="TableContents"/>
              <w:spacing w:before="0" w:after="283"/>
              <w:jc w:val="left"/>
              <w:rPr/>
            </w:pPr>
            <w:r>
              <w:rPr/>
              <w:t> </w:t>
            </w:r>
          </w:p>
        </w:tc>
      </w:tr>
      <w:tr>
        <w:trPr/>
        <w:tc>
          <w:tcPr>
            <w:tcW w:w="3989"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(decrease) increase in cash and cash equivalents</w:t>
            </w:r>
          </w:p>
        </w:tc>
        <w:tc>
          <w:tcPr>
            <w:tcW w:w="173" w:type="dxa"/>
            <w:tcBorders>
              <w:bottom w:val="single" w:sz="2" w:space="0" w:color="CCFFCC"/>
            </w:tcBorders>
            <w:shd w:fill="CCFFCC" w:val="clear"/>
            <w:vAlign w:val="center"/>
          </w:tcPr>
          <w:p>
            <w:pPr>
              <w:pStyle w:val="TableContents"/>
              <w:spacing w:before="0" w:after="283"/>
              <w:rPr/>
            </w:pPr>
            <w:r>
              <w:rPr/>
              <w:t> </w:t>
            </w:r>
          </w:p>
        </w:tc>
        <w:tc>
          <w:tcPr>
            <w:tcW w:w="263"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579"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(7,808</w:t>
            </w:r>
          </w:p>
        </w:tc>
        <w:tc>
          <w:tcPr>
            <w:tcW w:w="188"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263"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579"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2,965</w:t>
            </w:r>
          </w:p>
        </w:tc>
        <w:tc>
          <w:tcPr>
            <w:tcW w:w="130" w:type="dxa"/>
            <w:tcBorders>
              <w:bottom w:val="single" w:sz="4" w:space="0" w:color="CCFFCC"/>
            </w:tcBorders>
            <w:shd w:fill="CCFFCC"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Net cash provided by operating activities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Net cash provided by operations was $2,722,000 for the six months ended January 31, 2008, compared to $7,113,000 for the six months ended January 31, 2007. The decrease was due primarily to changes in working capital that offset the increase in net income. For the first six months of fiscal years 2008 and 2007, the primary components of working capital that impacted operating cash flows were as follows: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Accounts receivable, less allowance for doubtful accounts, increased by $2,040,000 in the first six months of fiscal 2008 versus an increase of $1,010,000 in the first six months of fiscal 2007. The increase in accounts receivable for both fiscal years was due to higher sales in the second quarter compared to sales in the fourth quarter of the preceding fiscal year. The comparative sales increase was greater for the second quarter of fiscal 2008 (particularly in the month of January) resulting in a larger increase in accounts receivable.</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Inventories increased $1,159,000 in the first six months of fiscal 2008, versus a decrease of $1,268,000 in the same period in fiscal 2007. Finished goods and packaging inventories increased in the first six months of fiscal 2008. The increase in finished goods inventory was a planned effort to meet future demand of specific products. The increase in packaging inventory was due to higher costs and increased safety stock for bag items. Inventories decreased in the first six months of fiscal 2007 due to a concerted effort to reduce packaging inventory levels, lower fuel inventory and procurement cost reduction initiatives.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Other prepaid expenses increased $1,196,000 in the first six months of fiscal 2008 versus an increase of $454,000 in the first six months of fiscal 2007. The timing of insurance premium payments resulted in an increase in prepaid expenses in both years. Prepaid income taxes also increased due to timing of tax payments in the first six months of fiscal 2008.</w:t>
      </w:r>
    </w:p>
    <w:p>
      <w:pPr>
        <w:pStyle w:val="TextBody"/>
        <w:spacing w:lineRule="auto" w:line="300"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10" w:name="PGBRK18"/>
      <w:bookmarkStart w:id="711" w:name="PGBRK18"/>
      <w:bookmarkEnd w:id="7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2" w:name="FTR18"/>
      <w:bookmarkStart w:id="713" w:name="FTR18"/>
      <w:bookmarkEnd w:id="7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4" w:name="GLFTR18"/>
      <w:bookmarkStart w:id="715" w:name="GLFTR18"/>
      <w:bookmarkEnd w:id="7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716" w:name="PN18"/>
      <w:bookmarkEnd w:id="716"/>
      <w:r>
        <w:rPr>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7" w:name="HDR18"/>
      <w:bookmarkStart w:id="718" w:name="HDR18"/>
      <w:bookmarkEnd w:id="7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9" w:name="GLHDR18"/>
      <w:bookmarkStart w:id="720" w:name="GLHDR18"/>
      <w:bookmarkEnd w:id="7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Accounts payable decreased $51,000 in the first six months of fiscal 2008 versus a decrease of $968,000 in the same period in fiscal 2007. The decrease in both periods was due to the normal fluctuations in the timing of payments and a decline in manufacturing fuel costs.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Accrued expenses decreased $1,945,000 in the first six months of fiscal 2008 versus a decrease of $95,000 in the first six months of fiscal 2007. In the first six months of fiscal 2008, accrued salaries was down due to the payout of the prior year’s discretionary bonus accrual. Partially offsetting this decrease was higher accrued trade spending due to increased advertising and an increase in accrued freight due to higher freight costs. In the first six months of fiscal 2007, accrued trade spending decreased due to timing and reduction of promotional activities. Other accrued expenses decreased due to lower packaging and fuel inventories and timing of real estate tax payments. These decreases were partially offset by a higher audit expense accrual and an increase in accrued salaries. The audit expense accrual was higher due to additional expense to comply with the internal control reporting requirements mandated by Section 404 of the Sarbanes-Oxley Act of 2002. Accrued salaries were up due to a higher estimated fiscal 2007 discretionary bonus accrual.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Net cash used in investing activities</w:t>
      </w:r>
      <w:bookmarkStart w:id="721" w:name="TAB259"/>
      <w:bookmarkEnd w:id="721"/>
      <w:r>
        <w:rPr>
          <w:color w:val="000000"/>
          <w:spacing w:val="559"/>
        </w:rPr>
        <w:t>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Cash used in investing activities was $9,806,000 in the first six months of fiscal 2008 compared to $3,220,000 in the first six months of fiscal 2007. In the first six months of fiscal 2008, more cash was used for purchases of investment securities as compared to the first six months of fiscal 2007. We have changed our investment strategy to allocate a greater portion of our financial resources to investments versus cash. Purchases and dispositions of investment securities in both periods are also subject to variations in the timing of investment maturities. Capital expenditures were $3,828,000 in the first six months of fiscal 2008 compared to $4,098,000 in the same period of fiscal 2007.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Net cash used in financing activities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Cash used in financing activities was $559,000 in the first six months of fiscal 2008 compared to $971,000 in the first six months of fiscal 2007. Dividend payments were $1,678,000 in the first six months of fiscal 2008, compared to $1,509,000 in the first six months of fiscal 2007 due to a dividend increase. Conversely, higher stock options exercise activity in the first six months of fiscal 2008 provided $893,000 from the issuance of common stock compared to $496,000 for the same period in fiscal 2007. The increase in stock option exercises also provided an excess tax benefit of $238,000 in the first six months of fiscal 2008 compared to $86,000 in the same period of fiscal 2007.</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Other</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Fonts w:ascii="Times New Roman" w:hAnsi="Times New Roman"/>
          <w:sz w:val="20"/>
        </w:rPr>
        <w:t>Total cash and investment balances held by our foreign subsidiaries at January 31, 2008 and 2007 were $1,372,000 and $848,000, respectively.</w:t>
      </w:r>
      <w:r>
        <w:rPr/>
        <w:t xml:space="preserve"> </w:t>
      </w:r>
      <w:r>
        <w:rPr>
          <w:rFonts w:ascii="Times New Roman" w:hAnsi="Times New Roman"/>
          <w:sz w:val="20"/>
        </w:rPr>
        <w:t xml:space="preserve">Our foreign subsidiaries’ investment balances increased due to higher net income. </w:t>
      </w:r>
    </w:p>
    <w:p>
      <w:pPr>
        <w:pStyle w:val="TextBody"/>
        <w:spacing w:lineRule="auto" w:line="300" w:before="0" w:after="0"/>
        <w:ind w:left="0" w:right="0" w:hanging="0"/>
        <w:jc w:val="left"/>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As part of our normal course of business, we guarantee certain debts and trade payables of our wholly owned subsidiaries. These arrangements are made at the request of the subsidiaries’ creditors because separate financial statements are not distributed for the wholly owned subsidiaries. As of January 31, 2008, the value of these guarantees was $2,500,000 of long-term debt.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On January 27, 2006, we entered into a $15,000,000 unsecured revolving credit agreement with Harris N.A. (“Harris”) that is effective until January 27, 2009. The credit agreement provides that we may select a variable rate based on either Harris’ prime rate or a LIBOR-based rate, plus a margin which varies depending on our debt to earnings ratio, or a fixed rate as agreed between us and Harris. At January 31, 2008, the variable rates would have been 6.0% for the Harris’ prime-based rate or 3.5% for the LIBOR-based rate. The credit agreement contains restrictive covenants that, among other things and under various conditions (including a limitation on capital expenditures), limit our ability to incur additional indebtedness or to dispose of assets. The agreement also requires us to maintain a minimum fixed coverage ratio and a minimum consolidated net worth. As of January 31, 2008 and 2007, we had $15,000,000 available under this credit facility and we were in compliance with its covenants.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We believe that cash flow from operations, availability under our revolving credit facility and current cash and investment balances will provide adequate cash funds for foreseeable working capital needs, capital expenditures at existing facilities and debt service obligations for at least the next 12 months. Our ability to fund operations, to make planned capital expenditures, to make scheduled debt payments and to remain in compliance with all of the financial covenants under debt agreements, including, but not limited to, the credit agreement, depends on our future operating performance, which, in turn, is subject to prevailing economic conditions and to financial, business and other factors. The timing and size of any new business ventures or acquisitions that we complete may also impact the cash requirements.</w:t>
      </w:r>
    </w:p>
    <w:p>
      <w:pPr>
        <w:pStyle w:val="TextBody"/>
        <w:spacing w:lineRule="auto" w:line="300"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22" w:name="PGBRK19"/>
      <w:bookmarkStart w:id="723" w:name="PGBRK19"/>
      <w:bookmarkEnd w:id="7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4" w:name="FTR19"/>
      <w:bookmarkStart w:id="725" w:name="FTR19"/>
      <w:bookmarkEnd w:id="7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6" w:name="GLFTR19"/>
      <w:bookmarkStart w:id="727" w:name="GLFTR19"/>
      <w:bookmarkEnd w:id="7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728" w:name="PN19"/>
      <w:bookmarkEnd w:id="728"/>
      <w:r>
        <w:rPr>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9" w:name="HDR19"/>
      <w:bookmarkStart w:id="730" w:name="HDR19"/>
      <w:bookmarkEnd w:id="7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1" w:name="GLHDR19"/>
      <w:bookmarkStart w:id="732" w:name="GLHDR19"/>
      <w:bookmarkEnd w:id="7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Our capital requirements are subject to change as business conditions warrant and opportunities arise. The tables in the following subsection summarize our contractual obligations and commercial commitments at January 31, 2008 for the time frames indicated.</w:t>
      </w:r>
    </w:p>
    <w:p>
      <w:pPr>
        <w:pStyle w:val="TextBody"/>
        <w:spacing w:lineRule="auto" w:line="300" w:before="0" w:after="0"/>
        <w:ind w:left="0" w:right="0" w:hanging="0"/>
        <w:jc w:val="both"/>
        <w:rPr/>
      </w:pPr>
      <w:r>
        <w:rPr/>
      </w:r>
    </w:p>
    <w:p>
      <w:pPr>
        <w:pStyle w:val="TextBody"/>
        <w:spacing w:lineRule="auto" w:line="300" w:before="0" w:after="0"/>
        <w:ind w:left="0" w:right="0" w:hanging="0"/>
        <w:jc w:val="left"/>
        <w:rPr/>
      </w:pPr>
      <w:r>
        <w:rPr>
          <w:rStyle w:val="StrongEmphasis"/>
          <w:rFonts w:ascii="Times New Roman" w:hAnsi="Times New Roman"/>
          <w:sz w:val="20"/>
          <w:u w:val="single"/>
        </w:rPr>
        <w:t>CONTRACTUAL OBLIGATIONS AND COMMERCIAL COMMITMENTS</w:t>
      </w:r>
    </w:p>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733" w:name="ftable17"/>
      <w:bookmarkStart w:id="734" w:name="ftable17"/>
      <w:bookmarkEnd w:id="734"/>
    </w:p>
    <w:tbl>
      <w:tblPr>
        <w:tblW w:w="5000" w:type="pct"/>
        <w:jc w:val="left"/>
        <w:tblInd w:w="0" w:type="dxa"/>
        <w:tblCellMar>
          <w:top w:w="0" w:type="dxa"/>
          <w:left w:w="0" w:type="dxa"/>
          <w:bottom w:w="28" w:type="dxa"/>
          <w:right w:w="0" w:type="dxa"/>
        </w:tblCellMar>
      </w:tblPr>
      <w:tblGrid>
        <w:gridCol w:w="3462"/>
        <w:gridCol w:w="162"/>
        <w:gridCol w:w="129"/>
        <w:gridCol w:w="1080"/>
        <w:gridCol w:w="96"/>
        <w:gridCol w:w="129"/>
        <w:gridCol w:w="1080"/>
        <w:gridCol w:w="96"/>
        <w:gridCol w:w="129"/>
        <w:gridCol w:w="1080"/>
        <w:gridCol w:w="96"/>
        <w:gridCol w:w="129"/>
        <w:gridCol w:w="1079"/>
        <w:gridCol w:w="96"/>
        <w:gridCol w:w="133"/>
        <w:gridCol w:w="1112"/>
        <w:gridCol w:w="117"/>
      </w:tblGrid>
      <w:tr>
        <w:trPr/>
        <w:tc>
          <w:tcPr>
            <w:tcW w:w="3462" w:type="dxa"/>
            <w:tcBorders>
              <w:bottom w:val="single" w:sz="4" w:space="0" w:color="FFFFFF"/>
            </w:tcBorders>
            <w:shd w:fill="auto" w:val="clear"/>
            <w:vAlign w:val="bottom"/>
          </w:tcPr>
          <w:p>
            <w:pPr>
              <w:pStyle w:val="TableContents"/>
              <w:spacing w:before="0" w:after="283"/>
              <w:rPr/>
            </w:pPr>
            <w:r>
              <w:rPr/>
              <w:t> </w:t>
            </w:r>
          </w:p>
        </w:tc>
        <w:tc>
          <w:tcPr>
            <w:tcW w:w="162" w:type="dxa"/>
            <w:tcBorders>
              <w:bottom w:val="single" w:sz="4" w:space="0" w:color="FFFFFF"/>
            </w:tcBorders>
            <w:shd w:fill="auto" w:val="clear"/>
            <w:vAlign w:val="center"/>
          </w:tcPr>
          <w:p>
            <w:pPr>
              <w:pStyle w:val="TableContents"/>
              <w:spacing w:before="0" w:after="283"/>
              <w:rPr/>
            </w:pPr>
            <w:r>
              <w:rPr/>
              <w:t> </w:t>
            </w:r>
          </w:p>
        </w:tc>
        <w:tc>
          <w:tcPr>
            <w:tcW w:w="6464" w:type="dxa"/>
            <w:gridSpan w:val="14"/>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Payments Due by Period</w:t>
            </w:r>
          </w:p>
        </w:tc>
        <w:tc>
          <w:tcPr>
            <w:tcW w:w="117" w:type="dxa"/>
            <w:tcBorders>
              <w:bottom w:val="single" w:sz="4" w:space="0" w:color="FFFFFF"/>
            </w:tcBorders>
            <w:shd w:fill="auto" w:val="clear"/>
            <w:vAlign w:val="bottom"/>
          </w:tcPr>
          <w:p>
            <w:pPr>
              <w:pStyle w:val="TableContents"/>
              <w:spacing w:before="0" w:after="283"/>
              <w:jc w:val="left"/>
              <w:rPr/>
            </w:pPr>
            <w:r>
              <w:rPr/>
              <w:t> </w:t>
            </w:r>
          </w:p>
        </w:tc>
      </w:tr>
      <w:tr>
        <w:trPr/>
        <w:tc>
          <w:tcPr>
            <w:tcW w:w="3462" w:type="dxa"/>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Contractual </w:t>
            </w:r>
          </w:p>
          <w:p>
            <w:pPr>
              <w:pStyle w:val="TableContents"/>
              <w:spacing w:lineRule="auto" w:line="300" w:before="0" w:after="0"/>
              <w:ind w:left="0" w:right="0" w:hanging="0"/>
              <w:jc w:val="center"/>
              <w:rPr/>
            </w:pPr>
            <w:r>
              <w:rPr>
                <w:rStyle w:val="StrongEmphasis"/>
                <w:rFonts w:ascii="Times New Roman" w:hAnsi="Times New Roman"/>
                <w:sz w:val="20"/>
              </w:rPr>
              <w:t>Obligations</w:t>
            </w:r>
          </w:p>
        </w:tc>
        <w:tc>
          <w:tcPr>
            <w:tcW w:w="162" w:type="dxa"/>
            <w:tcBorders>
              <w:bottom w:val="single" w:sz="4" w:space="0" w:color="FFFFFF"/>
            </w:tcBorders>
            <w:shd w:fill="auto" w:val="clear"/>
            <w:vAlign w:val="center"/>
          </w:tcPr>
          <w:p>
            <w:pPr>
              <w:pStyle w:val="TableContents"/>
              <w:spacing w:before="0" w:after="283"/>
              <w:rPr/>
            </w:pPr>
            <w:r>
              <w:rPr/>
              <w:t> </w:t>
            </w:r>
          </w:p>
        </w:tc>
        <w:tc>
          <w:tcPr>
            <w:tcW w:w="1209"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Total</w:t>
            </w:r>
          </w:p>
        </w:tc>
        <w:tc>
          <w:tcPr>
            <w:tcW w:w="96" w:type="dxa"/>
            <w:tcBorders>
              <w:bottom w:val="single" w:sz="4" w:space="0" w:color="FFFFFF"/>
            </w:tcBorders>
            <w:shd w:fill="auto" w:val="clear"/>
            <w:vAlign w:val="bottom"/>
          </w:tcPr>
          <w:p>
            <w:pPr>
              <w:pStyle w:val="TableContents"/>
              <w:spacing w:before="0" w:after="283"/>
              <w:jc w:val="left"/>
              <w:rPr/>
            </w:pPr>
            <w:r>
              <w:rPr/>
              <w:t> </w:t>
            </w:r>
          </w:p>
        </w:tc>
        <w:tc>
          <w:tcPr>
            <w:tcW w:w="1209"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Less Than 1 </w:t>
            </w:r>
          </w:p>
          <w:p>
            <w:pPr>
              <w:pStyle w:val="TableContents"/>
              <w:spacing w:lineRule="auto" w:line="300" w:before="0" w:after="0"/>
              <w:ind w:left="0" w:right="0" w:hanging="0"/>
              <w:jc w:val="center"/>
              <w:rPr/>
            </w:pPr>
            <w:r>
              <w:rPr>
                <w:rStyle w:val="StrongEmphasis"/>
                <w:rFonts w:ascii="Times New Roman" w:hAnsi="Times New Roman"/>
                <w:sz w:val="20"/>
              </w:rPr>
              <w:t>Year</w:t>
            </w:r>
          </w:p>
        </w:tc>
        <w:tc>
          <w:tcPr>
            <w:tcW w:w="96" w:type="dxa"/>
            <w:tcBorders>
              <w:bottom w:val="single" w:sz="4" w:space="0" w:color="FFFFFF"/>
            </w:tcBorders>
            <w:shd w:fill="auto" w:val="clear"/>
            <w:vAlign w:val="bottom"/>
          </w:tcPr>
          <w:p>
            <w:pPr>
              <w:pStyle w:val="TableContents"/>
              <w:spacing w:before="0" w:after="283"/>
              <w:jc w:val="left"/>
              <w:rPr/>
            </w:pPr>
            <w:r>
              <w:rPr/>
              <w:t> </w:t>
            </w:r>
          </w:p>
        </w:tc>
        <w:tc>
          <w:tcPr>
            <w:tcW w:w="1209"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1 – 3 Years</w:t>
            </w:r>
          </w:p>
        </w:tc>
        <w:tc>
          <w:tcPr>
            <w:tcW w:w="96" w:type="dxa"/>
            <w:tcBorders>
              <w:bottom w:val="single" w:sz="4" w:space="0" w:color="FFFFFF"/>
            </w:tcBorders>
            <w:shd w:fill="auto" w:val="clear"/>
            <w:vAlign w:val="bottom"/>
          </w:tcPr>
          <w:p>
            <w:pPr>
              <w:pStyle w:val="TableContents"/>
              <w:spacing w:before="0" w:after="283"/>
              <w:jc w:val="left"/>
              <w:rPr/>
            </w:pPr>
            <w:r>
              <w:rPr/>
              <w:t> </w:t>
            </w:r>
          </w:p>
        </w:tc>
        <w:tc>
          <w:tcPr>
            <w:tcW w:w="1208"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4 – 5 Years</w:t>
            </w:r>
          </w:p>
        </w:tc>
        <w:tc>
          <w:tcPr>
            <w:tcW w:w="96" w:type="dxa"/>
            <w:tcBorders>
              <w:bottom w:val="single" w:sz="4" w:space="0" w:color="FFFFFF"/>
            </w:tcBorders>
            <w:shd w:fill="auto" w:val="clear"/>
            <w:vAlign w:val="bottom"/>
          </w:tcPr>
          <w:p>
            <w:pPr>
              <w:pStyle w:val="TableContents"/>
              <w:spacing w:before="0" w:after="283"/>
              <w:jc w:val="left"/>
              <w:rPr/>
            </w:pPr>
            <w:r>
              <w:rPr/>
              <w:t> </w:t>
            </w:r>
          </w:p>
        </w:tc>
        <w:tc>
          <w:tcPr>
            <w:tcW w:w="1245"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After 5 Years</w:t>
            </w:r>
          </w:p>
        </w:tc>
        <w:tc>
          <w:tcPr>
            <w:tcW w:w="117" w:type="dxa"/>
            <w:tcBorders>
              <w:bottom w:val="single" w:sz="4" w:space="0" w:color="FFFFFF"/>
            </w:tcBorders>
            <w:shd w:fill="auto" w:val="clear"/>
            <w:vAlign w:val="bottom"/>
          </w:tcPr>
          <w:p>
            <w:pPr>
              <w:pStyle w:val="TableContents"/>
              <w:spacing w:before="0" w:after="283"/>
              <w:jc w:val="left"/>
              <w:rPr/>
            </w:pPr>
            <w:r>
              <w:rPr/>
              <w:t> </w:t>
            </w:r>
          </w:p>
        </w:tc>
      </w:tr>
      <w:tr>
        <w:trPr/>
        <w:tc>
          <w:tcPr>
            <w:tcW w:w="3462"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Long-Term Debt</w:t>
            </w:r>
          </w:p>
        </w:tc>
        <w:tc>
          <w:tcPr>
            <w:tcW w:w="162" w:type="dxa"/>
            <w:tcBorders/>
            <w:shd w:fill="CCFFCC" w:val="clear"/>
            <w:tcMar>
              <w:bottom w:w="0" w:type="dxa"/>
            </w:tcMar>
            <w:vAlign w:val="center"/>
          </w:tcPr>
          <w:p>
            <w:pPr>
              <w:pStyle w:val="TableContents"/>
              <w:spacing w:before="0" w:after="283"/>
              <w:rPr/>
            </w:pPr>
            <w:r>
              <w:rPr/>
              <w:t> </w:t>
            </w:r>
          </w:p>
        </w:tc>
        <w:tc>
          <w:tcPr>
            <w:tcW w:w="129"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35" w:name="TAB1414"/>
            <w:bookmarkEnd w:id="735"/>
            <w:r>
              <w:rPr>
                <w:rFonts w:ascii="Times New Roman" w:hAnsi="Times New Roman"/>
                <w:sz w:val="20"/>
              </w:rPr>
              <w:t>$</w:t>
            </w:r>
          </w:p>
        </w:tc>
        <w:tc>
          <w:tcPr>
            <w:tcW w:w="1080"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36" w:name="TAB1415"/>
            <w:bookmarkEnd w:id="736"/>
            <w:r>
              <w:rPr>
                <w:rFonts w:ascii="Times New Roman" w:hAnsi="Times New Roman"/>
                <w:sz w:val="20"/>
              </w:rPr>
              <w:t>31,080,000</w:t>
            </w:r>
          </w:p>
        </w:tc>
        <w:tc>
          <w:tcPr>
            <w:tcW w:w="96" w:type="dxa"/>
            <w:tcBorders/>
            <w:shd w:fill="CCFFCC" w:val="clear"/>
            <w:tcMar>
              <w:bottom w:w="0" w:type="dxa"/>
            </w:tcMar>
            <w:vAlign w:val="bottom"/>
          </w:tcPr>
          <w:p>
            <w:pPr>
              <w:pStyle w:val="TableContents"/>
              <w:spacing w:before="0" w:after="283"/>
              <w:jc w:val="left"/>
              <w:rPr/>
            </w:pPr>
            <w:r>
              <w:rPr/>
              <w:t> </w:t>
            </w:r>
          </w:p>
        </w:tc>
        <w:tc>
          <w:tcPr>
            <w:tcW w:w="129"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37" w:name="TAB1416"/>
            <w:bookmarkEnd w:id="737"/>
            <w:r>
              <w:rPr>
                <w:rFonts w:ascii="Times New Roman" w:hAnsi="Times New Roman"/>
                <w:sz w:val="20"/>
              </w:rPr>
              <w:t>$</w:t>
            </w:r>
          </w:p>
        </w:tc>
        <w:tc>
          <w:tcPr>
            <w:tcW w:w="1080"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38" w:name="TAB1417"/>
            <w:bookmarkEnd w:id="738"/>
            <w:r>
              <w:rPr>
                <w:rFonts w:ascii="Times New Roman" w:hAnsi="Times New Roman"/>
                <w:sz w:val="20"/>
              </w:rPr>
              <w:t>8,080,000</w:t>
            </w:r>
          </w:p>
        </w:tc>
        <w:tc>
          <w:tcPr>
            <w:tcW w:w="96" w:type="dxa"/>
            <w:tcBorders/>
            <w:shd w:fill="CCFFCC" w:val="clear"/>
            <w:tcMar>
              <w:bottom w:w="0" w:type="dxa"/>
            </w:tcMar>
            <w:vAlign w:val="bottom"/>
          </w:tcPr>
          <w:p>
            <w:pPr>
              <w:pStyle w:val="TableContents"/>
              <w:spacing w:before="0" w:after="283"/>
              <w:jc w:val="left"/>
              <w:rPr/>
            </w:pPr>
            <w:r>
              <w:rPr/>
              <w:t> </w:t>
            </w:r>
          </w:p>
        </w:tc>
        <w:tc>
          <w:tcPr>
            <w:tcW w:w="129"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80"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6,200,000</w:t>
            </w:r>
          </w:p>
        </w:tc>
        <w:tc>
          <w:tcPr>
            <w:tcW w:w="96" w:type="dxa"/>
            <w:tcBorders/>
            <w:shd w:fill="CCFFCC" w:val="clear"/>
            <w:tcMar>
              <w:bottom w:w="0" w:type="dxa"/>
            </w:tcMar>
            <w:vAlign w:val="bottom"/>
          </w:tcPr>
          <w:p>
            <w:pPr>
              <w:pStyle w:val="TableContents"/>
              <w:spacing w:before="0" w:after="283"/>
              <w:jc w:val="left"/>
              <w:rPr/>
            </w:pPr>
            <w:r>
              <w:rPr/>
              <w:t> </w:t>
            </w:r>
          </w:p>
        </w:tc>
        <w:tc>
          <w:tcPr>
            <w:tcW w:w="129"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7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7,900,000</w:t>
            </w:r>
          </w:p>
        </w:tc>
        <w:tc>
          <w:tcPr>
            <w:tcW w:w="96" w:type="dxa"/>
            <w:tcBorders/>
            <w:shd w:fill="CCFFCC" w:val="clear"/>
            <w:tcMar>
              <w:bottom w:w="0" w:type="dxa"/>
            </w:tcMar>
            <w:vAlign w:val="bottom"/>
          </w:tcPr>
          <w:p>
            <w:pPr>
              <w:pStyle w:val="TableContents"/>
              <w:spacing w:before="0" w:after="283"/>
              <w:jc w:val="left"/>
              <w:rPr/>
            </w:pPr>
            <w:r>
              <w:rPr/>
              <w:t> </w:t>
            </w:r>
          </w:p>
        </w:tc>
        <w:tc>
          <w:tcPr>
            <w:tcW w:w="133"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39" w:name="TAB1418"/>
            <w:bookmarkEnd w:id="739"/>
            <w:r>
              <w:rPr>
                <w:rFonts w:ascii="Times New Roman" w:hAnsi="Times New Roman"/>
                <w:sz w:val="20"/>
              </w:rPr>
              <w:t>$</w:t>
            </w:r>
          </w:p>
        </w:tc>
        <w:tc>
          <w:tcPr>
            <w:tcW w:w="111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40" w:name="TAB1419"/>
            <w:bookmarkEnd w:id="740"/>
            <w:r>
              <w:rPr>
                <w:rFonts w:ascii="Times New Roman" w:hAnsi="Times New Roman"/>
                <w:sz w:val="20"/>
              </w:rPr>
              <w:t>8,900,000</w:t>
            </w:r>
          </w:p>
        </w:tc>
        <w:tc>
          <w:tcPr>
            <w:tcW w:w="117" w:type="dxa"/>
            <w:tcBorders/>
            <w:shd w:fill="CCFFCC" w:val="clear"/>
            <w:tcMar>
              <w:bottom w:w="0" w:type="dxa"/>
            </w:tcMar>
            <w:vAlign w:val="bottom"/>
          </w:tcPr>
          <w:p>
            <w:pPr>
              <w:pStyle w:val="TableContents"/>
              <w:spacing w:before="0" w:after="283"/>
              <w:jc w:val="left"/>
              <w:rPr/>
            </w:pPr>
            <w:r>
              <w:rPr/>
              <w:t> </w:t>
            </w:r>
          </w:p>
        </w:tc>
      </w:tr>
      <w:tr>
        <w:trPr/>
        <w:tc>
          <w:tcPr>
            <w:tcW w:w="346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Interest on Long-Term Debt</w:t>
            </w:r>
          </w:p>
        </w:tc>
        <w:tc>
          <w:tcPr>
            <w:tcW w:w="162" w:type="dxa"/>
            <w:tcBorders/>
            <w:shd w:fill="FFFFFF" w:val="clear"/>
            <w:tcMar>
              <w:bottom w:w="0" w:type="dxa"/>
            </w:tcMar>
            <w:vAlign w:val="center"/>
          </w:tcPr>
          <w:p>
            <w:pPr>
              <w:pStyle w:val="TableContents"/>
              <w:spacing w:before="0" w:after="283"/>
              <w:rPr/>
            </w:pPr>
            <w:r>
              <w:rPr/>
              <w:t> </w:t>
            </w:r>
          </w:p>
        </w:tc>
        <w:tc>
          <w:tcPr>
            <w:tcW w:w="129" w:type="dxa"/>
            <w:tcBorders/>
            <w:shd w:fill="FFFFFF" w:val="clear"/>
            <w:tcMar>
              <w:bottom w:w="0" w:type="dxa"/>
            </w:tcMar>
            <w:vAlign w:val="bottom"/>
          </w:tcPr>
          <w:p>
            <w:pPr>
              <w:pStyle w:val="TableContents"/>
              <w:spacing w:before="0" w:after="283"/>
              <w:jc w:val="left"/>
              <w:rPr/>
            </w:pPr>
            <w:r>
              <w:rPr/>
              <w:t> </w:t>
            </w:r>
          </w:p>
        </w:tc>
        <w:tc>
          <w:tcPr>
            <w:tcW w:w="108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41" w:name="TAB1420"/>
            <w:bookmarkEnd w:id="741"/>
            <w:r>
              <w:rPr>
                <w:rFonts w:ascii="Times New Roman" w:hAnsi="Times New Roman"/>
                <w:sz w:val="20"/>
              </w:rPr>
              <w:t xml:space="preserve">6,775,000 </w:t>
            </w:r>
          </w:p>
        </w:tc>
        <w:tc>
          <w:tcPr>
            <w:tcW w:w="96" w:type="dxa"/>
            <w:tcBorders/>
            <w:shd w:fill="FFFFFF" w:val="clear"/>
            <w:tcMar>
              <w:bottom w:w="0" w:type="dxa"/>
            </w:tcMar>
            <w:vAlign w:val="bottom"/>
          </w:tcPr>
          <w:p>
            <w:pPr>
              <w:pStyle w:val="TableContents"/>
              <w:spacing w:before="0" w:after="283"/>
              <w:jc w:val="left"/>
              <w:rPr/>
            </w:pPr>
            <w:r>
              <w:rPr/>
              <w:t> </w:t>
            </w:r>
          </w:p>
        </w:tc>
        <w:tc>
          <w:tcPr>
            <w:tcW w:w="129" w:type="dxa"/>
            <w:tcBorders/>
            <w:shd w:fill="FFFFFF" w:val="clear"/>
            <w:tcMar>
              <w:bottom w:w="0" w:type="dxa"/>
            </w:tcMar>
            <w:vAlign w:val="bottom"/>
          </w:tcPr>
          <w:p>
            <w:pPr>
              <w:pStyle w:val="TableContents"/>
              <w:spacing w:before="0" w:after="283"/>
              <w:jc w:val="left"/>
              <w:rPr/>
            </w:pPr>
            <w:r>
              <w:rPr/>
              <w:t> </w:t>
            </w:r>
          </w:p>
        </w:tc>
        <w:tc>
          <w:tcPr>
            <w:tcW w:w="108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42" w:name="TAB1421"/>
            <w:bookmarkEnd w:id="742"/>
            <w:r>
              <w:rPr>
                <w:rFonts w:ascii="Times New Roman" w:hAnsi="Times New Roman"/>
                <w:sz w:val="20"/>
              </w:rPr>
              <w:t>1,730,000</w:t>
            </w:r>
          </w:p>
        </w:tc>
        <w:tc>
          <w:tcPr>
            <w:tcW w:w="96" w:type="dxa"/>
            <w:tcBorders/>
            <w:shd w:fill="FFFFFF" w:val="clear"/>
            <w:tcMar>
              <w:bottom w:w="0" w:type="dxa"/>
            </w:tcMar>
            <w:vAlign w:val="bottom"/>
          </w:tcPr>
          <w:p>
            <w:pPr>
              <w:pStyle w:val="TableContents"/>
              <w:spacing w:before="0" w:after="283"/>
              <w:jc w:val="left"/>
              <w:rPr/>
            </w:pPr>
            <w:r>
              <w:rPr/>
              <w:t> </w:t>
            </w:r>
          </w:p>
        </w:tc>
        <w:tc>
          <w:tcPr>
            <w:tcW w:w="129" w:type="dxa"/>
            <w:tcBorders/>
            <w:shd w:fill="FFFFFF" w:val="clear"/>
            <w:tcMar>
              <w:bottom w:w="0" w:type="dxa"/>
            </w:tcMar>
            <w:vAlign w:val="bottom"/>
          </w:tcPr>
          <w:p>
            <w:pPr>
              <w:pStyle w:val="TableContents"/>
              <w:spacing w:before="0" w:after="283"/>
              <w:jc w:val="left"/>
              <w:rPr/>
            </w:pPr>
            <w:r>
              <w:rPr/>
              <w:t> </w:t>
            </w:r>
          </w:p>
        </w:tc>
        <w:tc>
          <w:tcPr>
            <w:tcW w:w="108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43" w:name="TAB1422"/>
            <w:bookmarkEnd w:id="743"/>
            <w:r>
              <w:rPr>
                <w:rFonts w:ascii="Times New Roman" w:hAnsi="Times New Roman"/>
                <w:sz w:val="20"/>
              </w:rPr>
              <w:t>2,601,000</w:t>
            </w:r>
          </w:p>
        </w:tc>
        <w:tc>
          <w:tcPr>
            <w:tcW w:w="96" w:type="dxa"/>
            <w:tcBorders/>
            <w:shd w:fill="FFFFFF" w:val="clear"/>
            <w:tcMar>
              <w:bottom w:w="0" w:type="dxa"/>
            </w:tcMar>
            <w:vAlign w:val="bottom"/>
          </w:tcPr>
          <w:p>
            <w:pPr>
              <w:pStyle w:val="TableContents"/>
              <w:spacing w:before="0" w:after="283"/>
              <w:jc w:val="left"/>
              <w:rPr/>
            </w:pPr>
            <w:r>
              <w:rPr/>
              <w:t> </w:t>
            </w:r>
          </w:p>
        </w:tc>
        <w:tc>
          <w:tcPr>
            <w:tcW w:w="129" w:type="dxa"/>
            <w:tcBorders/>
            <w:shd w:fill="FFFFFF" w:val="clear"/>
            <w:tcMar>
              <w:bottom w:w="0" w:type="dxa"/>
            </w:tcMar>
            <w:vAlign w:val="bottom"/>
          </w:tcPr>
          <w:p>
            <w:pPr>
              <w:pStyle w:val="TableContents"/>
              <w:spacing w:before="0" w:after="283"/>
              <w:jc w:val="left"/>
              <w:rPr/>
            </w:pPr>
            <w:r>
              <w:rPr/>
              <w:t> </w:t>
            </w:r>
          </w:p>
        </w:tc>
        <w:tc>
          <w:tcPr>
            <w:tcW w:w="107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44" w:name="TAB1423"/>
            <w:bookmarkEnd w:id="744"/>
            <w:r>
              <w:rPr>
                <w:rFonts w:ascii="Times New Roman" w:hAnsi="Times New Roman"/>
                <w:sz w:val="20"/>
              </w:rPr>
              <w:t>1,700,000</w:t>
            </w:r>
          </w:p>
        </w:tc>
        <w:tc>
          <w:tcPr>
            <w:tcW w:w="96" w:type="dxa"/>
            <w:tcBorders/>
            <w:shd w:fill="FFFFFF" w:val="clear"/>
            <w:tcMar>
              <w:bottom w:w="0" w:type="dxa"/>
            </w:tcMar>
            <w:vAlign w:val="bottom"/>
          </w:tcPr>
          <w:p>
            <w:pPr>
              <w:pStyle w:val="TableContents"/>
              <w:spacing w:before="0" w:after="283"/>
              <w:jc w:val="left"/>
              <w:rPr/>
            </w:pPr>
            <w:r>
              <w:rPr/>
              <w:t> </w:t>
            </w:r>
          </w:p>
        </w:tc>
        <w:tc>
          <w:tcPr>
            <w:tcW w:w="133" w:type="dxa"/>
            <w:tcBorders/>
            <w:shd w:fill="FFFFFF" w:val="clear"/>
            <w:tcMar>
              <w:bottom w:w="0" w:type="dxa"/>
            </w:tcMar>
            <w:vAlign w:val="bottom"/>
          </w:tcPr>
          <w:p>
            <w:pPr>
              <w:pStyle w:val="TableContents"/>
              <w:spacing w:before="0" w:after="283"/>
              <w:jc w:val="left"/>
              <w:rPr/>
            </w:pPr>
            <w:r>
              <w:rPr/>
              <w:t> </w:t>
            </w:r>
          </w:p>
        </w:tc>
        <w:tc>
          <w:tcPr>
            <w:tcW w:w="111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45" w:name="TAB1424"/>
            <w:bookmarkEnd w:id="745"/>
            <w:r>
              <w:rPr>
                <w:rFonts w:ascii="Times New Roman" w:hAnsi="Times New Roman"/>
                <w:sz w:val="20"/>
              </w:rPr>
              <w:t>744,000</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3462"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Operating Leases</w:t>
            </w:r>
          </w:p>
        </w:tc>
        <w:tc>
          <w:tcPr>
            <w:tcW w:w="162" w:type="dxa"/>
            <w:tcBorders/>
            <w:shd w:fill="CCFFCC" w:val="clear"/>
            <w:tcMar>
              <w:bottom w:w="0" w:type="dxa"/>
            </w:tcMar>
            <w:vAlign w:val="center"/>
          </w:tcPr>
          <w:p>
            <w:pPr>
              <w:pStyle w:val="TableContents"/>
              <w:spacing w:before="0" w:after="283"/>
              <w:rPr/>
            </w:pPr>
            <w:r>
              <w:rPr/>
              <w:t> </w:t>
            </w:r>
          </w:p>
        </w:tc>
        <w:tc>
          <w:tcPr>
            <w:tcW w:w="129" w:type="dxa"/>
            <w:tcBorders/>
            <w:shd w:fill="CCFFCC" w:val="clear"/>
            <w:tcMar>
              <w:bottom w:w="0" w:type="dxa"/>
            </w:tcMar>
            <w:vAlign w:val="bottom"/>
          </w:tcPr>
          <w:p>
            <w:pPr>
              <w:pStyle w:val="TableContents"/>
              <w:spacing w:before="0" w:after="283"/>
              <w:jc w:val="left"/>
              <w:rPr/>
            </w:pPr>
            <w:r>
              <w:rPr/>
              <w:t> </w:t>
            </w:r>
          </w:p>
        </w:tc>
        <w:tc>
          <w:tcPr>
            <w:tcW w:w="1080"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12,881,000</w:t>
            </w:r>
          </w:p>
        </w:tc>
        <w:tc>
          <w:tcPr>
            <w:tcW w:w="96" w:type="dxa"/>
            <w:tcBorders/>
            <w:shd w:fill="CCFFCC" w:val="clear"/>
            <w:tcMar>
              <w:bottom w:w="0" w:type="dxa"/>
            </w:tcMar>
            <w:vAlign w:val="bottom"/>
          </w:tcPr>
          <w:p>
            <w:pPr>
              <w:pStyle w:val="TableContents"/>
              <w:spacing w:before="0" w:after="283"/>
              <w:jc w:val="left"/>
              <w:rPr/>
            </w:pPr>
            <w:r>
              <w:rPr/>
              <w:t> </w:t>
            </w:r>
          </w:p>
        </w:tc>
        <w:tc>
          <w:tcPr>
            <w:tcW w:w="129" w:type="dxa"/>
            <w:tcBorders/>
            <w:shd w:fill="CCFFCC" w:val="clear"/>
            <w:tcMar>
              <w:bottom w:w="0" w:type="dxa"/>
            </w:tcMar>
            <w:vAlign w:val="bottom"/>
          </w:tcPr>
          <w:p>
            <w:pPr>
              <w:pStyle w:val="TableContents"/>
              <w:spacing w:before="0" w:after="283"/>
              <w:jc w:val="left"/>
              <w:rPr/>
            </w:pPr>
            <w:r>
              <w:rPr/>
              <w:t> </w:t>
            </w:r>
          </w:p>
        </w:tc>
        <w:tc>
          <w:tcPr>
            <w:tcW w:w="1080"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2,412,000</w:t>
            </w:r>
          </w:p>
        </w:tc>
        <w:tc>
          <w:tcPr>
            <w:tcW w:w="96" w:type="dxa"/>
            <w:tcBorders/>
            <w:shd w:fill="CCFFCC" w:val="clear"/>
            <w:tcMar>
              <w:bottom w:w="0" w:type="dxa"/>
            </w:tcMar>
            <w:vAlign w:val="bottom"/>
          </w:tcPr>
          <w:p>
            <w:pPr>
              <w:pStyle w:val="TableContents"/>
              <w:spacing w:before="0" w:after="283"/>
              <w:jc w:val="left"/>
              <w:rPr/>
            </w:pPr>
            <w:r>
              <w:rPr/>
              <w:t> </w:t>
            </w:r>
          </w:p>
        </w:tc>
        <w:tc>
          <w:tcPr>
            <w:tcW w:w="129" w:type="dxa"/>
            <w:tcBorders/>
            <w:shd w:fill="CCFFCC" w:val="clear"/>
            <w:tcMar>
              <w:bottom w:w="0" w:type="dxa"/>
            </w:tcMar>
            <w:vAlign w:val="bottom"/>
          </w:tcPr>
          <w:p>
            <w:pPr>
              <w:pStyle w:val="TableContents"/>
              <w:spacing w:before="0" w:after="283"/>
              <w:jc w:val="left"/>
              <w:rPr/>
            </w:pPr>
            <w:r>
              <w:rPr/>
              <w:t> </w:t>
            </w:r>
          </w:p>
        </w:tc>
        <w:tc>
          <w:tcPr>
            <w:tcW w:w="1080"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3,476,000</w:t>
            </w:r>
          </w:p>
        </w:tc>
        <w:tc>
          <w:tcPr>
            <w:tcW w:w="96" w:type="dxa"/>
            <w:tcBorders/>
            <w:shd w:fill="CCFFCC" w:val="clear"/>
            <w:tcMar>
              <w:bottom w:w="0" w:type="dxa"/>
            </w:tcMar>
            <w:vAlign w:val="bottom"/>
          </w:tcPr>
          <w:p>
            <w:pPr>
              <w:pStyle w:val="TableContents"/>
              <w:spacing w:before="0" w:after="283"/>
              <w:jc w:val="left"/>
              <w:rPr/>
            </w:pPr>
            <w:r>
              <w:rPr/>
              <w:t> </w:t>
            </w:r>
          </w:p>
        </w:tc>
        <w:tc>
          <w:tcPr>
            <w:tcW w:w="129" w:type="dxa"/>
            <w:tcBorders/>
            <w:shd w:fill="CCFFCC" w:val="clear"/>
            <w:tcMar>
              <w:bottom w:w="0" w:type="dxa"/>
            </w:tcMar>
            <w:vAlign w:val="bottom"/>
          </w:tcPr>
          <w:p>
            <w:pPr>
              <w:pStyle w:val="TableContents"/>
              <w:spacing w:before="0" w:after="283"/>
              <w:jc w:val="left"/>
              <w:rPr/>
            </w:pPr>
            <w:r>
              <w:rPr/>
              <w:t> </w:t>
            </w:r>
          </w:p>
        </w:tc>
        <w:tc>
          <w:tcPr>
            <w:tcW w:w="107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46" w:name="TAB1425"/>
            <w:bookmarkEnd w:id="746"/>
            <w:r>
              <w:rPr>
                <w:rFonts w:ascii="Times New Roman" w:hAnsi="Times New Roman"/>
                <w:sz w:val="20"/>
              </w:rPr>
              <w:t>2,537,000</w:t>
            </w:r>
          </w:p>
        </w:tc>
        <w:tc>
          <w:tcPr>
            <w:tcW w:w="96" w:type="dxa"/>
            <w:tcBorders/>
            <w:shd w:fill="CCFFCC" w:val="clear"/>
            <w:tcMar>
              <w:bottom w:w="0" w:type="dxa"/>
            </w:tcMar>
            <w:vAlign w:val="bottom"/>
          </w:tcPr>
          <w:p>
            <w:pPr>
              <w:pStyle w:val="TableContents"/>
              <w:spacing w:before="0" w:after="283"/>
              <w:jc w:val="left"/>
              <w:rPr/>
            </w:pPr>
            <w:r>
              <w:rPr/>
              <w:t> </w:t>
            </w:r>
          </w:p>
        </w:tc>
        <w:tc>
          <w:tcPr>
            <w:tcW w:w="133" w:type="dxa"/>
            <w:tcBorders/>
            <w:shd w:fill="CCFFCC" w:val="clear"/>
            <w:tcMar>
              <w:bottom w:w="0" w:type="dxa"/>
            </w:tcMar>
            <w:vAlign w:val="bottom"/>
          </w:tcPr>
          <w:p>
            <w:pPr>
              <w:pStyle w:val="TableContents"/>
              <w:spacing w:before="0" w:after="283"/>
              <w:jc w:val="left"/>
              <w:rPr/>
            </w:pPr>
            <w:r>
              <w:rPr/>
              <w:t> </w:t>
            </w:r>
          </w:p>
        </w:tc>
        <w:tc>
          <w:tcPr>
            <w:tcW w:w="111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4,456,000</w:t>
            </w:r>
          </w:p>
        </w:tc>
        <w:tc>
          <w:tcPr>
            <w:tcW w:w="117" w:type="dxa"/>
            <w:tcBorders/>
            <w:shd w:fill="CCFFCC" w:val="clear"/>
            <w:tcMar>
              <w:bottom w:w="0" w:type="dxa"/>
            </w:tcMar>
            <w:vAlign w:val="bottom"/>
          </w:tcPr>
          <w:p>
            <w:pPr>
              <w:pStyle w:val="TableContents"/>
              <w:spacing w:before="0" w:after="283"/>
              <w:jc w:val="left"/>
              <w:rPr/>
            </w:pPr>
            <w:r>
              <w:rPr/>
              <w:t> </w:t>
            </w:r>
          </w:p>
        </w:tc>
      </w:tr>
      <w:tr>
        <w:trPr/>
        <w:tc>
          <w:tcPr>
            <w:tcW w:w="3462"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Unconditional Purchase Obligations</w:t>
            </w:r>
          </w:p>
        </w:tc>
        <w:tc>
          <w:tcPr>
            <w:tcW w:w="162" w:type="dxa"/>
            <w:tcBorders>
              <w:bottom w:val="single" w:sz="2" w:space="0" w:color="FFFFFF"/>
            </w:tcBorders>
            <w:shd w:fill="FFFFFF" w:val="clear"/>
            <w:vAlign w:val="center"/>
          </w:tcPr>
          <w:p>
            <w:pPr>
              <w:pStyle w:val="TableContents"/>
              <w:spacing w:before="0" w:after="283"/>
              <w:rPr/>
            </w:pPr>
            <w:r>
              <w:rPr/>
              <w:t> </w:t>
            </w:r>
          </w:p>
        </w:tc>
        <w:tc>
          <w:tcPr>
            <w:tcW w:w="129" w:type="dxa"/>
            <w:tcBorders>
              <w:bottom w:val="single" w:sz="2" w:space="0" w:color="000000"/>
            </w:tcBorders>
            <w:shd w:fill="FFFFFF" w:val="clear"/>
            <w:vAlign w:val="bottom"/>
          </w:tcPr>
          <w:p>
            <w:pPr>
              <w:pStyle w:val="TableContents"/>
              <w:spacing w:before="0" w:after="283"/>
              <w:jc w:val="left"/>
              <w:rPr/>
            </w:pPr>
            <w:r>
              <w:rPr/>
              <w:t> </w:t>
            </w:r>
          </w:p>
        </w:tc>
        <w:tc>
          <w:tcPr>
            <w:tcW w:w="1080"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4,088,000</w:t>
            </w:r>
          </w:p>
        </w:tc>
        <w:tc>
          <w:tcPr>
            <w:tcW w:w="96" w:type="dxa"/>
            <w:tcBorders>
              <w:bottom w:val="single" w:sz="2" w:space="0" w:color="FFFFFF"/>
            </w:tcBorders>
            <w:shd w:fill="FFFFFF" w:val="clear"/>
            <w:vAlign w:val="bottom"/>
          </w:tcPr>
          <w:p>
            <w:pPr>
              <w:pStyle w:val="TableContents"/>
              <w:spacing w:before="0" w:after="283"/>
              <w:jc w:val="left"/>
              <w:rPr/>
            </w:pPr>
            <w:r>
              <w:rPr/>
              <w:t> </w:t>
            </w:r>
          </w:p>
        </w:tc>
        <w:tc>
          <w:tcPr>
            <w:tcW w:w="129" w:type="dxa"/>
            <w:tcBorders>
              <w:bottom w:val="single" w:sz="2" w:space="0" w:color="000000"/>
            </w:tcBorders>
            <w:shd w:fill="FFFFFF" w:val="clear"/>
            <w:vAlign w:val="bottom"/>
          </w:tcPr>
          <w:p>
            <w:pPr>
              <w:pStyle w:val="TableContents"/>
              <w:spacing w:before="0" w:after="283"/>
              <w:jc w:val="left"/>
              <w:rPr/>
            </w:pPr>
            <w:r>
              <w:rPr/>
              <w:t> </w:t>
            </w:r>
          </w:p>
        </w:tc>
        <w:tc>
          <w:tcPr>
            <w:tcW w:w="1080"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4,088,000</w:t>
            </w:r>
          </w:p>
        </w:tc>
        <w:tc>
          <w:tcPr>
            <w:tcW w:w="96" w:type="dxa"/>
            <w:tcBorders>
              <w:bottom w:val="single" w:sz="2" w:space="0" w:color="FFFFFF"/>
            </w:tcBorders>
            <w:shd w:fill="FFFFFF" w:val="clear"/>
            <w:vAlign w:val="bottom"/>
          </w:tcPr>
          <w:p>
            <w:pPr>
              <w:pStyle w:val="TableContents"/>
              <w:spacing w:before="0" w:after="283"/>
              <w:jc w:val="left"/>
              <w:rPr/>
            </w:pPr>
            <w:r>
              <w:rPr/>
              <w:t> </w:t>
            </w:r>
          </w:p>
        </w:tc>
        <w:tc>
          <w:tcPr>
            <w:tcW w:w="129" w:type="dxa"/>
            <w:tcBorders>
              <w:bottom w:val="single" w:sz="2" w:space="0" w:color="000000"/>
            </w:tcBorders>
            <w:shd w:fill="FFFFFF" w:val="clear"/>
            <w:vAlign w:val="bottom"/>
          </w:tcPr>
          <w:p>
            <w:pPr>
              <w:pStyle w:val="TableContents"/>
              <w:spacing w:before="0" w:after="283"/>
              <w:jc w:val="left"/>
              <w:rPr/>
            </w:pPr>
            <w:r>
              <w:rPr/>
              <w:t> </w:t>
            </w:r>
          </w:p>
        </w:tc>
        <w:tc>
          <w:tcPr>
            <w:tcW w:w="1080" w:type="dxa"/>
            <w:tcBorders>
              <w:bottom w:val="single" w:sz="2" w:space="0" w:color="000000"/>
            </w:tcBorders>
            <w:shd w:fill="FFFFFF" w:val="clear"/>
            <w:vAlign w:val="bottom"/>
          </w:tcPr>
          <w:p>
            <w:pPr>
              <w:pStyle w:val="TableContents"/>
              <w:spacing w:lineRule="auto" w:line="300" w:before="0" w:after="0"/>
              <w:ind w:left="0" w:right="0" w:hanging="0"/>
              <w:jc w:val="right"/>
              <w:rPr/>
            </w:pPr>
            <w:r>
              <w:rPr/>
              <w:t>—</w:t>
            </w:r>
          </w:p>
        </w:tc>
        <w:tc>
          <w:tcPr>
            <w:tcW w:w="96" w:type="dxa"/>
            <w:tcBorders>
              <w:bottom w:val="single" w:sz="2" w:space="0" w:color="FFFFFF"/>
            </w:tcBorders>
            <w:shd w:fill="FFFFFF" w:val="clear"/>
            <w:vAlign w:val="bottom"/>
          </w:tcPr>
          <w:p>
            <w:pPr>
              <w:pStyle w:val="TableContents"/>
              <w:spacing w:before="0" w:after="283"/>
              <w:jc w:val="left"/>
              <w:rPr/>
            </w:pPr>
            <w:r>
              <w:rPr/>
              <w:t> </w:t>
            </w:r>
          </w:p>
        </w:tc>
        <w:tc>
          <w:tcPr>
            <w:tcW w:w="129" w:type="dxa"/>
            <w:tcBorders>
              <w:bottom w:val="single" w:sz="2" w:space="0" w:color="000000"/>
            </w:tcBorders>
            <w:shd w:fill="FFFFFF" w:val="clear"/>
            <w:vAlign w:val="bottom"/>
          </w:tcPr>
          <w:p>
            <w:pPr>
              <w:pStyle w:val="TableContents"/>
              <w:spacing w:before="0" w:after="283"/>
              <w:jc w:val="left"/>
              <w:rPr/>
            </w:pPr>
            <w:r>
              <w:rPr/>
              <w:t> </w:t>
            </w:r>
          </w:p>
        </w:tc>
        <w:tc>
          <w:tcPr>
            <w:tcW w:w="1079"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747" w:name="TAB1426"/>
            <w:bookmarkEnd w:id="747"/>
            <w:r>
              <w:rPr/>
              <w:t>—</w:t>
            </w:r>
          </w:p>
        </w:tc>
        <w:tc>
          <w:tcPr>
            <w:tcW w:w="96" w:type="dxa"/>
            <w:tcBorders>
              <w:bottom w:val="single" w:sz="2" w:space="0" w:color="FFFFFF"/>
            </w:tcBorders>
            <w:shd w:fill="FFFFFF" w:val="clear"/>
            <w:vAlign w:val="bottom"/>
          </w:tcPr>
          <w:p>
            <w:pPr>
              <w:pStyle w:val="TableContents"/>
              <w:spacing w:before="0" w:after="283"/>
              <w:jc w:val="left"/>
              <w:rPr/>
            </w:pPr>
            <w:r>
              <w:rPr/>
              <w:t> </w:t>
            </w:r>
          </w:p>
        </w:tc>
        <w:tc>
          <w:tcPr>
            <w:tcW w:w="133" w:type="dxa"/>
            <w:tcBorders>
              <w:bottom w:val="single" w:sz="2" w:space="0" w:color="000000"/>
            </w:tcBorders>
            <w:shd w:fill="FFFFFF" w:val="clear"/>
            <w:vAlign w:val="bottom"/>
          </w:tcPr>
          <w:p>
            <w:pPr>
              <w:pStyle w:val="TableContents"/>
              <w:spacing w:before="0" w:after="283"/>
              <w:jc w:val="left"/>
              <w:rPr/>
            </w:pPr>
            <w:r>
              <w:rPr/>
              <w:t> </w:t>
            </w:r>
          </w:p>
        </w:tc>
        <w:tc>
          <w:tcPr>
            <w:tcW w:w="1112" w:type="dxa"/>
            <w:tcBorders>
              <w:bottom w:val="single" w:sz="2" w:space="0" w:color="000000"/>
            </w:tcBorders>
            <w:shd w:fill="FFFFFF" w:val="clear"/>
            <w:vAlign w:val="bottom"/>
          </w:tcPr>
          <w:p>
            <w:pPr>
              <w:pStyle w:val="TableContents"/>
              <w:spacing w:lineRule="auto" w:line="300" w:before="0" w:after="0"/>
              <w:ind w:left="0" w:right="0" w:hanging="0"/>
              <w:jc w:val="right"/>
              <w:rPr/>
            </w:pPr>
            <w:r>
              <w:rPr/>
              <w:t>—</w:t>
            </w:r>
          </w:p>
        </w:tc>
        <w:tc>
          <w:tcPr>
            <w:tcW w:w="117" w:type="dxa"/>
            <w:tcBorders>
              <w:bottom w:val="single" w:sz="2" w:space="0" w:color="FFFFFF"/>
            </w:tcBorders>
            <w:shd w:fill="FFFFFF" w:val="clear"/>
            <w:vAlign w:val="bottom"/>
          </w:tcPr>
          <w:p>
            <w:pPr>
              <w:pStyle w:val="TableContents"/>
              <w:spacing w:before="0" w:after="283"/>
              <w:jc w:val="left"/>
              <w:rPr/>
            </w:pPr>
            <w:r>
              <w:rPr/>
              <w:t> </w:t>
            </w:r>
          </w:p>
        </w:tc>
      </w:tr>
      <w:tr>
        <w:trPr/>
        <w:tc>
          <w:tcPr>
            <w:tcW w:w="3462"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Total Contractual Cash Obligations</w:t>
            </w:r>
          </w:p>
        </w:tc>
        <w:tc>
          <w:tcPr>
            <w:tcW w:w="162" w:type="dxa"/>
            <w:tcBorders>
              <w:bottom w:val="single" w:sz="2" w:space="0" w:color="CCFFCC"/>
            </w:tcBorders>
            <w:shd w:fill="CCFFCC" w:val="clear"/>
            <w:vAlign w:val="center"/>
          </w:tcPr>
          <w:p>
            <w:pPr>
              <w:pStyle w:val="TableContents"/>
              <w:spacing w:before="0" w:after="283"/>
              <w:rPr/>
            </w:pPr>
            <w:r>
              <w:rPr/>
              <w:t> </w:t>
            </w:r>
          </w:p>
        </w:tc>
        <w:tc>
          <w:tcPr>
            <w:tcW w:w="129"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80"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54,824,000</w:t>
            </w:r>
          </w:p>
        </w:tc>
        <w:tc>
          <w:tcPr>
            <w:tcW w:w="96" w:type="dxa"/>
            <w:tcBorders>
              <w:bottom w:val="single" w:sz="4" w:space="0" w:color="CCFFCC"/>
            </w:tcBorders>
            <w:shd w:fill="CCFFCC" w:val="clear"/>
            <w:vAlign w:val="bottom"/>
          </w:tcPr>
          <w:p>
            <w:pPr>
              <w:pStyle w:val="TableContents"/>
              <w:spacing w:before="0" w:after="283"/>
              <w:jc w:val="left"/>
              <w:rPr/>
            </w:pPr>
            <w:r>
              <w:rPr/>
              <w:t> </w:t>
            </w:r>
          </w:p>
        </w:tc>
        <w:tc>
          <w:tcPr>
            <w:tcW w:w="129"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bookmarkStart w:id="748" w:name="TAB1427"/>
            <w:bookmarkEnd w:id="748"/>
            <w:r>
              <w:rPr>
                <w:rFonts w:ascii="Times New Roman" w:hAnsi="Times New Roman"/>
                <w:sz w:val="20"/>
              </w:rPr>
              <w:t>$</w:t>
            </w:r>
          </w:p>
        </w:tc>
        <w:tc>
          <w:tcPr>
            <w:tcW w:w="1080"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bookmarkStart w:id="749" w:name="TAB1428"/>
            <w:bookmarkEnd w:id="749"/>
            <w:r>
              <w:rPr>
                <w:rFonts w:ascii="Times New Roman" w:hAnsi="Times New Roman"/>
                <w:sz w:val="20"/>
              </w:rPr>
              <w:t>16,310,000</w:t>
            </w:r>
          </w:p>
        </w:tc>
        <w:tc>
          <w:tcPr>
            <w:tcW w:w="96" w:type="dxa"/>
            <w:tcBorders>
              <w:bottom w:val="single" w:sz="4" w:space="0" w:color="CCFFCC"/>
            </w:tcBorders>
            <w:shd w:fill="CCFFCC" w:val="clear"/>
            <w:vAlign w:val="bottom"/>
          </w:tcPr>
          <w:p>
            <w:pPr>
              <w:pStyle w:val="TableContents"/>
              <w:spacing w:before="0" w:after="283"/>
              <w:jc w:val="left"/>
              <w:rPr/>
            </w:pPr>
            <w:r>
              <w:rPr/>
              <w:t> </w:t>
            </w:r>
          </w:p>
        </w:tc>
        <w:tc>
          <w:tcPr>
            <w:tcW w:w="129"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80"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12,277,000</w:t>
            </w:r>
          </w:p>
        </w:tc>
        <w:tc>
          <w:tcPr>
            <w:tcW w:w="96" w:type="dxa"/>
            <w:tcBorders>
              <w:bottom w:val="single" w:sz="4" w:space="0" w:color="CCFFCC"/>
            </w:tcBorders>
            <w:shd w:fill="CCFFCC" w:val="clear"/>
            <w:vAlign w:val="bottom"/>
          </w:tcPr>
          <w:p>
            <w:pPr>
              <w:pStyle w:val="TableContents"/>
              <w:spacing w:before="0" w:after="283"/>
              <w:jc w:val="left"/>
              <w:rPr/>
            </w:pPr>
            <w:r>
              <w:rPr/>
              <w:t> </w:t>
            </w:r>
          </w:p>
        </w:tc>
        <w:tc>
          <w:tcPr>
            <w:tcW w:w="129"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79"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12,137,000</w:t>
            </w:r>
          </w:p>
        </w:tc>
        <w:tc>
          <w:tcPr>
            <w:tcW w:w="96" w:type="dxa"/>
            <w:tcBorders>
              <w:bottom w:val="single" w:sz="4" w:space="0" w:color="CCFFCC"/>
            </w:tcBorders>
            <w:shd w:fill="CCFFCC" w:val="clear"/>
            <w:vAlign w:val="bottom"/>
          </w:tcPr>
          <w:p>
            <w:pPr>
              <w:pStyle w:val="TableContents"/>
              <w:spacing w:before="0" w:after="283"/>
              <w:jc w:val="left"/>
              <w:rPr/>
            </w:pPr>
            <w:r>
              <w:rPr/>
              <w:t> </w:t>
            </w:r>
          </w:p>
        </w:tc>
        <w:tc>
          <w:tcPr>
            <w:tcW w:w="133"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12"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14,100,000</w:t>
            </w:r>
          </w:p>
        </w:tc>
        <w:tc>
          <w:tcPr>
            <w:tcW w:w="117" w:type="dxa"/>
            <w:tcBorders>
              <w:bottom w:val="single" w:sz="4" w:space="0" w:color="CCFFCC"/>
            </w:tcBorders>
            <w:shd w:fill="CCFFCC" w:val="clear"/>
            <w:vAlign w:val="bottom"/>
          </w:tcPr>
          <w:p>
            <w:pPr>
              <w:pStyle w:val="TableContents"/>
              <w:spacing w:before="0" w:after="283"/>
              <w:jc w:val="left"/>
              <w:rPr/>
            </w:pPr>
            <w:r>
              <w:rPr/>
              <w:t> </w:t>
            </w:r>
          </w:p>
        </w:tc>
      </w:tr>
    </w:tbl>
    <w:p>
      <w:pPr>
        <w:pStyle w:val="TextBody"/>
        <w:spacing w:before="0" w:after="0"/>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We are not required to make a contribution to our defined benefit pension plan in fiscal 2008. We have not presented this obligation for future years in the table above because the funding requirement can vary from year to year based on changes in the fair value of plan assets and actuarial assumptions.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As of January 31, 2008, our non-current liability for uncertain tax positions was approximately $200,000, as described in Note 7 of the unaudited condensed consolidated financial statements. We have not presented this obligation in the table above because the timing of future cash flows is dependent on examinations by taxing authorities and can not reasonably be estimated.</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The unconditional purchase obligations represent forward purchase contracts we have entered into for a portion of our natural gas fuel needs for fiscal 2008. As of January 31, 2008, the remaining purchase obligation for fiscal 2008 was $4,088,000 for 470,000 MMBtu. These contracts were entered into in the normal course of business and no contracts were entered into for speculative purposes. </w:t>
      </w:r>
    </w:p>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750" w:name="ftable18"/>
      <w:bookmarkStart w:id="751" w:name="ftable18"/>
      <w:bookmarkEnd w:id="751"/>
    </w:p>
    <w:tbl>
      <w:tblPr>
        <w:tblW w:w="5000" w:type="pct"/>
        <w:jc w:val="left"/>
        <w:tblInd w:w="0" w:type="dxa"/>
        <w:tblCellMar>
          <w:top w:w="0" w:type="dxa"/>
          <w:left w:w="0" w:type="dxa"/>
          <w:bottom w:w="28" w:type="dxa"/>
          <w:right w:w="0" w:type="dxa"/>
        </w:tblCellMar>
      </w:tblPr>
      <w:tblGrid>
        <w:gridCol w:w="2861"/>
        <w:gridCol w:w="135"/>
        <w:gridCol w:w="152"/>
        <w:gridCol w:w="1218"/>
        <w:gridCol w:w="94"/>
        <w:gridCol w:w="152"/>
        <w:gridCol w:w="1218"/>
        <w:gridCol w:w="94"/>
        <w:gridCol w:w="320"/>
        <w:gridCol w:w="952"/>
        <w:gridCol w:w="93"/>
        <w:gridCol w:w="320"/>
        <w:gridCol w:w="952"/>
        <w:gridCol w:w="94"/>
        <w:gridCol w:w="371"/>
        <w:gridCol w:w="1061"/>
        <w:gridCol w:w="118"/>
      </w:tblGrid>
      <w:tr>
        <w:trPr/>
        <w:tc>
          <w:tcPr>
            <w:tcW w:w="2861" w:type="dxa"/>
            <w:tcBorders>
              <w:bottom w:val="single" w:sz="4" w:space="0" w:color="FFFFFF"/>
            </w:tcBorders>
            <w:shd w:fill="auto" w:val="clear"/>
            <w:vAlign w:val="bottom"/>
          </w:tcPr>
          <w:p>
            <w:pPr>
              <w:pStyle w:val="TableContents"/>
              <w:spacing w:before="0" w:after="283"/>
              <w:rPr/>
            </w:pPr>
            <w:r>
              <w:rPr/>
              <w:t> </w:t>
            </w:r>
          </w:p>
        </w:tc>
        <w:tc>
          <w:tcPr>
            <w:tcW w:w="135" w:type="dxa"/>
            <w:tcBorders>
              <w:bottom w:val="single" w:sz="2" w:space="0" w:color="FFFFFF"/>
            </w:tcBorders>
            <w:shd w:fill="auto" w:val="clear"/>
            <w:vAlign w:val="center"/>
          </w:tcPr>
          <w:p>
            <w:pPr>
              <w:pStyle w:val="TableContents"/>
              <w:spacing w:before="0" w:after="283"/>
              <w:rPr/>
            </w:pPr>
            <w:r>
              <w:rPr/>
              <w:t> </w:t>
            </w:r>
          </w:p>
        </w:tc>
        <w:tc>
          <w:tcPr>
            <w:tcW w:w="7091" w:type="dxa"/>
            <w:gridSpan w:val="14"/>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Amount of Commitment Expiration Per Period</w:t>
            </w:r>
          </w:p>
        </w:tc>
        <w:tc>
          <w:tcPr>
            <w:tcW w:w="118" w:type="dxa"/>
            <w:tcBorders>
              <w:bottom w:val="single" w:sz="2" w:space="0" w:color="FFFFFF"/>
            </w:tcBorders>
            <w:shd w:fill="auto" w:val="clear"/>
            <w:vAlign w:val="bottom"/>
          </w:tcPr>
          <w:p>
            <w:pPr>
              <w:pStyle w:val="TableContents"/>
              <w:spacing w:before="0" w:after="283"/>
              <w:jc w:val="left"/>
              <w:rPr/>
            </w:pPr>
            <w:r>
              <w:rPr/>
              <w:t> </w:t>
            </w:r>
          </w:p>
        </w:tc>
      </w:tr>
      <w:tr>
        <w:trPr/>
        <w:tc>
          <w:tcPr>
            <w:tcW w:w="2861" w:type="dxa"/>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Other Commercial </w:t>
            </w:r>
          </w:p>
          <w:p>
            <w:pPr>
              <w:pStyle w:val="TableContents"/>
              <w:spacing w:lineRule="auto" w:line="300" w:before="0" w:after="0"/>
              <w:ind w:left="0" w:right="0" w:hanging="0"/>
              <w:jc w:val="center"/>
              <w:rPr/>
            </w:pPr>
            <w:r>
              <w:rPr>
                <w:rStyle w:val="StrongEmphasis"/>
                <w:rFonts w:ascii="Times New Roman" w:hAnsi="Times New Roman"/>
                <w:sz w:val="20"/>
              </w:rPr>
              <w:t>Commitments</w:t>
            </w:r>
          </w:p>
        </w:tc>
        <w:tc>
          <w:tcPr>
            <w:tcW w:w="135" w:type="dxa"/>
            <w:tcBorders>
              <w:bottom w:val="single" w:sz="4" w:space="0" w:color="FFFFFF"/>
            </w:tcBorders>
            <w:shd w:fill="auto" w:val="clear"/>
            <w:vAlign w:val="center"/>
          </w:tcPr>
          <w:p>
            <w:pPr>
              <w:pStyle w:val="TableContents"/>
              <w:spacing w:before="0" w:after="283"/>
              <w:rPr/>
            </w:pPr>
            <w:r>
              <w:rPr/>
              <w:t> </w:t>
            </w:r>
          </w:p>
        </w:tc>
        <w:tc>
          <w:tcPr>
            <w:tcW w:w="1370"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Total </w:t>
            </w:r>
          </w:p>
        </w:tc>
        <w:tc>
          <w:tcPr>
            <w:tcW w:w="94" w:type="dxa"/>
            <w:tcBorders>
              <w:bottom w:val="single" w:sz="4" w:space="0" w:color="FFFFFF"/>
            </w:tcBorders>
            <w:shd w:fill="auto" w:val="clear"/>
            <w:vAlign w:val="bottom"/>
          </w:tcPr>
          <w:p>
            <w:pPr>
              <w:pStyle w:val="TableContents"/>
              <w:spacing w:before="0" w:after="283"/>
              <w:jc w:val="left"/>
              <w:rPr/>
            </w:pPr>
            <w:r>
              <w:rPr/>
              <w:t> </w:t>
            </w:r>
          </w:p>
        </w:tc>
        <w:tc>
          <w:tcPr>
            <w:tcW w:w="1370"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Less Than 1</w:t>
              <w:br/>
              <w:t>Year</w:t>
            </w:r>
          </w:p>
        </w:tc>
        <w:tc>
          <w:tcPr>
            <w:tcW w:w="94" w:type="dxa"/>
            <w:tcBorders>
              <w:bottom w:val="single" w:sz="4" w:space="0" w:color="FFFFFF"/>
            </w:tcBorders>
            <w:shd w:fill="auto" w:val="clear"/>
            <w:vAlign w:val="bottom"/>
          </w:tcPr>
          <w:p>
            <w:pPr>
              <w:pStyle w:val="TableContents"/>
              <w:spacing w:before="0" w:after="283"/>
              <w:jc w:val="left"/>
              <w:rPr/>
            </w:pPr>
            <w:r>
              <w:rPr/>
              <w:t> </w:t>
            </w:r>
          </w:p>
        </w:tc>
        <w:tc>
          <w:tcPr>
            <w:tcW w:w="1272"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1 – 3 Years</w:t>
            </w:r>
          </w:p>
        </w:tc>
        <w:tc>
          <w:tcPr>
            <w:tcW w:w="93" w:type="dxa"/>
            <w:tcBorders>
              <w:bottom w:val="single" w:sz="4" w:space="0" w:color="FFFFFF"/>
            </w:tcBorders>
            <w:shd w:fill="auto" w:val="clear"/>
            <w:vAlign w:val="bottom"/>
          </w:tcPr>
          <w:p>
            <w:pPr>
              <w:pStyle w:val="TableContents"/>
              <w:spacing w:before="0" w:after="283"/>
              <w:jc w:val="left"/>
              <w:rPr/>
            </w:pPr>
            <w:r>
              <w:rPr/>
              <w:t> </w:t>
            </w:r>
          </w:p>
        </w:tc>
        <w:tc>
          <w:tcPr>
            <w:tcW w:w="1272"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4 – 5 Years</w:t>
            </w:r>
          </w:p>
        </w:tc>
        <w:tc>
          <w:tcPr>
            <w:tcW w:w="94" w:type="dxa"/>
            <w:tcBorders>
              <w:bottom w:val="single" w:sz="4" w:space="0" w:color="FFFFFF"/>
            </w:tcBorders>
            <w:shd w:fill="auto" w:val="clear"/>
            <w:vAlign w:val="bottom"/>
          </w:tcPr>
          <w:p>
            <w:pPr>
              <w:pStyle w:val="TableContents"/>
              <w:spacing w:before="0" w:after="283"/>
              <w:jc w:val="left"/>
              <w:rPr/>
            </w:pPr>
            <w:r>
              <w:rPr/>
              <w:t> </w:t>
            </w:r>
          </w:p>
        </w:tc>
        <w:tc>
          <w:tcPr>
            <w:tcW w:w="1432"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After 5 Years</w:t>
            </w:r>
          </w:p>
        </w:tc>
        <w:tc>
          <w:tcPr>
            <w:tcW w:w="118" w:type="dxa"/>
            <w:tcBorders>
              <w:bottom w:val="single" w:sz="4" w:space="0" w:color="FFFFFF"/>
            </w:tcBorders>
            <w:shd w:fill="auto" w:val="clear"/>
            <w:vAlign w:val="bottom"/>
          </w:tcPr>
          <w:p>
            <w:pPr>
              <w:pStyle w:val="TableContents"/>
              <w:spacing w:before="0" w:after="283"/>
              <w:jc w:val="left"/>
              <w:rPr/>
            </w:pPr>
            <w:r>
              <w:rPr/>
              <w:t> </w:t>
            </w:r>
          </w:p>
        </w:tc>
      </w:tr>
      <w:tr>
        <w:trPr/>
        <w:tc>
          <w:tcPr>
            <w:tcW w:w="2861"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Standby Letters of Credit</w:t>
            </w:r>
          </w:p>
        </w:tc>
        <w:tc>
          <w:tcPr>
            <w:tcW w:w="135" w:type="dxa"/>
            <w:tcBorders/>
            <w:shd w:fill="CCFFCC" w:val="clear"/>
            <w:tcMar>
              <w:bottom w:w="0" w:type="dxa"/>
            </w:tcMar>
            <w:vAlign w:val="center"/>
          </w:tcPr>
          <w:p>
            <w:pPr>
              <w:pStyle w:val="TableContents"/>
              <w:spacing w:before="0" w:after="283"/>
              <w:rPr/>
            </w:pPr>
            <w:r>
              <w:rPr/>
              <w:t> </w:t>
            </w:r>
          </w:p>
        </w:tc>
        <w:tc>
          <w:tcPr>
            <w:tcW w:w="152"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52" w:name="TAB1429"/>
            <w:bookmarkEnd w:id="752"/>
            <w:r>
              <w:rPr>
                <w:rFonts w:ascii="Times New Roman" w:hAnsi="Times New Roman"/>
                <w:sz w:val="20"/>
              </w:rPr>
              <w:t>$</w:t>
            </w:r>
          </w:p>
        </w:tc>
        <w:tc>
          <w:tcPr>
            <w:tcW w:w="1218"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53" w:name="TAB1430"/>
            <w:bookmarkEnd w:id="753"/>
            <w:r>
              <w:rPr>
                <w:rFonts w:ascii="Times New Roman" w:hAnsi="Times New Roman"/>
                <w:sz w:val="20"/>
              </w:rPr>
              <w:t>253,000</w:t>
            </w:r>
          </w:p>
        </w:tc>
        <w:tc>
          <w:tcPr>
            <w:tcW w:w="94" w:type="dxa"/>
            <w:tcBorders/>
            <w:shd w:fill="CCFFCC" w:val="clear"/>
            <w:tcMar>
              <w:bottom w:w="0" w:type="dxa"/>
            </w:tcMar>
            <w:vAlign w:val="bottom"/>
          </w:tcPr>
          <w:p>
            <w:pPr>
              <w:pStyle w:val="TableContents"/>
              <w:spacing w:before="0" w:after="283"/>
              <w:jc w:val="left"/>
              <w:rPr/>
            </w:pPr>
            <w:r>
              <w:rPr/>
              <w:t> </w:t>
            </w:r>
          </w:p>
        </w:tc>
        <w:tc>
          <w:tcPr>
            <w:tcW w:w="152"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54" w:name="TAB1431"/>
            <w:bookmarkEnd w:id="754"/>
            <w:r>
              <w:rPr>
                <w:rFonts w:ascii="Times New Roman" w:hAnsi="Times New Roman"/>
                <w:sz w:val="20"/>
              </w:rPr>
              <w:t>$</w:t>
            </w:r>
          </w:p>
        </w:tc>
        <w:tc>
          <w:tcPr>
            <w:tcW w:w="1218"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55" w:name="TAB1432"/>
            <w:bookmarkEnd w:id="755"/>
            <w:r>
              <w:rPr>
                <w:rFonts w:ascii="Times New Roman" w:hAnsi="Times New Roman"/>
                <w:sz w:val="20"/>
              </w:rPr>
              <w:t>253,000</w:t>
            </w:r>
          </w:p>
        </w:tc>
        <w:tc>
          <w:tcPr>
            <w:tcW w:w="94" w:type="dxa"/>
            <w:tcBorders/>
            <w:shd w:fill="CCFFCC" w:val="clear"/>
            <w:tcMar>
              <w:bottom w:w="0" w:type="dxa"/>
            </w:tcMar>
            <w:vAlign w:val="bottom"/>
          </w:tcPr>
          <w:p>
            <w:pPr>
              <w:pStyle w:val="TableContents"/>
              <w:spacing w:before="0" w:after="283"/>
              <w:jc w:val="left"/>
              <w:rPr/>
            </w:pPr>
            <w:r>
              <w:rPr/>
              <w:t> </w:t>
            </w:r>
          </w:p>
        </w:tc>
        <w:tc>
          <w:tcPr>
            <w:tcW w:w="320"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952" w:type="dxa"/>
            <w:tcBorders/>
            <w:shd w:fill="CCFFCC" w:val="clear"/>
            <w:tcMar>
              <w:bottom w:w="0" w:type="dxa"/>
            </w:tcMar>
            <w:vAlign w:val="bottom"/>
          </w:tcPr>
          <w:p>
            <w:pPr>
              <w:pStyle w:val="TableContents"/>
              <w:spacing w:lineRule="auto" w:line="300" w:before="0" w:after="0"/>
              <w:ind w:left="0" w:right="0" w:hanging="0"/>
              <w:jc w:val="right"/>
              <w:rPr/>
            </w:pPr>
            <w:r>
              <w:rPr/>
              <w:t>—</w:t>
            </w:r>
          </w:p>
        </w:tc>
        <w:tc>
          <w:tcPr>
            <w:tcW w:w="93" w:type="dxa"/>
            <w:tcBorders/>
            <w:shd w:fill="CCFFCC" w:val="clear"/>
            <w:tcMar>
              <w:bottom w:w="0" w:type="dxa"/>
            </w:tcMar>
            <w:vAlign w:val="bottom"/>
          </w:tcPr>
          <w:p>
            <w:pPr>
              <w:pStyle w:val="TableContents"/>
              <w:spacing w:before="0" w:after="283"/>
              <w:jc w:val="left"/>
              <w:rPr/>
            </w:pPr>
            <w:r>
              <w:rPr/>
              <w:t> </w:t>
            </w:r>
          </w:p>
        </w:tc>
        <w:tc>
          <w:tcPr>
            <w:tcW w:w="320"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952" w:type="dxa"/>
            <w:tcBorders/>
            <w:shd w:fill="CCFFCC" w:val="clear"/>
            <w:tcMar>
              <w:bottom w:w="0" w:type="dxa"/>
            </w:tcMar>
            <w:vAlign w:val="bottom"/>
          </w:tcPr>
          <w:p>
            <w:pPr>
              <w:pStyle w:val="TableContents"/>
              <w:spacing w:lineRule="auto" w:line="300" w:before="0" w:after="0"/>
              <w:ind w:left="0" w:right="0" w:hanging="0"/>
              <w:jc w:val="right"/>
              <w:rPr/>
            </w:pPr>
            <w:r>
              <w:rPr/>
              <w:t>—</w:t>
            </w:r>
          </w:p>
        </w:tc>
        <w:tc>
          <w:tcPr>
            <w:tcW w:w="94" w:type="dxa"/>
            <w:tcBorders/>
            <w:shd w:fill="CCFFCC" w:val="clear"/>
            <w:tcMar>
              <w:bottom w:w="0" w:type="dxa"/>
            </w:tcMar>
            <w:vAlign w:val="bottom"/>
          </w:tcPr>
          <w:p>
            <w:pPr>
              <w:pStyle w:val="TableContents"/>
              <w:spacing w:before="0" w:after="283"/>
              <w:jc w:val="left"/>
              <w:rPr/>
            </w:pPr>
            <w:r>
              <w:rPr/>
              <w:t> </w:t>
            </w:r>
          </w:p>
        </w:tc>
        <w:tc>
          <w:tcPr>
            <w:tcW w:w="371"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56" w:name="TAB1433"/>
            <w:bookmarkEnd w:id="756"/>
            <w:r>
              <w:rPr>
                <w:rFonts w:ascii="Times New Roman" w:hAnsi="Times New Roman"/>
                <w:sz w:val="20"/>
              </w:rPr>
              <w:t>$</w:t>
            </w:r>
          </w:p>
        </w:tc>
        <w:tc>
          <w:tcPr>
            <w:tcW w:w="1061" w:type="dxa"/>
            <w:tcBorders/>
            <w:shd w:fill="CCFFCC" w:val="clear"/>
            <w:tcMar>
              <w:bottom w:w="0" w:type="dxa"/>
            </w:tcMar>
            <w:vAlign w:val="bottom"/>
          </w:tcPr>
          <w:p>
            <w:pPr>
              <w:pStyle w:val="TableContents"/>
              <w:spacing w:lineRule="auto" w:line="300" w:before="0" w:after="0"/>
              <w:ind w:left="0" w:right="0" w:hanging="0"/>
              <w:jc w:val="right"/>
              <w:rPr/>
            </w:pPr>
            <w:bookmarkStart w:id="757" w:name="TAB1434"/>
            <w:bookmarkEnd w:id="757"/>
            <w:r>
              <w:rPr/>
              <w:t>—</w:t>
            </w:r>
          </w:p>
        </w:tc>
        <w:tc>
          <w:tcPr>
            <w:tcW w:w="118" w:type="dxa"/>
            <w:tcBorders/>
            <w:shd w:fill="CCFFCC" w:val="clear"/>
            <w:tcMar>
              <w:bottom w:w="0" w:type="dxa"/>
            </w:tcMar>
            <w:vAlign w:val="bottom"/>
          </w:tcPr>
          <w:p>
            <w:pPr>
              <w:pStyle w:val="TableContents"/>
              <w:spacing w:before="0" w:after="283"/>
              <w:jc w:val="left"/>
              <w:rPr/>
            </w:pPr>
            <w:r>
              <w:rPr/>
              <w:t> </w:t>
            </w:r>
          </w:p>
        </w:tc>
      </w:tr>
      <w:tr>
        <w:trPr/>
        <w:tc>
          <w:tcPr>
            <w:tcW w:w="2861"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Other Commercial Commitments</w:t>
            </w:r>
          </w:p>
        </w:tc>
        <w:tc>
          <w:tcPr>
            <w:tcW w:w="135" w:type="dxa"/>
            <w:tcBorders>
              <w:bottom w:val="single" w:sz="4" w:space="0" w:color="FFFFFF"/>
            </w:tcBorders>
            <w:shd w:fill="FFFFFF" w:val="clear"/>
            <w:vAlign w:val="center"/>
          </w:tcPr>
          <w:p>
            <w:pPr>
              <w:pStyle w:val="TableContents"/>
              <w:spacing w:before="0" w:after="283"/>
              <w:rPr/>
            </w:pPr>
            <w:r>
              <w:rPr/>
              <w:t> </w:t>
            </w:r>
          </w:p>
        </w:tc>
        <w:tc>
          <w:tcPr>
            <w:tcW w:w="152" w:type="dxa"/>
            <w:tcBorders>
              <w:bottom w:val="single" w:sz="2" w:space="0" w:color="000000"/>
            </w:tcBorders>
            <w:shd w:fill="FFFFFF" w:val="clear"/>
            <w:vAlign w:val="bottom"/>
          </w:tcPr>
          <w:p>
            <w:pPr>
              <w:pStyle w:val="TableContents"/>
              <w:spacing w:before="0" w:after="283"/>
              <w:jc w:val="left"/>
              <w:rPr/>
            </w:pPr>
            <w:r>
              <w:rPr/>
              <w:t> </w:t>
            </w:r>
          </w:p>
        </w:tc>
        <w:tc>
          <w:tcPr>
            <w:tcW w:w="121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28,465,000</w:t>
            </w:r>
          </w:p>
        </w:tc>
        <w:tc>
          <w:tcPr>
            <w:tcW w:w="94" w:type="dxa"/>
            <w:tcBorders>
              <w:bottom w:val="single" w:sz="4" w:space="0" w:color="FFFFFF"/>
            </w:tcBorders>
            <w:shd w:fill="FFFFFF" w:val="clear"/>
            <w:vAlign w:val="bottom"/>
          </w:tcPr>
          <w:p>
            <w:pPr>
              <w:pStyle w:val="TableContents"/>
              <w:spacing w:before="0" w:after="283"/>
              <w:jc w:val="left"/>
              <w:rPr/>
            </w:pPr>
            <w:r>
              <w:rPr/>
              <w:t> </w:t>
            </w:r>
          </w:p>
        </w:tc>
        <w:tc>
          <w:tcPr>
            <w:tcW w:w="152" w:type="dxa"/>
            <w:tcBorders>
              <w:bottom w:val="single" w:sz="2" w:space="0" w:color="000000"/>
            </w:tcBorders>
            <w:shd w:fill="FFFFFF" w:val="clear"/>
            <w:vAlign w:val="bottom"/>
          </w:tcPr>
          <w:p>
            <w:pPr>
              <w:pStyle w:val="TableContents"/>
              <w:spacing w:before="0" w:after="283"/>
              <w:jc w:val="left"/>
              <w:rPr/>
            </w:pPr>
            <w:r>
              <w:rPr/>
              <w:t> </w:t>
            </w:r>
          </w:p>
        </w:tc>
        <w:tc>
          <w:tcPr>
            <w:tcW w:w="121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28,465,000</w:t>
            </w:r>
          </w:p>
        </w:tc>
        <w:tc>
          <w:tcPr>
            <w:tcW w:w="94" w:type="dxa"/>
            <w:tcBorders>
              <w:bottom w:val="single" w:sz="4" w:space="0" w:color="FFFFFF"/>
            </w:tcBorders>
            <w:shd w:fill="FFFFFF" w:val="clear"/>
            <w:vAlign w:val="bottom"/>
          </w:tcPr>
          <w:p>
            <w:pPr>
              <w:pStyle w:val="TableContents"/>
              <w:spacing w:before="0" w:after="283"/>
              <w:jc w:val="left"/>
              <w:rPr/>
            </w:pPr>
            <w:r>
              <w:rPr/>
              <w:t> </w:t>
            </w:r>
          </w:p>
        </w:tc>
        <w:tc>
          <w:tcPr>
            <w:tcW w:w="320" w:type="dxa"/>
            <w:tcBorders>
              <w:bottom w:val="single" w:sz="2" w:space="0" w:color="000000"/>
            </w:tcBorders>
            <w:shd w:fill="FFFFFF" w:val="clear"/>
            <w:vAlign w:val="bottom"/>
          </w:tcPr>
          <w:p>
            <w:pPr>
              <w:pStyle w:val="TableContents"/>
              <w:spacing w:before="0" w:after="283"/>
              <w:jc w:val="left"/>
              <w:rPr/>
            </w:pPr>
            <w:r>
              <w:rPr/>
              <w:t> </w:t>
            </w:r>
          </w:p>
        </w:tc>
        <w:tc>
          <w:tcPr>
            <w:tcW w:w="952"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758" w:name="TAB1435"/>
            <w:bookmarkEnd w:id="758"/>
            <w:r>
              <w:rPr/>
              <w:t>—</w:t>
            </w:r>
          </w:p>
        </w:tc>
        <w:tc>
          <w:tcPr>
            <w:tcW w:w="93" w:type="dxa"/>
            <w:tcBorders>
              <w:bottom w:val="single" w:sz="4" w:space="0" w:color="FFFFFF"/>
            </w:tcBorders>
            <w:shd w:fill="FFFFFF" w:val="clear"/>
            <w:vAlign w:val="bottom"/>
          </w:tcPr>
          <w:p>
            <w:pPr>
              <w:pStyle w:val="TableContents"/>
              <w:spacing w:before="0" w:after="283"/>
              <w:jc w:val="left"/>
              <w:rPr/>
            </w:pPr>
            <w:r>
              <w:rPr/>
              <w:t> </w:t>
            </w:r>
          </w:p>
        </w:tc>
        <w:tc>
          <w:tcPr>
            <w:tcW w:w="320" w:type="dxa"/>
            <w:tcBorders>
              <w:bottom w:val="single" w:sz="2" w:space="0" w:color="000000"/>
            </w:tcBorders>
            <w:shd w:fill="FFFFFF" w:val="clear"/>
            <w:vAlign w:val="bottom"/>
          </w:tcPr>
          <w:p>
            <w:pPr>
              <w:pStyle w:val="TableContents"/>
              <w:spacing w:before="0" w:after="283"/>
              <w:jc w:val="left"/>
              <w:rPr/>
            </w:pPr>
            <w:r>
              <w:rPr/>
              <w:t> </w:t>
            </w:r>
          </w:p>
        </w:tc>
        <w:tc>
          <w:tcPr>
            <w:tcW w:w="952"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759" w:name="TAB1436"/>
            <w:bookmarkEnd w:id="759"/>
            <w:r>
              <w:rPr/>
              <w:t>—</w:t>
            </w:r>
          </w:p>
        </w:tc>
        <w:tc>
          <w:tcPr>
            <w:tcW w:w="94" w:type="dxa"/>
            <w:tcBorders>
              <w:bottom w:val="single" w:sz="4" w:space="0" w:color="FFFFFF"/>
            </w:tcBorders>
            <w:shd w:fill="FFFFFF" w:val="clear"/>
            <w:vAlign w:val="bottom"/>
          </w:tcPr>
          <w:p>
            <w:pPr>
              <w:pStyle w:val="TableContents"/>
              <w:spacing w:before="0" w:after="283"/>
              <w:jc w:val="left"/>
              <w:rPr/>
            </w:pPr>
            <w:r>
              <w:rPr/>
              <w:t> </w:t>
            </w:r>
          </w:p>
        </w:tc>
        <w:tc>
          <w:tcPr>
            <w:tcW w:w="371" w:type="dxa"/>
            <w:tcBorders>
              <w:bottom w:val="single" w:sz="2" w:space="0" w:color="000000"/>
            </w:tcBorders>
            <w:shd w:fill="FFFFFF" w:val="clear"/>
            <w:vAlign w:val="bottom"/>
          </w:tcPr>
          <w:p>
            <w:pPr>
              <w:pStyle w:val="TableContents"/>
              <w:spacing w:before="0" w:after="283"/>
              <w:jc w:val="left"/>
              <w:rPr/>
            </w:pPr>
            <w:r>
              <w:rPr/>
              <w:t> </w:t>
            </w:r>
          </w:p>
        </w:tc>
        <w:tc>
          <w:tcPr>
            <w:tcW w:w="1061"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760" w:name="TAB1437"/>
            <w:bookmarkEnd w:id="760"/>
            <w:r>
              <w:rPr/>
              <w:t>—</w:t>
            </w:r>
          </w:p>
        </w:tc>
        <w:tc>
          <w:tcPr>
            <w:tcW w:w="118" w:type="dxa"/>
            <w:tcBorders>
              <w:bottom w:val="single" w:sz="4" w:space="0" w:color="FFFFFF"/>
            </w:tcBorders>
            <w:shd w:fill="FFFFFF" w:val="clear"/>
            <w:vAlign w:val="bottom"/>
          </w:tcPr>
          <w:p>
            <w:pPr>
              <w:pStyle w:val="TableContents"/>
              <w:spacing w:before="0" w:after="283"/>
              <w:jc w:val="left"/>
              <w:rPr/>
            </w:pPr>
            <w:r>
              <w:rPr/>
              <w:t> </w:t>
            </w:r>
          </w:p>
        </w:tc>
      </w:tr>
      <w:tr>
        <w:trPr/>
        <w:tc>
          <w:tcPr>
            <w:tcW w:w="2861"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Total Commercial Commitments</w:t>
            </w:r>
          </w:p>
        </w:tc>
        <w:tc>
          <w:tcPr>
            <w:tcW w:w="135" w:type="dxa"/>
            <w:tcBorders>
              <w:bottom w:val="single" w:sz="2" w:space="0" w:color="CCFFCC"/>
            </w:tcBorders>
            <w:shd w:fill="CCFFCC" w:val="clear"/>
            <w:vAlign w:val="center"/>
          </w:tcPr>
          <w:p>
            <w:pPr>
              <w:pStyle w:val="TableContents"/>
              <w:spacing w:before="0" w:after="283"/>
              <w:rPr/>
            </w:pPr>
            <w:r>
              <w:rPr/>
              <w:t> </w:t>
            </w:r>
          </w:p>
        </w:tc>
        <w:tc>
          <w:tcPr>
            <w:tcW w:w="152"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bookmarkStart w:id="761" w:name="TAB1438"/>
            <w:bookmarkEnd w:id="761"/>
            <w:r>
              <w:rPr>
                <w:rFonts w:ascii="Times New Roman" w:hAnsi="Times New Roman"/>
                <w:sz w:val="20"/>
              </w:rPr>
              <w:t>$</w:t>
            </w:r>
          </w:p>
        </w:tc>
        <w:tc>
          <w:tcPr>
            <w:tcW w:w="1218"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bookmarkStart w:id="762" w:name="TAB1439"/>
            <w:bookmarkEnd w:id="762"/>
            <w:r>
              <w:rPr>
                <w:rFonts w:ascii="Times New Roman" w:hAnsi="Times New Roman"/>
                <w:sz w:val="20"/>
              </w:rPr>
              <w:t>28,718,000</w:t>
            </w:r>
          </w:p>
        </w:tc>
        <w:tc>
          <w:tcPr>
            <w:tcW w:w="94" w:type="dxa"/>
            <w:tcBorders>
              <w:bottom w:val="single" w:sz="4" w:space="0" w:color="CCFFCC"/>
            </w:tcBorders>
            <w:shd w:fill="CCFFCC" w:val="clear"/>
            <w:vAlign w:val="bottom"/>
          </w:tcPr>
          <w:p>
            <w:pPr>
              <w:pStyle w:val="TableContents"/>
              <w:spacing w:before="0" w:after="283"/>
              <w:jc w:val="left"/>
              <w:rPr/>
            </w:pPr>
            <w:r>
              <w:rPr/>
              <w:t> </w:t>
            </w:r>
          </w:p>
        </w:tc>
        <w:tc>
          <w:tcPr>
            <w:tcW w:w="152"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18"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28,718,000</w:t>
            </w:r>
          </w:p>
        </w:tc>
        <w:tc>
          <w:tcPr>
            <w:tcW w:w="94" w:type="dxa"/>
            <w:tcBorders>
              <w:bottom w:val="single" w:sz="4" w:space="0" w:color="CCFFCC"/>
            </w:tcBorders>
            <w:shd w:fill="CCFFCC" w:val="clear"/>
            <w:vAlign w:val="bottom"/>
          </w:tcPr>
          <w:p>
            <w:pPr>
              <w:pStyle w:val="TableContents"/>
              <w:spacing w:before="0" w:after="283"/>
              <w:jc w:val="left"/>
              <w:rPr/>
            </w:pPr>
            <w:r>
              <w:rPr/>
              <w:t> </w:t>
            </w:r>
          </w:p>
        </w:tc>
        <w:tc>
          <w:tcPr>
            <w:tcW w:w="320"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952" w:type="dxa"/>
            <w:tcBorders>
              <w:bottom w:val="double" w:sz="2" w:space="0" w:color="000000"/>
            </w:tcBorders>
            <w:shd w:fill="CCFFCC" w:val="clear"/>
            <w:vAlign w:val="bottom"/>
          </w:tcPr>
          <w:p>
            <w:pPr>
              <w:pStyle w:val="TableContents"/>
              <w:spacing w:lineRule="auto" w:line="300" w:before="0" w:after="0"/>
              <w:ind w:left="0" w:right="0" w:hanging="0"/>
              <w:jc w:val="right"/>
              <w:rPr/>
            </w:pPr>
            <w:r>
              <w:rPr/>
              <w:t>—</w:t>
            </w:r>
          </w:p>
        </w:tc>
        <w:tc>
          <w:tcPr>
            <w:tcW w:w="93" w:type="dxa"/>
            <w:tcBorders>
              <w:bottom w:val="single" w:sz="4" w:space="0" w:color="CCFFCC"/>
            </w:tcBorders>
            <w:shd w:fill="CCFFCC" w:val="clear"/>
            <w:vAlign w:val="bottom"/>
          </w:tcPr>
          <w:p>
            <w:pPr>
              <w:pStyle w:val="TableContents"/>
              <w:spacing w:before="0" w:after="283"/>
              <w:jc w:val="left"/>
              <w:rPr/>
            </w:pPr>
            <w:r>
              <w:rPr/>
              <w:t> </w:t>
            </w:r>
          </w:p>
        </w:tc>
        <w:tc>
          <w:tcPr>
            <w:tcW w:w="320"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952" w:type="dxa"/>
            <w:tcBorders>
              <w:bottom w:val="double" w:sz="2" w:space="0" w:color="000000"/>
            </w:tcBorders>
            <w:shd w:fill="CCFFCC" w:val="clear"/>
            <w:vAlign w:val="bottom"/>
          </w:tcPr>
          <w:p>
            <w:pPr>
              <w:pStyle w:val="TableContents"/>
              <w:spacing w:lineRule="auto" w:line="300" w:before="0" w:after="0"/>
              <w:ind w:left="0" w:right="0" w:hanging="0"/>
              <w:jc w:val="right"/>
              <w:rPr/>
            </w:pPr>
            <w:r>
              <w:rPr/>
              <w:t>—</w:t>
            </w:r>
          </w:p>
        </w:tc>
        <w:tc>
          <w:tcPr>
            <w:tcW w:w="94" w:type="dxa"/>
            <w:tcBorders>
              <w:bottom w:val="single" w:sz="4" w:space="0" w:color="CCFFCC"/>
            </w:tcBorders>
            <w:shd w:fill="CCFFCC" w:val="clear"/>
            <w:vAlign w:val="bottom"/>
          </w:tcPr>
          <w:p>
            <w:pPr>
              <w:pStyle w:val="TableContents"/>
              <w:spacing w:before="0" w:after="283"/>
              <w:jc w:val="left"/>
              <w:rPr/>
            </w:pPr>
            <w:r>
              <w:rPr/>
              <w:t> </w:t>
            </w:r>
          </w:p>
        </w:tc>
        <w:tc>
          <w:tcPr>
            <w:tcW w:w="371"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bookmarkStart w:id="763" w:name="TAB1440"/>
            <w:bookmarkEnd w:id="763"/>
            <w:r>
              <w:rPr>
                <w:rFonts w:ascii="Times New Roman" w:hAnsi="Times New Roman"/>
                <w:sz w:val="20"/>
              </w:rPr>
              <w:t>$</w:t>
            </w:r>
          </w:p>
        </w:tc>
        <w:tc>
          <w:tcPr>
            <w:tcW w:w="1061" w:type="dxa"/>
            <w:tcBorders>
              <w:bottom w:val="double" w:sz="2" w:space="0" w:color="000000"/>
            </w:tcBorders>
            <w:shd w:fill="CCFFCC" w:val="clear"/>
            <w:vAlign w:val="bottom"/>
          </w:tcPr>
          <w:p>
            <w:pPr>
              <w:pStyle w:val="TableContents"/>
              <w:spacing w:lineRule="auto" w:line="300" w:before="0" w:after="0"/>
              <w:ind w:left="0" w:right="0" w:hanging="0"/>
              <w:jc w:val="right"/>
              <w:rPr/>
            </w:pPr>
            <w:bookmarkStart w:id="764" w:name="TAB1441"/>
            <w:bookmarkEnd w:id="764"/>
            <w:r>
              <w:rPr/>
              <w:t>—</w:t>
            </w:r>
          </w:p>
        </w:tc>
        <w:tc>
          <w:tcPr>
            <w:tcW w:w="118" w:type="dxa"/>
            <w:tcBorders>
              <w:bottom w:val="single" w:sz="4" w:space="0" w:color="CCFFCC"/>
            </w:tcBorders>
            <w:shd w:fill="CCFFCC"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left"/>
        <w:rPr/>
      </w:pPr>
      <w:r>
        <w:rPr>
          <w:rStyle w:val="StrongEmphasis"/>
          <w:rFonts w:ascii="Times New Roman" w:hAnsi="Times New Roman"/>
          <w:sz w:val="20"/>
          <w:u w:val="single"/>
        </w:rPr>
        <w:t>CRITICAL ACCOUNTING POLICIES AND ESTIMATES</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This discussion and analysis of financial condition and results of operations is based on our unaudited condensed consolidated financial statements, which have been prepared in conformity with accounting principles generally accepted in the United States.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are revised periodically. Actual results could differ from these estimates.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See the information concerning our critical accounting policies included under Management’s Discussion of Financial Condition and Results of Operations in our Annual Report on Form 10-K for the fiscal year ended July 31, 2007 filed with the Securities and Exchange Commission, which is incorporated by reference in this Form 10-Q. For additional information on our adoption of FIN 48, see Note 7 of the notes to unaudited consolidated condensed financial statements in this Quarterly Report on Form 10-Q.</w:t>
      </w:r>
    </w:p>
    <w:p>
      <w:pPr>
        <w:pStyle w:val="TextBody"/>
        <w:spacing w:lineRule="auto" w:line="300"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65" w:name="PGBRK20"/>
      <w:bookmarkStart w:id="766" w:name="PGBRK20"/>
      <w:bookmarkEnd w:id="7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7" w:name="FTR20"/>
      <w:bookmarkStart w:id="768" w:name="FTR20"/>
      <w:bookmarkEnd w:id="7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9" w:name="GLFTR20"/>
      <w:bookmarkStart w:id="770" w:name="GLFTR20"/>
      <w:bookmarkEnd w:id="7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771" w:name="PN20"/>
      <w:bookmarkEnd w:id="771"/>
      <w:r>
        <w:rPr>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72" w:name="HDR20"/>
      <w:bookmarkStart w:id="773" w:name="HDR20"/>
      <w:bookmarkEnd w:id="7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74" w:name="GLHDR20"/>
      <w:bookmarkStart w:id="775" w:name="GLHDR20"/>
      <w:bookmarkEnd w:id="7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t> </w:t>
      </w:r>
    </w:p>
    <w:p>
      <w:pPr>
        <w:pStyle w:val="TextBody"/>
        <w:spacing w:lineRule="auto" w:line="300" w:before="0" w:after="0"/>
        <w:ind w:left="0" w:right="0" w:hanging="0"/>
        <w:jc w:val="left"/>
        <w:rPr/>
      </w:pPr>
      <w:r>
        <w:rPr>
          <w:rStyle w:val="StrongEmphasis"/>
          <w:rFonts w:ascii="Times New Roman" w:hAnsi="Times New Roman"/>
          <w:sz w:val="20"/>
          <w:u w:val="single"/>
        </w:rPr>
        <w:t xml:space="preserve">RECENTLY ISSUED ACCOUNTING STANDARDS </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Fonts w:ascii="Times New Roman" w:hAnsi="Times New Roman"/>
          <w:sz w:val="20"/>
        </w:rPr>
        <w:t xml:space="preserve">In December 2007, the Financial Accounting Standards Board (“FASB”) issued Statement of Financial Accounting Standards (“SFAS”) No. 141 (Revised 2007), </w:t>
      </w:r>
      <w:r>
        <w:rPr>
          <w:rStyle w:val="Emphasis"/>
          <w:rFonts w:ascii="Times New Roman" w:hAnsi="Times New Roman"/>
          <w:sz w:val="20"/>
        </w:rPr>
        <w:t xml:space="preserve">Business Combinations </w:t>
      </w:r>
      <w:r>
        <w:rPr>
          <w:rFonts w:ascii="Times New Roman" w:hAnsi="Times New Roman"/>
          <w:sz w:val="20"/>
        </w:rPr>
        <w:t>(SFAS No. 141-R). SFAS No.141-R will significantly change the accounting for future business combinations after adoption. SFAS No. 141-R establishes principles and requirements for how the acquirer of a business recognizes and measures in its financial statements the identifiable assets acquired, the liabilities assumed, and any non controlling interest in the acquired business. SFAS No. 141-R also provides guidance for recognizing and measuring the goodwill acquired in the business combination and determines what information to disclose to enable users of the financial statements to evaluate the nature and financial effects of the business combination. SFAS No. 141-R is effective for fiscal years, and interim periods within those fiscal years, beginning on or after December 15, 2008. Earlier adoption is prohibited. We will adopt this Statement as of August 1, 2009. When we adopt this Statement, we will apply it to future periods in the event that we have an acquisition.</w:t>
      </w:r>
    </w:p>
    <w:p>
      <w:pPr>
        <w:pStyle w:val="TextBody"/>
        <w:spacing w:lineRule="auto" w:line="300" w:before="0" w:after="0"/>
        <w:ind w:left="0" w:right="0" w:hanging="0"/>
        <w:jc w:val="both"/>
        <w:rPr/>
      </w:pPr>
      <w:r>
        <w:rPr/>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Fonts w:ascii="Times New Roman" w:hAnsi="Times New Roman"/>
          <w:sz w:val="20"/>
        </w:rPr>
        <w:t xml:space="preserve">In December 2007, the FASB issued SFAS No. 160, </w:t>
      </w:r>
      <w:r>
        <w:rPr>
          <w:rStyle w:val="Emphasis"/>
          <w:rFonts w:ascii="Times New Roman" w:hAnsi="Times New Roman"/>
          <w:sz w:val="20"/>
        </w:rPr>
        <w:t xml:space="preserve">Noncontrolling Interests in Consolidated Financial Statements—An Amendment of ARB No. 51. </w:t>
      </w:r>
      <w:r>
        <w:rPr>
          <w:rFonts w:ascii="Times New Roman" w:hAnsi="Times New Roman"/>
          <w:sz w:val="20"/>
        </w:rPr>
        <w:t>This statement establishes new accounting and reporting standards for the noncontrolling interest in a subsidiary and for the deconsolidation of a subsidiary. SFAS No. 160 requires the noncontrolling interest to be reported as a component of equity, changes in a parent’s ownership interest while the parent retains its controlling interest be accounted for as equity transactions, and any retained noncontrolling equity investment upon the deconsolidation of a subsidiary be initially measured at fair value. SFAS No. 160 is effective for fiscal years, and interim periods within those fiscal years, beginning on or after December 15, 2008. Earlier adoption is prohibited. We will adopt this Statement as of August 1, 2009. We are currently evaluating the impact SFAS No. 160 will have on our consolidated financial statements.</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Fonts w:ascii="Times New Roman" w:hAnsi="Times New Roman"/>
          <w:sz w:val="20"/>
        </w:rPr>
        <w:t>In September 2006, the FASB</w:t>
      </w:r>
      <w:r>
        <w:rPr/>
        <w:t xml:space="preserve"> </w:t>
      </w:r>
      <w:r>
        <w:rPr>
          <w:rFonts w:ascii="Times New Roman" w:hAnsi="Times New Roman"/>
          <w:sz w:val="20"/>
        </w:rPr>
        <w:t xml:space="preserve">issued SFAS No. 157, </w:t>
      </w:r>
      <w:r>
        <w:rPr>
          <w:rStyle w:val="Emphasis"/>
          <w:rFonts w:ascii="Times New Roman" w:hAnsi="Times New Roman"/>
          <w:sz w:val="20"/>
        </w:rPr>
        <w:t>Fair Value Measurements</w:t>
      </w:r>
      <w:r>
        <w:rPr>
          <w:rFonts w:ascii="Times New Roman" w:hAnsi="Times New Roman"/>
          <w:sz w:val="20"/>
        </w:rPr>
        <w:t xml:space="preserve">. This Statement defines fair value, establishes a framework for measuring fair value in accordance with generally accepted accounting principles and expands disclosures about fair value measurements. In February 2008, SFAS No. 157 was amended by FASB Staff Positions (“FSP”) SFAS No. 157-1 </w:t>
      </w:r>
      <w:r>
        <w:rPr>
          <w:rStyle w:val="Emphasis"/>
          <w:rFonts w:ascii="Times New Roman" w:hAnsi="Times New Roman"/>
          <w:sz w:val="20"/>
        </w:rPr>
        <w:t>Application of FASB Statement No. 157 to FASB Statement No. 13 and Other Accounting Pronouncements That Address Fair Value Measurements for Purposes of Lease Classification or Measurement under Statement 13</w:t>
      </w:r>
      <w:r>
        <w:rPr/>
        <w:t xml:space="preserve"> </w:t>
      </w:r>
      <w:r>
        <w:rPr>
          <w:rFonts w:ascii="Times New Roman" w:hAnsi="Times New Roman"/>
          <w:sz w:val="20"/>
        </w:rPr>
        <w:t xml:space="preserve">and by FSP SFAS No. 157-2 </w:t>
      </w:r>
      <w:r>
        <w:rPr>
          <w:rStyle w:val="Emphasis"/>
          <w:rFonts w:ascii="Times New Roman" w:hAnsi="Times New Roman"/>
          <w:sz w:val="20"/>
        </w:rPr>
        <w:t>Effective Date of FASB Statement No. 157</w:t>
      </w:r>
      <w:r>
        <w:rPr>
          <w:rFonts w:ascii="Times New Roman" w:hAnsi="Times New Roman"/>
          <w:sz w:val="20"/>
        </w:rPr>
        <w:t xml:space="preserve">. FSP SFAS No. 157-1 amends SFAS No. 157 to exclude FASB Statement No. 13, </w:t>
      </w:r>
      <w:r>
        <w:rPr>
          <w:rStyle w:val="Emphasis"/>
          <w:rFonts w:ascii="Times New Roman" w:hAnsi="Times New Roman"/>
          <w:sz w:val="20"/>
        </w:rPr>
        <w:t xml:space="preserve">Accounting for Leases, </w:t>
      </w:r>
      <w:r>
        <w:rPr>
          <w:rFonts w:ascii="Times New Roman" w:hAnsi="Times New Roman"/>
          <w:sz w:val="20"/>
        </w:rPr>
        <w:t>and other accounting pronouncements that address fair value measurements for purposes of lease classification or measurement under Statement 13</w:t>
      </w:r>
      <w:r>
        <w:rPr>
          <w:rStyle w:val="Emphasis"/>
          <w:rFonts w:ascii="Times New Roman" w:hAnsi="Times New Roman"/>
          <w:sz w:val="20"/>
        </w:rPr>
        <w:t>.</w:t>
      </w:r>
      <w:r>
        <w:rPr/>
        <w:t xml:space="preserve"> </w:t>
      </w:r>
      <w:r>
        <w:rPr>
          <w:rFonts w:ascii="Times New Roman" w:hAnsi="Times New Roman"/>
          <w:sz w:val="20"/>
        </w:rPr>
        <w:t>FSP SFAS No. 157-2 delays the effective date of SFAS No. 157</w:t>
      </w:r>
      <w:r>
        <w:rPr>
          <w:rStyle w:val="Emphasis"/>
        </w:rPr>
        <w:t> </w:t>
      </w:r>
      <w:r>
        <w:rPr>
          <w:rFonts w:ascii="Times New Roman" w:hAnsi="Times New Roman"/>
          <w:sz w:val="20"/>
        </w:rPr>
        <w:t>for nonfinancial assets and nonfinancial liabilities, except for items that are recognized or disclosed at fair value in the financial statements on a recurring basis (at least annually). We will adopt the provisions of these Statements as of August 1, 2008. We are currently evaluating the impact of adopting these Statements on our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76" w:name="PGBRK21"/>
      <w:bookmarkStart w:id="777" w:name="PGBRK21"/>
      <w:bookmarkEnd w:id="7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78" w:name="FTR21"/>
      <w:bookmarkStart w:id="779" w:name="FTR21"/>
      <w:bookmarkEnd w:id="7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80" w:name="GLFTR21"/>
      <w:bookmarkStart w:id="781" w:name="GLFTR21"/>
      <w:bookmarkEnd w:id="7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782" w:name="PN21"/>
      <w:bookmarkEnd w:id="782"/>
      <w:r>
        <w:rPr>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83" w:name="HDR21"/>
      <w:bookmarkStart w:id="784" w:name="HDR21"/>
      <w:bookmarkEnd w:id="7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85" w:name="GLHDR21"/>
      <w:bookmarkStart w:id="786" w:name="GLHDR21"/>
      <w:bookmarkEnd w:id="7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r>
        <w:rPr/>
      </w:r>
    </w:p>
    <w:p>
      <w:pPr>
        <w:pStyle w:val="TextBody"/>
        <w:spacing w:lineRule="auto" w:line="300" w:before="0" w:after="0"/>
        <w:ind w:left="0" w:right="0" w:hanging="0"/>
        <w:jc w:val="left"/>
        <w:rPr/>
      </w:pPr>
      <w:r>
        <w:rPr>
          <w:rStyle w:val="StrongEmphasis"/>
          <w:rFonts w:ascii="Times New Roman" w:hAnsi="Times New Roman"/>
          <w:sz w:val="20"/>
        </w:rPr>
        <w:t>ITEM 3. QUANTITATIVE AND QUALITATIVE DISCLOSURES ABOUT MARKET RISK</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We are exposed to interest rate risk and employ policies and procedures to manage our exposure to changes in the market risk of our cash equivalents and short-term investments. We had two interest rate swap agreements as of January 31, 2008. We believe that the market risk arising from holding our financial instruments is not material.</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We are exposed to currency risk as it relates to certain accounts receivables and from our foreign operations. We believe that the currency risk is immaterial to the overall presentation of the financial statements.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We are exposed to regulatory risk in the fluid purification and agricultural markets, principally as a result of the risk of increasing regulation of the food chain in the United States and Europe. We actively monitor developments in this area, both directly and through trade organizations of which we are a member.</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We are exposed to commodity price risk with respect to natural gas. We have contracted for a portion of our fuel needs for the twelve months in fiscal 2008 using forward purchase contracts to manage the volatility in fuel prices related to this exposure. The weighted average cost of the fiscal 2008 contracts has been estimated to be approximately 5% higher than the contracts for fiscal 2007. All contracts were entered into during the normal course of business and no contracts were entered into for speculative purposes.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tables below provide information about our natural gas purchase contracts, which are sensitive to changes in commodity prices, specifically natural gas prices. For the purchase contracts outstanding at January 31, 2008, the table presents the notional amounts in MMBtu’s, the weighted average contract prices, and the total dollar contract amount, which will mature by July 31, 2008. The Fair Value was determined using the “Most Recent Settle” price for the “Henry Hub Natural Gas” option contract prices as listed by the New York Mercantile Exchange on February 29, 2008.</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787" w:name="ftable19"/>
      <w:bookmarkStart w:id="788" w:name="ftable19"/>
      <w:bookmarkEnd w:id="788"/>
    </w:p>
    <w:tbl>
      <w:tblPr>
        <w:tblW w:w="3000" w:type="pct"/>
        <w:jc w:val="center"/>
        <w:tblInd w:w="0" w:type="dxa"/>
        <w:tblCellMar>
          <w:top w:w="0" w:type="dxa"/>
          <w:left w:w="0" w:type="dxa"/>
          <w:bottom w:w="28" w:type="dxa"/>
          <w:right w:w="0" w:type="dxa"/>
        </w:tblCellMar>
      </w:tblPr>
      <w:tblGrid>
        <w:gridCol w:w="3001"/>
        <w:gridCol w:w="195"/>
        <w:gridCol w:w="128"/>
        <w:gridCol w:w="1193"/>
        <w:gridCol w:w="195"/>
        <w:gridCol w:w="128"/>
        <w:gridCol w:w="1173"/>
        <w:gridCol w:w="110"/>
      </w:tblGrid>
      <w:tr>
        <w:trPr/>
        <w:tc>
          <w:tcPr>
            <w:tcW w:w="6013" w:type="dxa"/>
            <w:gridSpan w:val="7"/>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Commodity Price Sensitivity</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Natural Gas Future Contracts</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For the Six Months Ending July 31, 2008</w:t>
            </w:r>
          </w:p>
        </w:tc>
        <w:tc>
          <w:tcPr>
            <w:tcW w:w="110" w:type="dxa"/>
            <w:tcBorders>
              <w:bottom w:val="single" w:sz="2" w:space="0" w:color="FFFFFF"/>
            </w:tcBorders>
            <w:shd w:fill="auto" w:val="clear"/>
            <w:vAlign w:val="bottom"/>
          </w:tcPr>
          <w:p>
            <w:pPr>
              <w:pStyle w:val="TableContents"/>
              <w:spacing w:before="0" w:after="283"/>
              <w:jc w:val="left"/>
              <w:rPr/>
            </w:pPr>
            <w:r>
              <w:rPr/>
              <w:t> </w:t>
            </w:r>
          </w:p>
        </w:tc>
      </w:tr>
      <w:tr>
        <w:trPr/>
        <w:tc>
          <w:tcPr>
            <w:tcW w:w="3001" w:type="dxa"/>
            <w:tcBorders>
              <w:bottom w:val="single" w:sz="4" w:space="0" w:color="FFFFFF"/>
            </w:tcBorders>
            <w:shd w:fill="auto" w:val="clear"/>
            <w:vAlign w:val="bottom"/>
          </w:tcPr>
          <w:p>
            <w:pPr>
              <w:pStyle w:val="TableContents"/>
              <w:spacing w:before="0" w:after="283"/>
              <w:rPr/>
            </w:pPr>
            <w:r>
              <w:rPr/>
              <w:t> </w:t>
            </w:r>
          </w:p>
        </w:tc>
        <w:tc>
          <w:tcPr>
            <w:tcW w:w="195" w:type="dxa"/>
            <w:tcBorders>
              <w:bottom w:val="single" w:sz="2" w:space="0" w:color="FFFFFF"/>
            </w:tcBorders>
            <w:shd w:fill="auto" w:val="clear"/>
            <w:vAlign w:val="center"/>
          </w:tcPr>
          <w:p>
            <w:pPr>
              <w:pStyle w:val="TableContents"/>
              <w:spacing w:before="0" w:after="283"/>
              <w:rPr/>
            </w:pPr>
            <w:r>
              <w:rPr/>
              <w:t> </w:t>
            </w:r>
          </w:p>
        </w:tc>
        <w:tc>
          <w:tcPr>
            <w:tcW w:w="1321"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Expected 2008 Maturity</w:t>
            </w:r>
          </w:p>
        </w:tc>
        <w:tc>
          <w:tcPr>
            <w:tcW w:w="195" w:type="dxa"/>
            <w:tcBorders>
              <w:bottom w:val="single" w:sz="2" w:space="0" w:color="FFFFFF"/>
            </w:tcBorders>
            <w:shd w:fill="auto" w:val="clear"/>
            <w:vAlign w:val="bottom"/>
          </w:tcPr>
          <w:p>
            <w:pPr>
              <w:pStyle w:val="TableContents"/>
              <w:spacing w:before="0" w:after="283"/>
              <w:jc w:val="left"/>
              <w:rPr/>
            </w:pPr>
            <w:r>
              <w:rPr/>
              <w:t> </w:t>
            </w:r>
          </w:p>
        </w:tc>
        <w:tc>
          <w:tcPr>
            <w:tcW w:w="1301"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Fair Value</w:t>
            </w:r>
          </w:p>
        </w:tc>
        <w:tc>
          <w:tcPr>
            <w:tcW w:w="110" w:type="dxa"/>
            <w:tcBorders>
              <w:bottom w:val="single" w:sz="2" w:space="0" w:color="FFFFFF"/>
            </w:tcBorders>
            <w:shd w:fill="auto" w:val="clear"/>
            <w:vAlign w:val="bottom"/>
          </w:tcPr>
          <w:p>
            <w:pPr>
              <w:pStyle w:val="TableContents"/>
              <w:spacing w:before="0" w:after="283"/>
              <w:jc w:val="left"/>
              <w:rPr/>
            </w:pPr>
            <w:r>
              <w:rPr/>
              <w:t> </w:t>
            </w:r>
          </w:p>
        </w:tc>
      </w:tr>
      <w:tr>
        <w:trPr/>
        <w:tc>
          <w:tcPr>
            <w:tcW w:w="3001"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Natural Gas Future Volumes (MMBtu)</w:t>
            </w:r>
          </w:p>
        </w:tc>
        <w:tc>
          <w:tcPr>
            <w:tcW w:w="195" w:type="dxa"/>
            <w:tcBorders/>
            <w:shd w:fill="CCFFCC" w:val="clear"/>
            <w:tcMar>
              <w:bottom w:w="0" w:type="dxa"/>
            </w:tcMar>
            <w:vAlign w:val="center"/>
          </w:tcPr>
          <w:p>
            <w:pPr>
              <w:pStyle w:val="TableContents"/>
              <w:spacing w:before="0" w:after="283"/>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193"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470,000</w:t>
            </w:r>
          </w:p>
        </w:tc>
        <w:tc>
          <w:tcPr>
            <w:tcW w:w="195" w:type="dxa"/>
            <w:tcBorders/>
            <w:shd w:fill="CCFFCC" w:val="clear"/>
            <w:tcMar>
              <w:bottom w:w="0" w:type="dxa"/>
            </w:tcMar>
            <w:vAlign w:val="bottom"/>
          </w:tcPr>
          <w:p>
            <w:pPr>
              <w:pStyle w:val="TableContents"/>
              <w:spacing w:before="0" w:after="283"/>
              <w:jc w:val="left"/>
              <w:rPr/>
            </w:pPr>
            <w:r>
              <w:rPr/>
              <w:t> </w:t>
            </w:r>
          </w:p>
        </w:tc>
        <w:tc>
          <w:tcPr>
            <w:tcW w:w="128" w:type="dxa"/>
            <w:tcBorders/>
            <w:shd w:fill="CCFFCC" w:val="clear"/>
            <w:tcMar>
              <w:bottom w:w="0" w:type="dxa"/>
            </w:tcMar>
            <w:vAlign w:val="bottom"/>
          </w:tcPr>
          <w:p>
            <w:pPr>
              <w:pStyle w:val="TableContents"/>
              <w:spacing w:before="0" w:after="283"/>
              <w:jc w:val="left"/>
              <w:rPr/>
            </w:pPr>
            <w:r>
              <w:rPr/>
              <w:t> </w:t>
            </w:r>
          </w:p>
        </w:tc>
        <w:tc>
          <w:tcPr>
            <w:tcW w:w="1173" w:type="dxa"/>
            <w:tcBorders/>
            <w:shd w:fill="CCFFCC" w:val="clear"/>
            <w:tcMar>
              <w:bottom w:w="0" w:type="dxa"/>
            </w:tcMar>
            <w:vAlign w:val="bottom"/>
          </w:tcPr>
          <w:p>
            <w:pPr>
              <w:pStyle w:val="TableContents"/>
              <w:spacing w:lineRule="auto" w:line="300" w:before="0" w:after="0"/>
              <w:ind w:left="0" w:right="0" w:hanging="0"/>
              <w:jc w:val="right"/>
              <w:rPr/>
            </w:pPr>
            <w:r>
              <w:rPr/>
              <w:t>—</w:t>
            </w:r>
          </w:p>
        </w:tc>
        <w:tc>
          <w:tcPr>
            <w:tcW w:w="110" w:type="dxa"/>
            <w:tcBorders/>
            <w:shd w:fill="CCFFCC" w:val="clear"/>
            <w:tcMar>
              <w:bottom w:w="0" w:type="dxa"/>
            </w:tcMar>
            <w:vAlign w:val="bottom"/>
          </w:tcPr>
          <w:p>
            <w:pPr>
              <w:pStyle w:val="TableContents"/>
              <w:spacing w:before="0" w:after="283"/>
              <w:jc w:val="left"/>
              <w:rPr/>
            </w:pPr>
            <w:r>
              <w:rPr/>
              <w:t> </w:t>
            </w:r>
          </w:p>
        </w:tc>
      </w:tr>
      <w:tr>
        <w:trPr/>
        <w:tc>
          <w:tcPr>
            <w:tcW w:w="300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Weighted Average Price (Per MMBtu)</w:t>
            </w:r>
          </w:p>
        </w:tc>
        <w:tc>
          <w:tcPr>
            <w:tcW w:w="195" w:type="dxa"/>
            <w:tcBorders/>
            <w:shd w:fill="FFFFFF" w:val="clear"/>
            <w:tcMar>
              <w:bottom w:w="0" w:type="dxa"/>
            </w:tcMar>
            <w:vAlign w:val="center"/>
          </w:tcPr>
          <w:p>
            <w:pPr>
              <w:pStyle w:val="TableContents"/>
              <w:spacing w:before="0" w:after="283"/>
              <w:rPr/>
            </w:pPr>
            <w:r>
              <w:rPr/>
              <w:t> </w:t>
            </w:r>
          </w:p>
        </w:tc>
        <w:tc>
          <w:tcPr>
            <w:tcW w:w="128"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9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8.70</w:t>
            </w:r>
          </w:p>
        </w:tc>
        <w:tc>
          <w:tcPr>
            <w:tcW w:w="195" w:type="dxa"/>
            <w:tcBorders/>
            <w:shd w:fill="FFFFFF" w:val="clear"/>
            <w:tcMar>
              <w:bottom w:w="0" w:type="dxa"/>
            </w:tcMar>
            <w:vAlign w:val="bottom"/>
          </w:tcPr>
          <w:p>
            <w:pPr>
              <w:pStyle w:val="TableContents"/>
              <w:spacing w:before="0" w:after="283"/>
              <w:jc w:val="left"/>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173" w:type="dxa"/>
            <w:tcBorders/>
            <w:shd w:fill="FFFFFF" w:val="clear"/>
            <w:tcMar>
              <w:bottom w:w="0" w:type="dxa"/>
            </w:tcMar>
            <w:vAlign w:val="bottom"/>
          </w:tcPr>
          <w:p>
            <w:pPr>
              <w:pStyle w:val="TableContents"/>
              <w:spacing w:lineRule="auto" w:line="300" w:before="0" w:after="0"/>
              <w:ind w:left="0" w:right="0" w:hanging="0"/>
              <w:jc w:val="right"/>
              <w:rPr/>
            </w:pPr>
            <w:r>
              <w:rPr/>
              <w:t>—</w:t>
            </w:r>
          </w:p>
        </w:tc>
        <w:tc>
          <w:tcPr>
            <w:tcW w:w="110" w:type="dxa"/>
            <w:tcBorders/>
            <w:shd w:fill="FFFFFF" w:val="clear"/>
            <w:tcMar>
              <w:bottom w:w="0" w:type="dxa"/>
            </w:tcMar>
            <w:vAlign w:val="bottom"/>
          </w:tcPr>
          <w:p>
            <w:pPr>
              <w:pStyle w:val="TableContents"/>
              <w:spacing w:before="0" w:after="283"/>
              <w:jc w:val="left"/>
              <w:rPr/>
            </w:pPr>
            <w:r>
              <w:rPr/>
              <w:t> </w:t>
            </w:r>
          </w:p>
        </w:tc>
      </w:tr>
      <w:tr>
        <w:trPr/>
        <w:tc>
          <w:tcPr>
            <w:tcW w:w="3001"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Contract Amount ($ U.S., in thousands)</w:t>
            </w:r>
          </w:p>
        </w:tc>
        <w:tc>
          <w:tcPr>
            <w:tcW w:w="195" w:type="dxa"/>
            <w:tcBorders>
              <w:bottom w:val="single" w:sz="4" w:space="0" w:color="CCFFCC"/>
            </w:tcBorders>
            <w:shd w:fill="CCFFCC" w:val="clear"/>
            <w:vAlign w:val="center"/>
          </w:tcPr>
          <w:p>
            <w:pPr>
              <w:pStyle w:val="TableContents"/>
              <w:spacing w:before="0" w:after="283"/>
              <w:rPr/>
            </w:pPr>
            <w:r>
              <w:rPr/>
              <w:t> </w:t>
            </w:r>
          </w:p>
        </w:tc>
        <w:tc>
          <w:tcPr>
            <w:tcW w:w="128"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93"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4,088.3</w:t>
            </w:r>
          </w:p>
        </w:tc>
        <w:tc>
          <w:tcPr>
            <w:tcW w:w="195" w:type="dxa"/>
            <w:tcBorders>
              <w:bottom w:val="single" w:sz="4" w:space="0" w:color="CCFFCC"/>
            </w:tcBorders>
            <w:shd w:fill="CCFFCC" w:val="clear"/>
            <w:vAlign w:val="bottom"/>
          </w:tcPr>
          <w:p>
            <w:pPr>
              <w:pStyle w:val="TableContents"/>
              <w:spacing w:before="0" w:after="283"/>
              <w:jc w:val="left"/>
              <w:rPr/>
            </w:pPr>
            <w:r>
              <w:rPr/>
              <w:t> </w:t>
            </w:r>
          </w:p>
        </w:tc>
        <w:tc>
          <w:tcPr>
            <w:tcW w:w="128"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73"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4,304.0</w:t>
            </w:r>
          </w:p>
        </w:tc>
        <w:tc>
          <w:tcPr>
            <w:tcW w:w="110" w:type="dxa"/>
            <w:tcBorders>
              <w:bottom w:val="single" w:sz="4" w:space="0" w:color="CCFFCC"/>
            </w:tcBorders>
            <w:shd w:fill="CCFFCC"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Factors that could influence the fair value of the natural gas contracts, include, but are not limited to, the creditworthiness of our natural gas suppliers, the overall general economy, developments in world events, and the general demand for natural gas by the manufacturing sector, seasonality and the weather patterns throughout the United States and the world. Some of these same events have allowed us to mitigate the impact of the natural gas contracts by the continued, and in some cases expanded, use of recycled oil in our manufacturing processes. Accurate estimates of the impact that these contracts may have on our fiscal 2008 financial results are difficult to make due to the inherent uncertainty of future fluctuations in option contract prices in the natural gas options market.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89" w:name="PGBRK22"/>
      <w:bookmarkStart w:id="790" w:name="PGBRK22"/>
      <w:bookmarkEnd w:id="7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91" w:name="FTR22"/>
      <w:bookmarkStart w:id="792" w:name="FTR22"/>
      <w:bookmarkEnd w:id="7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93" w:name="GLFTR22"/>
      <w:bookmarkStart w:id="794" w:name="GLFTR22"/>
      <w:bookmarkEnd w:id="7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795" w:name="PN22"/>
      <w:bookmarkEnd w:id="795"/>
      <w:r>
        <w:rPr>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96" w:name="HDR22"/>
      <w:bookmarkStart w:id="797" w:name="HDR22"/>
      <w:bookmarkEnd w:id="7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98" w:name="GLHDR22"/>
      <w:bookmarkStart w:id="799" w:name="GLHDR22"/>
      <w:bookmarkEnd w:id="7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ITEM 4. CONTROLS AND PROCEDURES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Evaluation of Disclosure Controls and Procedures</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Management conducted an evaluation of the effectiveness of the design and operation of our disclosure controls and procedures as of the end of the period covered by this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material information relating to us and our consolidated subsidiaries is made known to management, including the CEO and CFO, during the period when our periodic reports are being prepared.</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rPr>
        <w:t xml:space="preserve">Changes in Internal Control over Financial Reporting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There were no changes in our internal control over financial reporting that occurred during the fiscal quarter ended January 31, 2008 that have materially affected, or are reasonably likely to materially affect, our internal control over financial reporting.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rPr>
        <w:t xml:space="preserve">Inherent Limitations on Effectiveness of Controls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Our management, including the CEO and CFO, do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00" w:name="PGBRK23"/>
      <w:bookmarkStart w:id="801" w:name="PGBRK23"/>
      <w:bookmarkEnd w:id="8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2" w:name="FTR23"/>
      <w:bookmarkStart w:id="803" w:name="FTR23"/>
      <w:bookmarkEnd w:id="8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4" w:name="GLFTR23"/>
      <w:bookmarkStart w:id="805" w:name="GLFTR23"/>
      <w:bookmarkEnd w:id="8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806" w:name="PN23"/>
      <w:bookmarkEnd w:id="806"/>
      <w:r>
        <w:rPr>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7" w:name="HDR23"/>
      <w:bookmarkStart w:id="808" w:name="HDR23"/>
      <w:bookmarkEnd w:id="8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9" w:name="GLHDR23"/>
      <w:bookmarkStart w:id="810" w:name="GLHDR23"/>
      <w:bookmarkEnd w:id="8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PART II – OTHER INFORMATION</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Items 1, 2, 3, and 5 of this Part II are either inapplicable or are answered in the negative and are omitted pursuant to the instructions to Part II. </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ITEM 1A. RISK FACTORS</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For information regarding Risk Factors, please refer to Item 1A in our Annual Report on Form 10-K for the year ended July 31, 2007. There have been no material changes in risk factors since July 31, 2007.</w:t>
      </w:r>
    </w:p>
    <w:p>
      <w:pPr>
        <w:pStyle w:val="TextBody"/>
        <w:spacing w:lineRule="auto" w:line="300" w:before="0" w:after="0"/>
        <w:ind w:left="0" w:right="0" w:hanging="0"/>
        <w:jc w:val="both"/>
        <w:rPr/>
      </w:pPr>
      <w:r>
        <w:rPr/>
      </w:r>
    </w:p>
    <w:p>
      <w:pPr>
        <w:pStyle w:val="TextBody"/>
        <w:spacing w:lineRule="auto" w:line="300" w:before="0" w:after="0"/>
        <w:ind w:left="1620" w:right="0" w:hanging="1620"/>
        <w:jc w:val="left"/>
        <w:rPr/>
      </w:pPr>
      <w:r>
        <w:rPr>
          <w:rStyle w:val="StrongEmphasis"/>
          <w:rFonts w:ascii="Times New Roman" w:hAnsi="Times New Roman"/>
          <w:sz w:val="20"/>
        </w:rPr>
        <w:t xml:space="preserve">ITEM 4. SUBMISSION OF MATTERS TO A VOTE OF SECURITY HOLDERS </w:t>
      </w:r>
    </w:p>
    <w:p>
      <w:pPr>
        <w:pStyle w:val="TextBody"/>
        <w:spacing w:lineRule="auto" w:line="300" w:before="0" w:after="0"/>
        <w:ind w:left="1620" w:right="0" w:hanging="162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On December 4, 2007, we held our 2007 Annual Meeting of Stockholders for the purpose of considering and voting on two matters, summarized below.</w:t>
      </w:r>
    </w:p>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811" w:name="hangingindent"/>
      <w:bookmarkStart w:id="812" w:name="hangingindent"/>
      <w:bookmarkEnd w:id="812"/>
    </w:p>
    <w:tbl>
      <w:tblPr>
        <w:tblW w:w="5000" w:type="pct"/>
        <w:jc w:val="center"/>
        <w:tblInd w:w="0" w:type="dxa"/>
        <w:tblCellMar>
          <w:top w:w="0" w:type="dxa"/>
          <w:left w:w="0" w:type="dxa"/>
          <w:bottom w:w="0" w:type="dxa"/>
          <w:right w:w="0" w:type="dxa"/>
        </w:tblCellMar>
      </w:tblPr>
      <w:tblGrid>
        <w:gridCol w:w="119"/>
        <w:gridCol w:w="881"/>
        <w:gridCol w:w="9205"/>
      </w:tblGrid>
      <w:tr>
        <w:trPr/>
        <w:tc>
          <w:tcPr>
            <w:tcW w:w="119" w:type="dxa"/>
            <w:tcBorders/>
            <w:shd w:fill="auto" w:val="clear"/>
          </w:tcPr>
          <w:p>
            <w:pPr>
              <w:pStyle w:val="TableContents"/>
              <w:spacing w:before="0" w:after="283"/>
              <w:rPr>
                <w:sz w:val="4"/>
                <w:szCs w:val="4"/>
              </w:rPr>
            </w:pPr>
            <w:r>
              <w:rPr>
                <w:sz w:val="4"/>
                <w:szCs w:val="4"/>
              </w:rPr>
            </w:r>
          </w:p>
        </w:tc>
        <w:tc>
          <w:tcPr>
            <w:tcW w:w="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205" w:type="dxa"/>
            <w:tcBorders/>
            <w:shd w:fill="auto" w:val="clear"/>
          </w:tcPr>
          <w:p>
            <w:pPr>
              <w:pStyle w:val="TableContents"/>
              <w:spacing w:before="0" w:after="0"/>
              <w:jc w:val="left"/>
              <w:rPr/>
            </w:pPr>
            <w:r>
              <w:rPr>
                <w:rStyle w:val="StrongEmphasis"/>
                <w:rFonts w:ascii="Times New Roman" w:hAnsi="Times New Roman"/>
                <w:sz w:val="20"/>
              </w:rPr>
              <w:t>Election of Directors</w:t>
            </w:r>
          </w:p>
        </w:tc>
      </w:tr>
    </w:tbl>
    <w:p>
      <w:pPr>
        <w:pStyle w:val="TextBody"/>
        <w:spacing w:lineRule="auto" w:line="300" w:before="0" w:after="0"/>
        <w:ind w:left="1620" w:right="0" w:hanging="1620"/>
        <w:jc w:val="left"/>
        <w:rPr/>
      </w:pPr>
      <w:r>
        <w:rPr/>
      </w:r>
    </w:p>
    <w:p>
      <w:pPr>
        <w:pStyle w:val="TextBody"/>
        <w:spacing w:lineRule="auto" w:line="300" w:before="0" w:after="0"/>
        <w:ind w:left="1080" w:right="0" w:hanging="0"/>
        <w:jc w:val="both"/>
        <w:rPr>
          <w:rFonts w:ascii="Times New Roman" w:hAnsi="Times New Roman"/>
          <w:sz w:val="20"/>
        </w:rPr>
      </w:pPr>
      <w:r>
        <w:rPr>
          <w:rFonts w:ascii="Times New Roman" w:hAnsi="Times New Roman"/>
          <w:sz w:val="20"/>
        </w:rPr>
        <w:t>The following schedule sets forth the results of the vote to elect eight directors. As of the record date of the meeting a total of 6,929,392 shares of Common Stock and Class B Stock were eligible to cast a total of 24,117,565 votes. At the meeting, shares representing a total of 20,287,716 votes were present in person or by proxy.</w:t>
      </w:r>
    </w:p>
    <w:p>
      <w:pPr>
        <w:pStyle w:val="TextBody"/>
        <w:spacing w:lineRule="auto" w:line="300" w:before="0" w:after="0"/>
        <w:ind w:left="1080" w:right="0" w:hanging="0"/>
        <w:jc w:val="both"/>
        <w:rPr/>
      </w:pPr>
      <w:r>
        <w:rPr/>
        <w:t> </w:t>
      </w:r>
    </w:p>
    <w:p>
      <w:pPr>
        <w:pStyle w:val="Normal"/>
        <w:spacing w:before="0" w:after="0"/>
        <w:rPr>
          <w:sz w:val="4"/>
          <w:szCs w:val="4"/>
        </w:rPr>
      </w:pPr>
      <w:r>
        <w:rPr>
          <w:sz w:val="4"/>
          <w:szCs w:val="4"/>
        </w:rPr>
      </w:r>
      <w:bookmarkStart w:id="813" w:name="ftable20"/>
      <w:bookmarkStart w:id="814" w:name="ftable20"/>
      <w:bookmarkEnd w:id="814"/>
    </w:p>
    <w:tbl>
      <w:tblPr>
        <w:tblW w:w="3500" w:type="pct"/>
        <w:jc w:val="center"/>
        <w:tblInd w:w="0" w:type="dxa"/>
        <w:tblCellMar>
          <w:top w:w="0" w:type="dxa"/>
          <w:left w:w="0" w:type="dxa"/>
          <w:bottom w:w="28" w:type="dxa"/>
          <w:right w:w="0" w:type="dxa"/>
        </w:tblCellMar>
      </w:tblPr>
      <w:tblGrid>
        <w:gridCol w:w="3991"/>
        <w:gridCol w:w="197"/>
        <w:gridCol w:w="104"/>
        <w:gridCol w:w="1196"/>
        <w:gridCol w:w="197"/>
        <w:gridCol w:w="108"/>
        <w:gridCol w:w="1239"/>
        <w:gridCol w:w="111"/>
      </w:tblGrid>
      <w:tr>
        <w:trPr/>
        <w:tc>
          <w:tcPr>
            <w:tcW w:w="3991" w:type="dxa"/>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Director</w:t>
            </w:r>
          </w:p>
        </w:tc>
        <w:tc>
          <w:tcPr>
            <w:tcW w:w="197" w:type="dxa"/>
            <w:tcBorders>
              <w:bottom w:val="single" w:sz="2" w:space="0" w:color="FFFFFF"/>
            </w:tcBorders>
            <w:shd w:fill="auto" w:val="clear"/>
            <w:vAlign w:val="center"/>
          </w:tcPr>
          <w:p>
            <w:pPr>
              <w:pStyle w:val="TableContents"/>
              <w:spacing w:before="0" w:after="283"/>
              <w:rPr/>
            </w:pPr>
            <w:r>
              <w:rPr/>
              <w:t> </w:t>
            </w:r>
          </w:p>
        </w:tc>
        <w:tc>
          <w:tcPr>
            <w:tcW w:w="1300"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Votes For</w:t>
            </w:r>
          </w:p>
        </w:tc>
        <w:tc>
          <w:tcPr>
            <w:tcW w:w="197" w:type="dxa"/>
            <w:tcBorders>
              <w:bottom w:val="single" w:sz="2" w:space="0" w:color="FFFFFF"/>
            </w:tcBorders>
            <w:shd w:fill="auto" w:val="clear"/>
            <w:vAlign w:val="bottom"/>
          </w:tcPr>
          <w:p>
            <w:pPr>
              <w:pStyle w:val="TableContents"/>
              <w:spacing w:before="0" w:after="283"/>
              <w:jc w:val="left"/>
              <w:rPr/>
            </w:pPr>
            <w:r>
              <w:rPr/>
              <w:t> </w:t>
            </w:r>
          </w:p>
        </w:tc>
        <w:tc>
          <w:tcPr>
            <w:tcW w:w="1347"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Votes Withheld</w:t>
            </w:r>
          </w:p>
        </w:tc>
        <w:tc>
          <w:tcPr>
            <w:tcW w:w="111" w:type="dxa"/>
            <w:tcBorders>
              <w:bottom w:val="single" w:sz="2" w:space="0" w:color="FFFFFF"/>
            </w:tcBorders>
            <w:shd w:fill="auto" w:val="clear"/>
            <w:vAlign w:val="bottom"/>
          </w:tcPr>
          <w:p>
            <w:pPr>
              <w:pStyle w:val="TableContents"/>
              <w:spacing w:before="0" w:after="283"/>
              <w:jc w:val="left"/>
              <w:rPr/>
            </w:pPr>
            <w:r>
              <w:rPr/>
              <w:t> </w:t>
            </w:r>
          </w:p>
        </w:tc>
      </w:tr>
      <w:tr>
        <w:trPr/>
        <w:tc>
          <w:tcPr>
            <w:tcW w:w="3991"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J. Steven Cole</w:t>
            </w:r>
          </w:p>
        </w:tc>
        <w:tc>
          <w:tcPr>
            <w:tcW w:w="197" w:type="dxa"/>
            <w:tcBorders/>
            <w:shd w:fill="CCFFCC" w:val="clear"/>
            <w:tcMar>
              <w:bottom w:w="0" w:type="dxa"/>
            </w:tcMar>
            <w:vAlign w:val="center"/>
          </w:tcPr>
          <w:p>
            <w:pPr>
              <w:pStyle w:val="TableContents"/>
              <w:spacing w:before="0" w:after="283"/>
              <w:rPr/>
            </w:pPr>
            <w:r>
              <w:rPr/>
              <w:t> </w:t>
            </w:r>
          </w:p>
        </w:tc>
        <w:tc>
          <w:tcPr>
            <w:tcW w:w="104" w:type="dxa"/>
            <w:tcBorders/>
            <w:shd w:fill="CCFFCC" w:val="clear"/>
            <w:tcMar>
              <w:bottom w:w="0" w:type="dxa"/>
            </w:tcMar>
            <w:vAlign w:val="bottom"/>
          </w:tcPr>
          <w:p>
            <w:pPr>
              <w:pStyle w:val="TableContents"/>
              <w:spacing w:before="0" w:after="283"/>
              <w:jc w:val="left"/>
              <w:rPr/>
            </w:pPr>
            <w:r>
              <w:rPr/>
              <w:t> </w:t>
            </w:r>
          </w:p>
        </w:tc>
        <w:tc>
          <w:tcPr>
            <w:tcW w:w="1196"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20,187,373</w:t>
            </w:r>
          </w:p>
        </w:tc>
        <w:tc>
          <w:tcPr>
            <w:tcW w:w="197" w:type="dxa"/>
            <w:tcBorders/>
            <w:shd w:fill="CCFFCC" w:val="clear"/>
            <w:tcMar>
              <w:bottom w:w="0" w:type="dxa"/>
            </w:tcMar>
            <w:vAlign w:val="bottom"/>
          </w:tcPr>
          <w:p>
            <w:pPr>
              <w:pStyle w:val="TableContents"/>
              <w:spacing w:before="0" w:after="283"/>
              <w:jc w:val="left"/>
              <w:rPr/>
            </w:pPr>
            <w:r>
              <w:rPr/>
              <w:t> </w:t>
            </w:r>
          </w:p>
        </w:tc>
        <w:tc>
          <w:tcPr>
            <w:tcW w:w="108" w:type="dxa"/>
            <w:tcBorders/>
            <w:shd w:fill="CCFFCC" w:val="clear"/>
            <w:tcMar>
              <w:bottom w:w="0" w:type="dxa"/>
            </w:tcMar>
            <w:vAlign w:val="bottom"/>
          </w:tcPr>
          <w:p>
            <w:pPr>
              <w:pStyle w:val="TableContents"/>
              <w:spacing w:before="0" w:after="283"/>
              <w:jc w:val="left"/>
              <w:rPr/>
            </w:pPr>
            <w:r>
              <w:rPr/>
              <w:t> </w:t>
            </w:r>
          </w:p>
        </w:tc>
        <w:tc>
          <w:tcPr>
            <w:tcW w:w="123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100,343</w:t>
            </w:r>
          </w:p>
        </w:tc>
        <w:tc>
          <w:tcPr>
            <w:tcW w:w="111" w:type="dxa"/>
            <w:tcBorders/>
            <w:shd w:fill="CCFFCC" w:val="clear"/>
            <w:tcMar>
              <w:bottom w:w="0" w:type="dxa"/>
            </w:tcMar>
            <w:vAlign w:val="bottom"/>
          </w:tcPr>
          <w:p>
            <w:pPr>
              <w:pStyle w:val="TableContents"/>
              <w:spacing w:before="0" w:after="283"/>
              <w:jc w:val="left"/>
              <w:rPr/>
            </w:pPr>
            <w:r>
              <w:rPr/>
              <w:t> </w:t>
            </w:r>
          </w:p>
        </w:tc>
      </w:tr>
      <w:tr>
        <w:trPr/>
        <w:tc>
          <w:tcPr>
            <w:tcW w:w="399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Arnold W. Donald</w:t>
            </w:r>
          </w:p>
        </w:tc>
        <w:tc>
          <w:tcPr>
            <w:tcW w:w="197" w:type="dxa"/>
            <w:tcBorders/>
            <w:shd w:fill="FFFFFF" w:val="clear"/>
            <w:tcMar>
              <w:bottom w:w="0" w:type="dxa"/>
            </w:tcMar>
            <w:vAlign w:val="center"/>
          </w:tcPr>
          <w:p>
            <w:pPr>
              <w:pStyle w:val="TableContents"/>
              <w:spacing w:before="0" w:after="283"/>
              <w:rPr/>
            </w:pPr>
            <w:r>
              <w:rPr/>
              <w:t> </w:t>
            </w:r>
          </w:p>
        </w:tc>
        <w:tc>
          <w:tcPr>
            <w:tcW w:w="104" w:type="dxa"/>
            <w:tcBorders/>
            <w:shd w:fill="FFFFFF" w:val="clear"/>
            <w:tcMar>
              <w:bottom w:w="0" w:type="dxa"/>
            </w:tcMar>
            <w:vAlign w:val="bottom"/>
          </w:tcPr>
          <w:p>
            <w:pPr>
              <w:pStyle w:val="TableContents"/>
              <w:spacing w:before="0" w:after="283"/>
              <w:jc w:val="left"/>
              <w:rPr/>
            </w:pPr>
            <w:r>
              <w:rPr/>
              <w:t> </w:t>
            </w:r>
          </w:p>
        </w:tc>
        <w:tc>
          <w:tcPr>
            <w:tcW w:w="119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20,232,165</w:t>
            </w:r>
          </w:p>
        </w:tc>
        <w:tc>
          <w:tcPr>
            <w:tcW w:w="197"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23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55,551</w:t>
            </w:r>
          </w:p>
        </w:tc>
        <w:tc>
          <w:tcPr>
            <w:tcW w:w="111" w:type="dxa"/>
            <w:tcBorders/>
            <w:shd w:fill="FFFFFF" w:val="clear"/>
            <w:tcMar>
              <w:bottom w:w="0" w:type="dxa"/>
            </w:tcMar>
            <w:vAlign w:val="bottom"/>
          </w:tcPr>
          <w:p>
            <w:pPr>
              <w:pStyle w:val="TableContents"/>
              <w:spacing w:before="0" w:after="283"/>
              <w:jc w:val="left"/>
              <w:rPr/>
            </w:pPr>
            <w:r>
              <w:rPr/>
              <w:t> </w:t>
            </w:r>
          </w:p>
        </w:tc>
      </w:tr>
      <w:tr>
        <w:trPr/>
        <w:tc>
          <w:tcPr>
            <w:tcW w:w="3991"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Daniel S. Jaffee</w:t>
            </w:r>
          </w:p>
        </w:tc>
        <w:tc>
          <w:tcPr>
            <w:tcW w:w="197" w:type="dxa"/>
            <w:tcBorders/>
            <w:shd w:fill="CCFFCC" w:val="clear"/>
            <w:tcMar>
              <w:bottom w:w="0" w:type="dxa"/>
            </w:tcMar>
            <w:vAlign w:val="center"/>
          </w:tcPr>
          <w:p>
            <w:pPr>
              <w:pStyle w:val="TableContents"/>
              <w:spacing w:before="0" w:after="283"/>
              <w:rPr/>
            </w:pPr>
            <w:r>
              <w:rPr/>
              <w:t> </w:t>
            </w:r>
          </w:p>
        </w:tc>
        <w:tc>
          <w:tcPr>
            <w:tcW w:w="104" w:type="dxa"/>
            <w:tcBorders/>
            <w:shd w:fill="CCFFCC" w:val="clear"/>
            <w:tcMar>
              <w:bottom w:w="0" w:type="dxa"/>
            </w:tcMar>
            <w:vAlign w:val="bottom"/>
          </w:tcPr>
          <w:p>
            <w:pPr>
              <w:pStyle w:val="TableContents"/>
              <w:spacing w:before="0" w:after="283"/>
              <w:jc w:val="left"/>
              <w:rPr/>
            </w:pPr>
            <w:r>
              <w:rPr/>
              <w:t> </w:t>
            </w:r>
          </w:p>
        </w:tc>
        <w:tc>
          <w:tcPr>
            <w:tcW w:w="1196"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19,247,947</w:t>
            </w:r>
          </w:p>
        </w:tc>
        <w:tc>
          <w:tcPr>
            <w:tcW w:w="197" w:type="dxa"/>
            <w:tcBorders/>
            <w:shd w:fill="CCFFCC" w:val="clear"/>
            <w:tcMar>
              <w:bottom w:w="0" w:type="dxa"/>
            </w:tcMar>
            <w:vAlign w:val="bottom"/>
          </w:tcPr>
          <w:p>
            <w:pPr>
              <w:pStyle w:val="TableContents"/>
              <w:spacing w:before="0" w:after="283"/>
              <w:jc w:val="left"/>
              <w:rPr/>
            </w:pPr>
            <w:r>
              <w:rPr/>
              <w:t> </w:t>
            </w:r>
          </w:p>
        </w:tc>
        <w:tc>
          <w:tcPr>
            <w:tcW w:w="108" w:type="dxa"/>
            <w:tcBorders/>
            <w:shd w:fill="CCFFCC" w:val="clear"/>
            <w:tcMar>
              <w:bottom w:w="0" w:type="dxa"/>
            </w:tcMar>
            <w:vAlign w:val="bottom"/>
          </w:tcPr>
          <w:p>
            <w:pPr>
              <w:pStyle w:val="TableContents"/>
              <w:spacing w:before="0" w:after="283"/>
              <w:jc w:val="left"/>
              <w:rPr/>
            </w:pPr>
            <w:r>
              <w:rPr/>
              <w:t> </w:t>
            </w:r>
          </w:p>
        </w:tc>
        <w:tc>
          <w:tcPr>
            <w:tcW w:w="123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1,039,769</w:t>
            </w:r>
          </w:p>
        </w:tc>
        <w:tc>
          <w:tcPr>
            <w:tcW w:w="111" w:type="dxa"/>
            <w:tcBorders/>
            <w:shd w:fill="CCFFCC" w:val="clear"/>
            <w:tcMar>
              <w:bottom w:w="0" w:type="dxa"/>
            </w:tcMar>
            <w:vAlign w:val="bottom"/>
          </w:tcPr>
          <w:p>
            <w:pPr>
              <w:pStyle w:val="TableContents"/>
              <w:spacing w:before="0" w:after="283"/>
              <w:jc w:val="left"/>
              <w:rPr/>
            </w:pPr>
            <w:r>
              <w:rPr/>
              <w:t> </w:t>
            </w:r>
          </w:p>
        </w:tc>
      </w:tr>
      <w:tr>
        <w:trPr/>
        <w:tc>
          <w:tcPr>
            <w:tcW w:w="399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Richard M. Jaffee</w:t>
            </w:r>
          </w:p>
        </w:tc>
        <w:tc>
          <w:tcPr>
            <w:tcW w:w="197" w:type="dxa"/>
            <w:tcBorders/>
            <w:shd w:fill="FFFFFF" w:val="clear"/>
            <w:tcMar>
              <w:bottom w:w="0" w:type="dxa"/>
            </w:tcMar>
            <w:vAlign w:val="center"/>
          </w:tcPr>
          <w:p>
            <w:pPr>
              <w:pStyle w:val="TableContents"/>
              <w:spacing w:before="0" w:after="283"/>
              <w:rPr/>
            </w:pPr>
            <w:r>
              <w:rPr/>
              <w:t> </w:t>
            </w:r>
          </w:p>
        </w:tc>
        <w:tc>
          <w:tcPr>
            <w:tcW w:w="104" w:type="dxa"/>
            <w:tcBorders/>
            <w:shd w:fill="FFFFFF" w:val="clear"/>
            <w:tcMar>
              <w:bottom w:w="0" w:type="dxa"/>
            </w:tcMar>
            <w:vAlign w:val="bottom"/>
          </w:tcPr>
          <w:p>
            <w:pPr>
              <w:pStyle w:val="TableContents"/>
              <w:spacing w:before="0" w:after="283"/>
              <w:jc w:val="left"/>
              <w:rPr/>
            </w:pPr>
            <w:r>
              <w:rPr/>
              <w:t> </w:t>
            </w:r>
          </w:p>
        </w:tc>
        <w:tc>
          <w:tcPr>
            <w:tcW w:w="119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19,248,044</w:t>
            </w:r>
          </w:p>
        </w:tc>
        <w:tc>
          <w:tcPr>
            <w:tcW w:w="197"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23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1,039,672</w:t>
            </w:r>
          </w:p>
        </w:tc>
        <w:tc>
          <w:tcPr>
            <w:tcW w:w="111" w:type="dxa"/>
            <w:tcBorders/>
            <w:shd w:fill="FFFFFF" w:val="clear"/>
            <w:tcMar>
              <w:bottom w:w="0" w:type="dxa"/>
            </w:tcMar>
            <w:vAlign w:val="bottom"/>
          </w:tcPr>
          <w:p>
            <w:pPr>
              <w:pStyle w:val="TableContents"/>
              <w:spacing w:before="0" w:after="283"/>
              <w:jc w:val="left"/>
              <w:rPr/>
            </w:pPr>
            <w:r>
              <w:rPr/>
              <w:t> </w:t>
            </w:r>
          </w:p>
        </w:tc>
      </w:tr>
      <w:tr>
        <w:trPr/>
        <w:tc>
          <w:tcPr>
            <w:tcW w:w="3991"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Joseph C. Miller</w:t>
            </w:r>
          </w:p>
        </w:tc>
        <w:tc>
          <w:tcPr>
            <w:tcW w:w="197" w:type="dxa"/>
            <w:tcBorders/>
            <w:shd w:fill="CCFFCC" w:val="clear"/>
            <w:tcMar>
              <w:bottom w:w="0" w:type="dxa"/>
            </w:tcMar>
            <w:vAlign w:val="center"/>
          </w:tcPr>
          <w:p>
            <w:pPr>
              <w:pStyle w:val="TableContents"/>
              <w:spacing w:before="0" w:after="283"/>
              <w:rPr/>
            </w:pPr>
            <w:r>
              <w:rPr/>
              <w:t> </w:t>
            </w:r>
          </w:p>
        </w:tc>
        <w:tc>
          <w:tcPr>
            <w:tcW w:w="104" w:type="dxa"/>
            <w:tcBorders/>
            <w:shd w:fill="CCFFCC" w:val="clear"/>
            <w:tcMar>
              <w:bottom w:w="0" w:type="dxa"/>
            </w:tcMar>
            <w:vAlign w:val="bottom"/>
          </w:tcPr>
          <w:p>
            <w:pPr>
              <w:pStyle w:val="TableContents"/>
              <w:spacing w:before="0" w:after="283"/>
              <w:jc w:val="left"/>
              <w:rPr/>
            </w:pPr>
            <w:r>
              <w:rPr/>
              <w:t> </w:t>
            </w:r>
          </w:p>
        </w:tc>
        <w:tc>
          <w:tcPr>
            <w:tcW w:w="1196"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19,244,328</w:t>
            </w:r>
          </w:p>
        </w:tc>
        <w:tc>
          <w:tcPr>
            <w:tcW w:w="197" w:type="dxa"/>
            <w:tcBorders/>
            <w:shd w:fill="CCFFCC" w:val="clear"/>
            <w:tcMar>
              <w:bottom w:w="0" w:type="dxa"/>
            </w:tcMar>
            <w:vAlign w:val="bottom"/>
          </w:tcPr>
          <w:p>
            <w:pPr>
              <w:pStyle w:val="TableContents"/>
              <w:spacing w:before="0" w:after="283"/>
              <w:jc w:val="left"/>
              <w:rPr/>
            </w:pPr>
            <w:r>
              <w:rPr/>
              <w:t> </w:t>
            </w:r>
          </w:p>
        </w:tc>
        <w:tc>
          <w:tcPr>
            <w:tcW w:w="108" w:type="dxa"/>
            <w:tcBorders/>
            <w:shd w:fill="CCFFCC" w:val="clear"/>
            <w:tcMar>
              <w:bottom w:w="0" w:type="dxa"/>
            </w:tcMar>
            <w:vAlign w:val="bottom"/>
          </w:tcPr>
          <w:p>
            <w:pPr>
              <w:pStyle w:val="TableContents"/>
              <w:spacing w:before="0" w:after="283"/>
              <w:jc w:val="left"/>
              <w:rPr/>
            </w:pPr>
            <w:r>
              <w:rPr/>
              <w:t> </w:t>
            </w:r>
          </w:p>
        </w:tc>
        <w:tc>
          <w:tcPr>
            <w:tcW w:w="123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1,043,388</w:t>
            </w:r>
          </w:p>
        </w:tc>
        <w:tc>
          <w:tcPr>
            <w:tcW w:w="111" w:type="dxa"/>
            <w:tcBorders/>
            <w:shd w:fill="CCFFCC" w:val="clear"/>
            <w:tcMar>
              <w:bottom w:w="0" w:type="dxa"/>
            </w:tcMar>
            <w:vAlign w:val="bottom"/>
          </w:tcPr>
          <w:p>
            <w:pPr>
              <w:pStyle w:val="TableContents"/>
              <w:spacing w:before="0" w:after="283"/>
              <w:jc w:val="left"/>
              <w:rPr/>
            </w:pPr>
            <w:r>
              <w:rPr/>
              <w:t> </w:t>
            </w:r>
          </w:p>
        </w:tc>
      </w:tr>
      <w:tr>
        <w:trPr/>
        <w:tc>
          <w:tcPr>
            <w:tcW w:w="399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Michael A. Nemeroff</w:t>
            </w:r>
          </w:p>
        </w:tc>
        <w:tc>
          <w:tcPr>
            <w:tcW w:w="197" w:type="dxa"/>
            <w:tcBorders/>
            <w:shd w:fill="FFFFFF" w:val="clear"/>
            <w:tcMar>
              <w:bottom w:w="0" w:type="dxa"/>
            </w:tcMar>
            <w:vAlign w:val="center"/>
          </w:tcPr>
          <w:p>
            <w:pPr>
              <w:pStyle w:val="TableContents"/>
              <w:spacing w:before="0" w:after="283"/>
              <w:rPr/>
            </w:pPr>
            <w:r>
              <w:rPr/>
              <w:t> </w:t>
            </w:r>
          </w:p>
        </w:tc>
        <w:tc>
          <w:tcPr>
            <w:tcW w:w="104" w:type="dxa"/>
            <w:tcBorders/>
            <w:shd w:fill="FFFFFF" w:val="clear"/>
            <w:tcMar>
              <w:bottom w:w="0" w:type="dxa"/>
            </w:tcMar>
            <w:vAlign w:val="bottom"/>
          </w:tcPr>
          <w:p>
            <w:pPr>
              <w:pStyle w:val="TableContents"/>
              <w:spacing w:before="0" w:after="283"/>
              <w:jc w:val="left"/>
              <w:rPr/>
            </w:pPr>
            <w:r>
              <w:rPr/>
              <w:t> </w:t>
            </w:r>
          </w:p>
        </w:tc>
        <w:tc>
          <w:tcPr>
            <w:tcW w:w="119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19,198,522</w:t>
            </w:r>
          </w:p>
        </w:tc>
        <w:tc>
          <w:tcPr>
            <w:tcW w:w="197"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23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1,089,194</w:t>
            </w:r>
          </w:p>
        </w:tc>
        <w:tc>
          <w:tcPr>
            <w:tcW w:w="111" w:type="dxa"/>
            <w:tcBorders/>
            <w:shd w:fill="FFFFFF" w:val="clear"/>
            <w:tcMar>
              <w:bottom w:w="0" w:type="dxa"/>
            </w:tcMar>
            <w:vAlign w:val="bottom"/>
          </w:tcPr>
          <w:p>
            <w:pPr>
              <w:pStyle w:val="TableContents"/>
              <w:spacing w:before="0" w:after="283"/>
              <w:jc w:val="left"/>
              <w:rPr/>
            </w:pPr>
            <w:r>
              <w:rPr/>
              <w:t> </w:t>
            </w:r>
          </w:p>
        </w:tc>
      </w:tr>
      <w:tr>
        <w:trPr/>
        <w:tc>
          <w:tcPr>
            <w:tcW w:w="3991"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Allan H. Selig</w:t>
            </w:r>
          </w:p>
        </w:tc>
        <w:tc>
          <w:tcPr>
            <w:tcW w:w="197" w:type="dxa"/>
            <w:tcBorders/>
            <w:shd w:fill="CCFFCC" w:val="clear"/>
            <w:tcMar>
              <w:bottom w:w="0" w:type="dxa"/>
            </w:tcMar>
            <w:vAlign w:val="center"/>
          </w:tcPr>
          <w:p>
            <w:pPr>
              <w:pStyle w:val="TableContents"/>
              <w:spacing w:before="0" w:after="283"/>
              <w:rPr/>
            </w:pPr>
            <w:r>
              <w:rPr/>
              <w:t> </w:t>
            </w:r>
          </w:p>
        </w:tc>
        <w:tc>
          <w:tcPr>
            <w:tcW w:w="104" w:type="dxa"/>
            <w:tcBorders/>
            <w:shd w:fill="CCFFCC" w:val="clear"/>
            <w:tcMar>
              <w:bottom w:w="0" w:type="dxa"/>
            </w:tcMar>
            <w:vAlign w:val="bottom"/>
          </w:tcPr>
          <w:p>
            <w:pPr>
              <w:pStyle w:val="TableContents"/>
              <w:spacing w:before="0" w:after="283"/>
              <w:jc w:val="left"/>
              <w:rPr/>
            </w:pPr>
            <w:r>
              <w:rPr/>
              <w:t> </w:t>
            </w:r>
          </w:p>
        </w:tc>
        <w:tc>
          <w:tcPr>
            <w:tcW w:w="1196"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20,180,647</w:t>
            </w:r>
          </w:p>
        </w:tc>
        <w:tc>
          <w:tcPr>
            <w:tcW w:w="197" w:type="dxa"/>
            <w:tcBorders/>
            <w:shd w:fill="CCFFCC" w:val="clear"/>
            <w:tcMar>
              <w:bottom w:w="0" w:type="dxa"/>
            </w:tcMar>
            <w:vAlign w:val="bottom"/>
          </w:tcPr>
          <w:p>
            <w:pPr>
              <w:pStyle w:val="TableContents"/>
              <w:spacing w:before="0" w:after="283"/>
              <w:jc w:val="left"/>
              <w:rPr/>
            </w:pPr>
            <w:r>
              <w:rPr/>
              <w:t> </w:t>
            </w:r>
          </w:p>
        </w:tc>
        <w:tc>
          <w:tcPr>
            <w:tcW w:w="108" w:type="dxa"/>
            <w:tcBorders/>
            <w:shd w:fill="CCFFCC" w:val="clear"/>
            <w:tcMar>
              <w:bottom w:w="0" w:type="dxa"/>
            </w:tcMar>
            <w:vAlign w:val="bottom"/>
          </w:tcPr>
          <w:p>
            <w:pPr>
              <w:pStyle w:val="TableContents"/>
              <w:spacing w:before="0" w:after="283"/>
              <w:jc w:val="left"/>
              <w:rPr/>
            </w:pPr>
            <w:r>
              <w:rPr/>
              <w:t> </w:t>
            </w:r>
          </w:p>
        </w:tc>
        <w:tc>
          <w:tcPr>
            <w:tcW w:w="123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107,069</w:t>
            </w:r>
          </w:p>
        </w:tc>
        <w:tc>
          <w:tcPr>
            <w:tcW w:w="111" w:type="dxa"/>
            <w:tcBorders/>
            <w:shd w:fill="CCFFCC" w:val="clear"/>
            <w:tcMar>
              <w:bottom w:w="0" w:type="dxa"/>
            </w:tcMar>
            <w:vAlign w:val="bottom"/>
          </w:tcPr>
          <w:p>
            <w:pPr>
              <w:pStyle w:val="TableContents"/>
              <w:spacing w:before="0" w:after="283"/>
              <w:jc w:val="left"/>
              <w:rPr/>
            </w:pPr>
            <w:r>
              <w:rPr/>
              <w:t> </w:t>
            </w:r>
          </w:p>
        </w:tc>
      </w:tr>
      <w:tr>
        <w:trPr/>
        <w:tc>
          <w:tcPr>
            <w:tcW w:w="399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Paul E. Suckow</w:t>
            </w:r>
          </w:p>
        </w:tc>
        <w:tc>
          <w:tcPr>
            <w:tcW w:w="197" w:type="dxa"/>
            <w:tcBorders/>
            <w:shd w:fill="FFFFFF" w:val="clear"/>
            <w:tcMar>
              <w:bottom w:w="0" w:type="dxa"/>
            </w:tcMar>
            <w:vAlign w:val="center"/>
          </w:tcPr>
          <w:p>
            <w:pPr>
              <w:pStyle w:val="TableContents"/>
              <w:spacing w:before="0" w:after="283"/>
              <w:rPr/>
            </w:pPr>
            <w:r>
              <w:rPr/>
              <w:t> </w:t>
            </w:r>
          </w:p>
        </w:tc>
        <w:tc>
          <w:tcPr>
            <w:tcW w:w="104" w:type="dxa"/>
            <w:tcBorders/>
            <w:shd w:fill="FFFFFF" w:val="clear"/>
            <w:tcMar>
              <w:bottom w:w="0" w:type="dxa"/>
            </w:tcMar>
            <w:vAlign w:val="bottom"/>
          </w:tcPr>
          <w:p>
            <w:pPr>
              <w:pStyle w:val="TableContents"/>
              <w:spacing w:before="0" w:after="283"/>
              <w:jc w:val="left"/>
              <w:rPr/>
            </w:pPr>
            <w:r>
              <w:rPr/>
              <w:t> </w:t>
            </w:r>
          </w:p>
        </w:tc>
        <w:tc>
          <w:tcPr>
            <w:tcW w:w="119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20,238,415</w:t>
            </w:r>
          </w:p>
        </w:tc>
        <w:tc>
          <w:tcPr>
            <w:tcW w:w="197"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23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49,301</w:t>
            </w:r>
          </w:p>
        </w:tc>
        <w:tc>
          <w:tcPr>
            <w:tcW w:w="111" w:type="dxa"/>
            <w:tcBorders/>
            <w:shd w:fill="FFFFFF" w:val="clear"/>
            <w:tcMar>
              <w:bottom w:w="0" w:type="dxa"/>
            </w:tcM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815" w:name="hangingindent1"/>
      <w:bookmarkStart w:id="816" w:name="hangingindent1"/>
      <w:bookmarkEnd w:id="816"/>
    </w:p>
    <w:tbl>
      <w:tblPr>
        <w:tblW w:w="5000" w:type="pct"/>
        <w:jc w:val="center"/>
        <w:tblInd w:w="0" w:type="dxa"/>
        <w:tblCellMar>
          <w:top w:w="0" w:type="dxa"/>
          <w:left w:w="0" w:type="dxa"/>
          <w:bottom w:w="0" w:type="dxa"/>
          <w:right w:w="0" w:type="dxa"/>
        </w:tblCellMar>
      </w:tblPr>
      <w:tblGrid>
        <w:gridCol w:w="42"/>
        <w:gridCol w:w="314"/>
        <w:gridCol w:w="9849"/>
      </w:tblGrid>
      <w:tr>
        <w:trPr/>
        <w:tc>
          <w:tcPr>
            <w:tcW w:w="42" w:type="dxa"/>
            <w:tcBorders/>
            <w:shd w:fill="auto" w:val="clear"/>
          </w:tcPr>
          <w:p>
            <w:pPr>
              <w:pStyle w:val="TableContents"/>
              <w:spacing w:before="0" w:after="283"/>
              <w:rPr>
                <w:sz w:val="4"/>
                <w:szCs w:val="4"/>
              </w:rPr>
            </w:pPr>
            <w:r>
              <w:rPr>
                <w:sz w:val="4"/>
                <w:szCs w:val="4"/>
              </w:rPr>
            </w:r>
          </w:p>
        </w:tc>
        <w:tc>
          <w:tcPr>
            <w:tcW w:w="31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849" w:type="dxa"/>
            <w:tcBorders/>
            <w:shd w:fill="auto" w:val="clear"/>
          </w:tcPr>
          <w:p>
            <w:pPr>
              <w:pStyle w:val="TableContents"/>
              <w:spacing w:before="0" w:after="0"/>
              <w:jc w:val="left"/>
              <w:rPr/>
            </w:pPr>
            <w:r>
              <w:rPr>
                <w:rStyle w:val="StrongEmphasis"/>
                <w:rFonts w:ascii="Times New Roman" w:hAnsi="Times New Roman"/>
                <w:sz w:val="20"/>
              </w:rPr>
              <w:t>Ratification of Independent Registered Public Accounting Firm</w:t>
            </w:r>
          </w:p>
        </w:tc>
      </w:tr>
    </w:tbl>
    <w:p>
      <w:pPr>
        <w:pStyle w:val="TextBody"/>
        <w:spacing w:lineRule="auto" w:line="300" w:before="0" w:after="0"/>
        <w:ind w:left="1620" w:right="0" w:hanging="1620"/>
        <w:jc w:val="left"/>
        <w:rPr/>
      </w:pPr>
      <w:r>
        <w:rPr/>
      </w:r>
    </w:p>
    <w:p>
      <w:pPr>
        <w:pStyle w:val="TextBody"/>
        <w:spacing w:lineRule="auto" w:line="300" w:before="0" w:after="0"/>
        <w:ind w:left="1080" w:right="0" w:hanging="0"/>
        <w:jc w:val="both"/>
        <w:rPr>
          <w:rFonts w:ascii="Times New Roman" w:hAnsi="Times New Roman"/>
          <w:sz w:val="20"/>
        </w:rPr>
      </w:pPr>
      <w:r>
        <w:rPr>
          <w:rFonts w:ascii="Times New Roman" w:hAnsi="Times New Roman"/>
          <w:sz w:val="20"/>
        </w:rPr>
        <w:t>Our Audit Committee’s selection of PricewaterhouseCoopers LLP as our independent registered public accounting firm for the fiscal year ending July 31, 2008 was ratified by receiving 20,240,775 votes of a total 24,117,565 eligible votes, with 33,716 votes against and 13,225 votes to abstain.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17" w:name="PGBRK24"/>
      <w:bookmarkStart w:id="818" w:name="PGBRK24"/>
      <w:bookmarkEnd w:id="8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19" w:name="FTR24"/>
      <w:bookmarkStart w:id="820" w:name="FTR24"/>
      <w:bookmarkEnd w:id="8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21" w:name="GLFTR24"/>
      <w:bookmarkStart w:id="822" w:name="GLFTR24"/>
      <w:bookmarkEnd w:id="8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823" w:name="PN24"/>
      <w:bookmarkEnd w:id="823"/>
      <w:r>
        <w:rPr>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24" w:name="HDR24"/>
      <w:bookmarkStart w:id="825" w:name="HDR24"/>
      <w:bookmarkEnd w:id="8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26" w:name="GLHDR24"/>
      <w:bookmarkStart w:id="827" w:name="GLHDR24"/>
      <w:bookmarkEnd w:id="8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ITEM 6. EXHIBITS</w:t>
      </w:r>
    </w:p>
    <w:p>
      <w:pPr>
        <w:pStyle w:val="TextBody"/>
        <w:spacing w:lineRule="auto" w:line="300" w:before="0" w:after="0"/>
        <w:ind w:left="1620" w:right="0" w:hanging="1620"/>
        <w:jc w:val="left"/>
        <w:rPr/>
      </w:pPr>
      <w:r>
        <w:rPr/>
      </w:r>
    </w:p>
    <w:p>
      <w:pPr>
        <w:pStyle w:val="Normal"/>
        <w:spacing w:before="0" w:after="0"/>
        <w:rPr>
          <w:sz w:val="4"/>
          <w:szCs w:val="4"/>
        </w:rPr>
      </w:pPr>
      <w:r>
        <w:rPr>
          <w:sz w:val="4"/>
          <w:szCs w:val="4"/>
        </w:rPr>
      </w:r>
      <w:bookmarkStart w:id="828" w:name="list1"/>
      <w:bookmarkStart w:id="829" w:name="list1"/>
      <w:bookmarkEnd w:id="829"/>
    </w:p>
    <w:tbl>
      <w:tblPr>
        <w:tblW w:w="5000" w:type="pct"/>
        <w:jc w:val="left"/>
        <w:tblInd w:w="0" w:type="dxa"/>
        <w:tblCellMar>
          <w:top w:w="0" w:type="dxa"/>
          <w:left w:w="0" w:type="dxa"/>
          <w:bottom w:w="0" w:type="dxa"/>
          <w:right w:w="0" w:type="dxa"/>
        </w:tblCellMar>
      </w:tblPr>
      <w:tblGrid>
        <w:gridCol w:w="2382"/>
        <w:gridCol w:w="7823"/>
      </w:tblGrid>
      <w:tr>
        <w:trPr/>
        <w:tc>
          <w:tcPr>
            <w:tcW w:w="2382" w:type="dxa"/>
            <w:tcBorders/>
            <w:shd w:fill="auto" w:val="clear"/>
          </w:tcPr>
          <w:p>
            <w:pPr>
              <w:pStyle w:val="TableContents"/>
              <w:spacing w:before="0" w:after="283"/>
              <w:jc w:val="right"/>
              <w:rPr/>
            </w:pPr>
            <w:r>
              <w:rPr>
                <w:rFonts w:ascii="Times New Roman" w:hAnsi="Times New Roman"/>
                <w:sz w:val="20"/>
              </w:rPr>
              <w:t>(a)</w:t>
            </w:r>
            <w:r>
              <w:rPr>
                <w:rStyle w:val="StrongEmphasis"/>
                <w:rFonts w:ascii="Times New Roman" w:hAnsi="Times New Roman"/>
                <w:sz w:val="20"/>
              </w:rPr>
              <w:t>  </w:t>
            </w:r>
          </w:p>
        </w:tc>
        <w:tc>
          <w:tcPr>
            <w:tcW w:w="7823" w:type="dxa"/>
            <w:tcBorders/>
            <w:shd w:fill="auto" w:val="clear"/>
          </w:tcPr>
          <w:p>
            <w:pPr>
              <w:pStyle w:val="TableContents"/>
              <w:spacing w:before="0" w:after="0"/>
              <w:ind w:left="0" w:right="0" w:hanging="0"/>
              <w:jc w:val="both"/>
              <w:rPr/>
            </w:pPr>
            <w:r>
              <w:rPr>
                <w:rStyle w:val="StrongEmphasis"/>
                <w:rFonts w:ascii="Times New Roman" w:hAnsi="Times New Roman"/>
                <w:sz w:val="20"/>
              </w:rPr>
              <w:t>EXHIBITS:</w:t>
            </w:r>
            <w:r>
              <w:rPr/>
              <w:t> </w:t>
            </w:r>
          </w:p>
        </w:tc>
      </w:tr>
    </w:tbl>
    <w:p>
      <w:pPr>
        <w:pStyle w:val="TextBody"/>
        <w:spacing w:lineRule="auto" w:line="300" w:before="0" w:after="0"/>
        <w:ind w:left="0" w:right="0" w:hanging="0"/>
        <w:jc w:val="left"/>
        <w:rPr/>
      </w:pPr>
      <w:r>
        <w:rPr/>
      </w:r>
    </w:p>
    <w:tbl>
      <w:tblPr>
        <w:tblW w:w="5000" w:type="pct"/>
        <w:jc w:val="left"/>
        <w:tblInd w:w="0" w:type="dxa"/>
        <w:tblCellMar>
          <w:top w:w="0" w:type="dxa"/>
          <w:left w:w="0" w:type="dxa"/>
          <w:bottom w:w="28" w:type="dxa"/>
          <w:right w:w="0" w:type="dxa"/>
        </w:tblCellMar>
      </w:tblPr>
      <w:tblGrid>
        <w:gridCol w:w="859"/>
        <w:gridCol w:w="245"/>
        <w:gridCol w:w="4428"/>
        <w:gridCol w:w="245"/>
        <w:gridCol w:w="4428"/>
      </w:tblGrid>
      <w:tr>
        <w:trPr/>
        <w:tc>
          <w:tcPr>
            <w:tcW w:w="859" w:type="dxa"/>
            <w:tcBorders>
              <w:bottom w:val="single" w:sz="2" w:space="0" w:color="000000"/>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Exhibit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No.</w:t>
            </w:r>
          </w:p>
        </w:tc>
        <w:tc>
          <w:tcPr>
            <w:tcW w:w="245" w:type="dxa"/>
            <w:tcBorders>
              <w:bottom w:val="single" w:sz="4" w:space="0" w:color="FFFFFF"/>
            </w:tcBorders>
            <w:shd w:fill="auto" w:val="clear"/>
            <w:vAlign w:val="center"/>
          </w:tcPr>
          <w:p>
            <w:pPr>
              <w:pStyle w:val="TableContents"/>
              <w:spacing w:before="0" w:after="283"/>
              <w:rPr/>
            </w:pPr>
            <w:r>
              <w:rPr/>
              <w:t> </w:t>
            </w:r>
          </w:p>
        </w:tc>
        <w:tc>
          <w:tcPr>
            <w:tcW w:w="4428" w:type="dxa"/>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Description</w:t>
            </w:r>
          </w:p>
        </w:tc>
        <w:tc>
          <w:tcPr>
            <w:tcW w:w="245" w:type="dxa"/>
            <w:tcBorders>
              <w:bottom w:val="single" w:sz="4" w:space="0" w:color="FFFFFF"/>
            </w:tcBorders>
            <w:shd w:fill="auto" w:val="clear"/>
          </w:tcPr>
          <w:p>
            <w:pPr>
              <w:pStyle w:val="TableContents"/>
              <w:spacing w:before="0" w:after="283"/>
              <w:rPr/>
            </w:pPr>
            <w:r>
              <w:rPr/>
              <w:t> </w:t>
            </w:r>
          </w:p>
        </w:tc>
        <w:tc>
          <w:tcPr>
            <w:tcW w:w="4428" w:type="dxa"/>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SEC Document Reference</w:t>
            </w:r>
          </w:p>
        </w:tc>
      </w:tr>
      <w:tr>
        <w:trPr/>
        <w:tc>
          <w:tcPr>
            <w:tcW w:w="859" w:type="dxa"/>
            <w:tcBorders/>
            <w:shd w:fill="auto" w:val="clear"/>
            <w:tcMar>
              <w:bottom w:w="0" w:type="dxa"/>
            </w:tcM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10.1</w:t>
            </w:r>
          </w:p>
        </w:tc>
        <w:tc>
          <w:tcPr>
            <w:tcW w:w="245" w:type="dxa"/>
            <w:tcBorders/>
            <w:shd w:fill="auto" w:val="clear"/>
            <w:tcMar>
              <w:bottom w:w="0" w:type="dxa"/>
            </w:tcMar>
            <w:vAlign w:val="center"/>
          </w:tcPr>
          <w:p>
            <w:pPr>
              <w:pStyle w:val="TableContents"/>
              <w:spacing w:before="0" w:after="283"/>
              <w:rPr/>
            </w:pPr>
            <w:r>
              <w:rPr/>
              <w:t> </w:t>
            </w:r>
          </w:p>
        </w:tc>
        <w:tc>
          <w:tcPr>
            <w:tcW w:w="4428" w:type="dxa"/>
            <w:tcBorders/>
            <w:shd w:fill="auto" w:val="clear"/>
            <w:tcMar>
              <w:bottom w:w="0" w:type="dxa"/>
            </w:tcM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First Amendment, effective as of January 1, 2007, to Oil-Dri Corporation of America Deferred Compensation Plan (as amended and restated effective April 1, 2003)*</w:t>
            </w:r>
          </w:p>
        </w:tc>
        <w:tc>
          <w:tcPr>
            <w:tcW w:w="245" w:type="dxa"/>
            <w:tcBorders/>
            <w:shd w:fill="auto" w:val="clear"/>
            <w:tcMar>
              <w:bottom w:w="0" w:type="dxa"/>
            </w:tcMar>
          </w:tcPr>
          <w:p>
            <w:pPr>
              <w:pStyle w:val="TableContents"/>
              <w:spacing w:before="0" w:after="283"/>
              <w:jc w:val="both"/>
              <w:rPr/>
            </w:pPr>
            <w:r>
              <w:rPr/>
              <w:t> </w:t>
            </w:r>
          </w:p>
        </w:tc>
        <w:tc>
          <w:tcPr>
            <w:tcW w:w="4428" w:type="dxa"/>
            <w:tcBorders/>
            <w:shd w:fill="auto" w:val="clear"/>
            <w:tcMar>
              <w:bottom w:w="0" w:type="dxa"/>
            </w:tcM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 xml:space="preserve">Filed herewith. </w:t>
            </w:r>
          </w:p>
        </w:tc>
      </w:tr>
      <w:tr>
        <w:trPr/>
        <w:tc>
          <w:tcPr>
            <w:tcW w:w="859" w:type="dxa"/>
            <w:tcBorders/>
            <w:shd w:fill="auto" w:val="clear"/>
            <w:tcMar>
              <w:bottom w:w="0" w:type="dxa"/>
            </w:tcMar>
          </w:tcPr>
          <w:p>
            <w:pPr>
              <w:pStyle w:val="TableContents"/>
              <w:spacing w:before="0" w:after="283"/>
              <w:rPr/>
            </w:pPr>
            <w:r>
              <w:rPr/>
              <w:t> </w:t>
            </w:r>
          </w:p>
        </w:tc>
        <w:tc>
          <w:tcPr>
            <w:tcW w:w="245" w:type="dxa"/>
            <w:tcBorders/>
            <w:shd w:fill="auto" w:val="clear"/>
            <w:tcMar>
              <w:bottom w:w="0" w:type="dxa"/>
            </w:tcMar>
            <w:vAlign w:val="center"/>
          </w:tcPr>
          <w:p>
            <w:pPr>
              <w:pStyle w:val="TableContents"/>
              <w:spacing w:before="0" w:after="283"/>
              <w:rPr/>
            </w:pPr>
            <w:r>
              <w:rPr/>
              <w:t> </w:t>
            </w:r>
          </w:p>
        </w:tc>
        <w:tc>
          <w:tcPr>
            <w:tcW w:w="4428" w:type="dxa"/>
            <w:tcBorders/>
            <w:shd w:fill="auto" w:val="clear"/>
            <w:tcMar>
              <w:bottom w:w="0" w:type="dxa"/>
            </w:tcMar>
          </w:tcPr>
          <w:p>
            <w:pPr>
              <w:pStyle w:val="TableContents"/>
              <w:spacing w:before="0" w:after="283"/>
              <w:jc w:val="both"/>
              <w:rPr/>
            </w:pPr>
            <w:r>
              <w:rPr/>
              <w:t> </w:t>
            </w:r>
          </w:p>
        </w:tc>
        <w:tc>
          <w:tcPr>
            <w:tcW w:w="245" w:type="dxa"/>
            <w:tcBorders/>
            <w:shd w:fill="auto" w:val="clear"/>
            <w:tcMar>
              <w:bottom w:w="0" w:type="dxa"/>
            </w:tcMar>
          </w:tcPr>
          <w:p>
            <w:pPr>
              <w:pStyle w:val="TableContents"/>
              <w:spacing w:before="0" w:after="283"/>
              <w:jc w:val="both"/>
              <w:rPr/>
            </w:pPr>
            <w:r>
              <w:rPr/>
              <w:t> </w:t>
            </w:r>
          </w:p>
        </w:tc>
        <w:tc>
          <w:tcPr>
            <w:tcW w:w="4428" w:type="dxa"/>
            <w:tcBorders/>
            <w:shd w:fill="auto" w:val="clear"/>
            <w:tcMar>
              <w:bottom w:w="0" w:type="dxa"/>
            </w:tcMar>
          </w:tcPr>
          <w:p>
            <w:pPr>
              <w:pStyle w:val="TableContents"/>
              <w:spacing w:before="0" w:after="283"/>
              <w:jc w:val="both"/>
              <w:rPr/>
            </w:pPr>
            <w:r>
              <w:rPr/>
              <w:t> </w:t>
            </w:r>
          </w:p>
        </w:tc>
      </w:tr>
      <w:tr>
        <w:trPr/>
        <w:tc>
          <w:tcPr>
            <w:tcW w:w="859" w:type="dxa"/>
            <w:tcBorders/>
            <w:shd w:fill="auto" w:val="clear"/>
            <w:tcMar>
              <w:bottom w:w="0" w:type="dxa"/>
            </w:tcM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10.2</w:t>
            </w:r>
          </w:p>
        </w:tc>
        <w:tc>
          <w:tcPr>
            <w:tcW w:w="245" w:type="dxa"/>
            <w:tcBorders/>
            <w:shd w:fill="auto" w:val="clear"/>
            <w:tcMar>
              <w:bottom w:w="0" w:type="dxa"/>
            </w:tcMar>
            <w:vAlign w:val="center"/>
          </w:tcPr>
          <w:p>
            <w:pPr>
              <w:pStyle w:val="TableContents"/>
              <w:spacing w:before="0" w:after="283"/>
              <w:rPr/>
            </w:pPr>
            <w:r>
              <w:rPr/>
              <w:t> </w:t>
            </w:r>
          </w:p>
        </w:tc>
        <w:tc>
          <w:tcPr>
            <w:tcW w:w="4428" w:type="dxa"/>
            <w:tcBorders/>
            <w:shd w:fill="auto" w:val="clear"/>
            <w:tcMar>
              <w:bottom w:w="0" w:type="dxa"/>
            </w:tcM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Second Amendment, effective as of January 1, 2008, to Oil-Dri Corporation of America Deferred Compensation Plan (as amended and restated effective April 1, 2003)*</w:t>
            </w:r>
          </w:p>
        </w:tc>
        <w:tc>
          <w:tcPr>
            <w:tcW w:w="245" w:type="dxa"/>
            <w:tcBorders/>
            <w:shd w:fill="auto" w:val="clear"/>
            <w:tcMar>
              <w:bottom w:w="0" w:type="dxa"/>
            </w:tcMar>
          </w:tcPr>
          <w:p>
            <w:pPr>
              <w:pStyle w:val="TableContents"/>
              <w:spacing w:before="0" w:after="283"/>
              <w:jc w:val="both"/>
              <w:rPr/>
            </w:pPr>
            <w:r>
              <w:rPr/>
              <w:t> </w:t>
            </w:r>
          </w:p>
        </w:tc>
        <w:tc>
          <w:tcPr>
            <w:tcW w:w="4428" w:type="dxa"/>
            <w:tcBorders/>
            <w:shd w:fill="auto" w:val="clear"/>
            <w:tcMar>
              <w:bottom w:w="0" w:type="dxa"/>
            </w:tcM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 xml:space="preserve">Filed herewith. </w:t>
            </w:r>
          </w:p>
        </w:tc>
      </w:tr>
      <w:tr>
        <w:trPr/>
        <w:tc>
          <w:tcPr>
            <w:tcW w:w="859" w:type="dxa"/>
            <w:tcBorders/>
            <w:shd w:fill="auto" w:val="clear"/>
            <w:tcMar>
              <w:bottom w:w="0" w:type="dxa"/>
            </w:tcMar>
          </w:tcPr>
          <w:p>
            <w:pPr>
              <w:pStyle w:val="TableContents"/>
              <w:spacing w:before="0" w:after="283"/>
              <w:rPr/>
            </w:pPr>
            <w:r>
              <w:rPr/>
              <w:t> </w:t>
            </w:r>
          </w:p>
        </w:tc>
        <w:tc>
          <w:tcPr>
            <w:tcW w:w="245" w:type="dxa"/>
            <w:tcBorders/>
            <w:shd w:fill="auto" w:val="clear"/>
            <w:tcMar>
              <w:bottom w:w="0" w:type="dxa"/>
            </w:tcMar>
            <w:vAlign w:val="center"/>
          </w:tcPr>
          <w:p>
            <w:pPr>
              <w:pStyle w:val="TableContents"/>
              <w:spacing w:before="0" w:after="283"/>
              <w:rPr/>
            </w:pPr>
            <w:r>
              <w:rPr/>
              <w:t> </w:t>
            </w:r>
          </w:p>
        </w:tc>
        <w:tc>
          <w:tcPr>
            <w:tcW w:w="4428" w:type="dxa"/>
            <w:tcBorders/>
            <w:shd w:fill="auto" w:val="clear"/>
            <w:tcMar>
              <w:bottom w:w="0" w:type="dxa"/>
            </w:tcMar>
          </w:tcPr>
          <w:p>
            <w:pPr>
              <w:pStyle w:val="TableContents"/>
              <w:spacing w:before="0" w:after="283"/>
              <w:jc w:val="both"/>
              <w:rPr/>
            </w:pPr>
            <w:r>
              <w:rPr/>
              <w:t> </w:t>
            </w:r>
          </w:p>
        </w:tc>
        <w:tc>
          <w:tcPr>
            <w:tcW w:w="245" w:type="dxa"/>
            <w:tcBorders/>
            <w:shd w:fill="auto" w:val="clear"/>
            <w:tcMar>
              <w:bottom w:w="0" w:type="dxa"/>
            </w:tcMar>
          </w:tcPr>
          <w:p>
            <w:pPr>
              <w:pStyle w:val="TableContents"/>
              <w:spacing w:before="0" w:after="283"/>
              <w:jc w:val="both"/>
              <w:rPr/>
            </w:pPr>
            <w:r>
              <w:rPr/>
              <w:t> </w:t>
            </w:r>
          </w:p>
        </w:tc>
        <w:tc>
          <w:tcPr>
            <w:tcW w:w="4428" w:type="dxa"/>
            <w:tcBorders/>
            <w:shd w:fill="auto" w:val="clear"/>
            <w:tcMar>
              <w:bottom w:w="0" w:type="dxa"/>
            </w:tcMar>
          </w:tcPr>
          <w:p>
            <w:pPr>
              <w:pStyle w:val="TableContents"/>
              <w:spacing w:before="0" w:after="283"/>
              <w:jc w:val="both"/>
              <w:rPr/>
            </w:pPr>
            <w:r>
              <w:rPr/>
              <w:t> </w:t>
            </w:r>
          </w:p>
        </w:tc>
      </w:tr>
      <w:tr>
        <w:trPr/>
        <w:tc>
          <w:tcPr>
            <w:tcW w:w="859" w:type="dxa"/>
            <w:tcBorders/>
            <w:shd w:fill="auto" w:val="clear"/>
            <w:tcMar>
              <w:bottom w:w="0" w:type="dxa"/>
            </w:tcM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10.3</w:t>
            </w:r>
          </w:p>
        </w:tc>
        <w:tc>
          <w:tcPr>
            <w:tcW w:w="245" w:type="dxa"/>
            <w:tcBorders/>
            <w:shd w:fill="auto" w:val="clear"/>
            <w:tcMar>
              <w:bottom w:w="0" w:type="dxa"/>
            </w:tcMar>
            <w:vAlign w:val="center"/>
          </w:tcPr>
          <w:p>
            <w:pPr>
              <w:pStyle w:val="TableContents"/>
              <w:spacing w:before="0" w:after="283"/>
              <w:rPr/>
            </w:pPr>
            <w:r>
              <w:rPr/>
              <w:t> </w:t>
            </w:r>
          </w:p>
        </w:tc>
        <w:tc>
          <w:tcPr>
            <w:tcW w:w="4428" w:type="dxa"/>
            <w:tcBorders/>
            <w:shd w:fill="auto" w:val="clear"/>
            <w:tcMar>
              <w:bottom w:w="0" w:type="dxa"/>
            </w:tcM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Oil-Dri Corporation of America 2005 Deferred Compensation Plan (as amended and restated effective January 1, 2008)*</w:t>
            </w:r>
          </w:p>
        </w:tc>
        <w:tc>
          <w:tcPr>
            <w:tcW w:w="245" w:type="dxa"/>
            <w:tcBorders/>
            <w:shd w:fill="auto" w:val="clear"/>
            <w:tcMar>
              <w:bottom w:w="0" w:type="dxa"/>
            </w:tcMar>
          </w:tcPr>
          <w:p>
            <w:pPr>
              <w:pStyle w:val="TableContents"/>
              <w:spacing w:before="0" w:after="283"/>
              <w:jc w:val="both"/>
              <w:rPr/>
            </w:pPr>
            <w:r>
              <w:rPr/>
              <w:t> </w:t>
            </w:r>
          </w:p>
        </w:tc>
        <w:tc>
          <w:tcPr>
            <w:tcW w:w="4428" w:type="dxa"/>
            <w:tcBorders/>
            <w:shd w:fill="auto" w:val="clear"/>
            <w:tcMar>
              <w:bottom w:w="0" w:type="dxa"/>
            </w:tcM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 xml:space="preserve">Filed herewith. </w:t>
            </w:r>
          </w:p>
        </w:tc>
      </w:tr>
      <w:tr>
        <w:trPr/>
        <w:tc>
          <w:tcPr>
            <w:tcW w:w="859" w:type="dxa"/>
            <w:tcBorders/>
            <w:shd w:fill="auto" w:val="clear"/>
            <w:tcMar>
              <w:bottom w:w="0" w:type="dxa"/>
            </w:tcMar>
          </w:tcPr>
          <w:p>
            <w:pPr>
              <w:pStyle w:val="TableContents"/>
              <w:spacing w:before="0" w:after="283"/>
              <w:rPr/>
            </w:pPr>
            <w:r>
              <w:rPr/>
              <w:t> </w:t>
            </w:r>
          </w:p>
        </w:tc>
        <w:tc>
          <w:tcPr>
            <w:tcW w:w="245" w:type="dxa"/>
            <w:tcBorders/>
            <w:shd w:fill="auto" w:val="clear"/>
            <w:tcMar>
              <w:bottom w:w="0" w:type="dxa"/>
            </w:tcMar>
            <w:vAlign w:val="center"/>
          </w:tcPr>
          <w:p>
            <w:pPr>
              <w:pStyle w:val="TableContents"/>
              <w:spacing w:before="0" w:after="283"/>
              <w:rPr/>
            </w:pPr>
            <w:r>
              <w:rPr/>
              <w:t> </w:t>
            </w:r>
          </w:p>
        </w:tc>
        <w:tc>
          <w:tcPr>
            <w:tcW w:w="4428" w:type="dxa"/>
            <w:tcBorders/>
            <w:shd w:fill="auto" w:val="clear"/>
            <w:tcMar>
              <w:bottom w:w="0" w:type="dxa"/>
            </w:tcMar>
          </w:tcPr>
          <w:p>
            <w:pPr>
              <w:pStyle w:val="TableContents"/>
              <w:spacing w:before="0" w:after="283"/>
              <w:jc w:val="both"/>
              <w:rPr/>
            </w:pPr>
            <w:r>
              <w:rPr/>
              <w:t> </w:t>
            </w:r>
          </w:p>
        </w:tc>
        <w:tc>
          <w:tcPr>
            <w:tcW w:w="245" w:type="dxa"/>
            <w:tcBorders/>
            <w:shd w:fill="auto" w:val="clear"/>
            <w:tcMar>
              <w:bottom w:w="0" w:type="dxa"/>
            </w:tcMar>
          </w:tcPr>
          <w:p>
            <w:pPr>
              <w:pStyle w:val="TableContents"/>
              <w:spacing w:before="0" w:after="283"/>
              <w:jc w:val="both"/>
              <w:rPr/>
            </w:pPr>
            <w:r>
              <w:rPr/>
              <w:t> </w:t>
            </w:r>
          </w:p>
        </w:tc>
        <w:tc>
          <w:tcPr>
            <w:tcW w:w="4428" w:type="dxa"/>
            <w:tcBorders/>
            <w:shd w:fill="auto" w:val="clear"/>
            <w:tcMar>
              <w:bottom w:w="0" w:type="dxa"/>
            </w:tcMar>
          </w:tcPr>
          <w:p>
            <w:pPr>
              <w:pStyle w:val="TableContents"/>
              <w:spacing w:before="0" w:after="283"/>
              <w:jc w:val="both"/>
              <w:rPr/>
            </w:pPr>
            <w:r>
              <w:rPr/>
              <w:t> </w:t>
            </w:r>
          </w:p>
        </w:tc>
      </w:tr>
      <w:tr>
        <w:trPr/>
        <w:tc>
          <w:tcPr>
            <w:tcW w:w="859" w:type="dxa"/>
            <w:tcBorders/>
            <w:shd w:fill="auto" w:val="clear"/>
            <w:tcMar>
              <w:bottom w:w="0" w:type="dxa"/>
            </w:tcM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10.4</w:t>
            </w:r>
          </w:p>
        </w:tc>
        <w:tc>
          <w:tcPr>
            <w:tcW w:w="245" w:type="dxa"/>
            <w:tcBorders/>
            <w:shd w:fill="auto" w:val="clear"/>
            <w:tcMar>
              <w:bottom w:w="0" w:type="dxa"/>
            </w:tcMar>
            <w:vAlign w:val="center"/>
          </w:tcPr>
          <w:p>
            <w:pPr>
              <w:pStyle w:val="TableContents"/>
              <w:spacing w:before="0" w:after="283"/>
              <w:rPr/>
            </w:pPr>
            <w:r>
              <w:rPr/>
              <w:t> </w:t>
            </w:r>
          </w:p>
        </w:tc>
        <w:tc>
          <w:tcPr>
            <w:tcW w:w="4428" w:type="dxa"/>
            <w:tcBorders/>
            <w:shd w:fill="auto" w:val="clear"/>
            <w:tcMar>
              <w:bottom w:w="0" w:type="dxa"/>
            </w:tcM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Oil-Dri Corporation of America Annual Incentive Plan (as amended and restated effective January 1, 2008)*</w:t>
            </w:r>
          </w:p>
        </w:tc>
        <w:tc>
          <w:tcPr>
            <w:tcW w:w="245" w:type="dxa"/>
            <w:tcBorders/>
            <w:shd w:fill="auto" w:val="clear"/>
            <w:tcMar>
              <w:bottom w:w="0" w:type="dxa"/>
            </w:tcMar>
          </w:tcPr>
          <w:p>
            <w:pPr>
              <w:pStyle w:val="TableContents"/>
              <w:spacing w:before="0" w:after="283"/>
              <w:jc w:val="both"/>
              <w:rPr/>
            </w:pPr>
            <w:r>
              <w:rPr/>
              <w:t> </w:t>
            </w:r>
          </w:p>
        </w:tc>
        <w:tc>
          <w:tcPr>
            <w:tcW w:w="4428" w:type="dxa"/>
            <w:tcBorders/>
            <w:shd w:fill="auto" w:val="clear"/>
            <w:tcMar>
              <w:bottom w:w="0" w:type="dxa"/>
            </w:tcM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 xml:space="preserve">Filed herewith. </w:t>
            </w:r>
          </w:p>
        </w:tc>
      </w:tr>
      <w:tr>
        <w:trPr/>
        <w:tc>
          <w:tcPr>
            <w:tcW w:w="859" w:type="dxa"/>
            <w:tcBorders/>
            <w:shd w:fill="auto" w:val="clear"/>
            <w:tcMar>
              <w:bottom w:w="0" w:type="dxa"/>
            </w:tcMar>
          </w:tcPr>
          <w:p>
            <w:pPr>
              <w:pStyle w:val="TableContents"/>
              <w:spacing w:before="0" w:after="283"/>
              <w:rPr/>
            </w:pPr>
            <w:r>
              <w:rPr/>
              <w:t> </w:t>
            </w:r>
          </w:p>
        </w:tc>
        <w:tc>
          <w:tcPr>
            <w:tcW w:w="245" w:type="dxa"/>
            <w:tcBorders/>
            <w:shd w:fill="auto" w:val="clear"/>
            <w:tcMar>
              <w:bottom w:w="0" w:type="dxa"/>
            </w:tcMar>
            <w:vAlign w:val="center"/>
          </w:tcPr>
          <w:p>
            <w:pPr>
              <w:pStyle w:val="TableContents"/>
              <w:spacing w:before="0" w:after="283"/>
              <w:rPr/>
            </w:pPr>
            <w:r>
              <w:rPr/>
              <w:t> </w:t>
            </w:r>
          </w:p>
        </w:tc>
        <w:tc>
          <w:tcPr>
            <w:tcW w:w="4428" w:type="dxa"/>
            <w:tcBorders/>
            <w:shd w:fill="auto" w:val="clear"/>
            <w:tcMar>
              <w:bottom w:w="0" w:type="dxa"/>
            </w:tcMar>
          </w:tcPr>
          <w:p>
            <w:pPr>
              <w:pStyle w:val="TableContents"/>
              <w:spacing w:before="0" w:after="283"/>
              <w:jc w:val="both"/>
              <w:rPr/>
            </w:pPr>
            <w:r>
              <w:rPr/>
              <w:t> </w:t>
            </w:r>
          </w:p>
        </w:tc>
        <w:tc>
          <w:tcPr>
            <w:tcW w:w="245" w:type="dxa"/>
            <w:tcBorders/>
            <w:shd w:fill="auto" w:val="clear"/>
            <w:tcMar>
              <w:bottom w:w="0" w:type="dxa"/>
            </w:tcMar>
          </w:tcPr>
          <w:p>
            <w:pPr>
              <w:pStyle w:val="TableContents"/>
              <w:spacing w:before="0" w:after="283"/>
              <w:jc w:val="both"/>
              <w:rPr/>
            </w:pPr>
            <w:r>
              <w:rPr/>
              <w:t> </w:t>
            </w:r>
          </w:p>
        </w:tc>
        <w:tc>
          <w:tcPr>
            <w:tcW w:w="4428" w:type="dxa"/>
            <w:tcBorders/>
            <w:shd w:fill="auto" w:val="clear"/>
            <w:tcMar>
              <w:bottom w:w="0" w:type="dxa"/>
            </w:tcMar>
          </w:tcPr>
          <w:p>
            <w:pPr>
              <w:pStyle w:val="TableContents"/>
              <w:spacing w:before="0" w:after="283"/>
              <w:jc w:val="both"/>
              <w:rPr/>
            </w:pPr>
            <w:r>
              <w:rPr/>
              <w:t> </w:t>
            </w:r>
          </w:p>
        </w:tc>
      </w:tr>
      <w:tr>
        <w:trPr/>
        <w:tc>
          <w:tcPr>
            <w:tcW w:w="859" w:type="dxa"/>
            <w:tcBorders/>
            <w:shd w:fill="auto" w:val="clear"/>
            <w:tcMar>
              <w:bottom w:w="0" w:type="dxa"/>
            </w:tcM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10.5</w:t>
            </w:r>
          </w:p>
        </w:tc>
        <w:tc>
          <w:tcPr>
            <w:tcW w:w="245" w:type="dxa"/>
            <w:tcBorders/>
            <w:shd w:fill="auto" w:val="clear"/>
            <w:tcMar>
              <w:bottom w:w="0" w:type="dxa"/>
            </w:tcMar>
            <w:vAlign w:val="center"/>
          </w:tcPr>
          <w:p>
            <w:pPr>
              <w:pStyle w:val="TableContents"/>
              <w:spacing w:before="0" w:after="283"/>
              <w:rPr/>
            </w:pPr>
            <w:r>
              <w:rPr/>
              <w:t> </w:t>
            </w:r>
          </w:p>
        </w:tc>
        <w:tc>
          <w:tcPr>
            <w:tcW w:w="4428" w:type="dxa"/>
            <w:tcBorders/>
            <w:shd w:fill="auto" w:val="clear"/>
            <w:tcMar>
              <w:bottom w:w="0" w:type="dxa"/>
            </w:tcM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First Amendment, effective as of January 1, 2008, to Oil-Dri Corporation of America 2006 Long Term Incentive Plan (as amended and restated effective July 28, 2006)*</w:t>
            </w:r>
          </w:p>
        </w:tc>
        <w:tc>
          <w:tcPr>
            <w:tcW w:w="245" w:type="dxa"/>
            <w:tcBorders/>
            <w:shd w:fill="auto" w:val="clear"/>
            <w:tcMar>
              <w:bottom w:w="0" w:type="dxa"/>
            </w:tcMar>
          </w:tcPr>
          <w:p>
            <w:pPr>
              <w:pStyle w:val="TableContents"/>
              <w:spacing w:before="0" w:after="283"/>
              <w:jc w:val="both"/>
              <w:rPr/>
            </w:pPr>
            <w:r>
              <w:rPr/>
              <w:t> </w:t>
            </w:r>
          </w:p>
        </w:tc>
        <w:tc>
          <w:tcPr>
            <w:tcW w:w="4428" w:type="dxa"/>
            <w:tcBorders/>
            <w:shd w:fill="auto" w:val="clear"/>
            <w:tcMar>
              <w:bottom w:w="0" w:type="dxa"/>
            </w:tcM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 xml:space="preserve">Filed herewith. </w:t>
            </w:r>
          </w:p>
        </w:tc>
      </w:tr>
      <w:tr>
        <w:trPr/>
        <w:tc>
          <w:tcPr>
            <w:tcW w:w="859" w:type="dxa"/>
            <w:tcBorders/>
            <w:shd w:fill="auto" w:val="clear"/>
            <w:tcMar>
              <w:bottom w:w="0" w:type="dxa"/>
            </w:tcMar>
          </w:tcPr>
          <w:p>
            <w:pPr>
              <w:pStyle w:val="TableContents"/>
              <w:spacing w:before="0" w:after="283"/>
              <w:rPr/>
            </w:pPr>
            <w:r>
              <w:rPr/>
              <w:t> </w:t>
            </w:r>
          </w:p>
        </w:tc>
        <w:tc>
          <w:tcPr>
            <w:tcW w:w="245" w:type="dxa"/>
            <w:tcBorders/>
            <w:shd w:fill="auto" w:val="clear"/>
            <w:tcMar>
              <w:bottom w:w="0" w:type="dxa"/>
            </w:tcMar>
            <w:vAlign w:val="center"/>
          </w:tcPr>
          <w:p>
            <w:pPr>
              <w:pStyle w:val="TableContents"/>
              <w:spacing w:before="0" w:after="283"/>
              <w:rPr/>
            </w:pPr>
            <w:r>
              <w:rPr/>
              <w:t> </w:t>
            </w:r>
          </w:p>
        </w:tc>
        <w:tc>
          <w:tcPr>
            <w:tcW w:w="4428" w:type="dxa"/>
            <w:tcBorders/>
            <w:shd w:fill="auto" w:val="clear"/>
            <w:tcMar>
              <w:bottom w:w="0" w:type="dxa"/>
            </w:tcMar>
          </w:tcPr>
          <w:p>
            <w:pPr>
              <w:pStyle w:val="TableContents"/>
              <w:spacing w:before="0" w:after="283"/>
              <w:jc w:val="both"/>
              <w:rPr/>
            </w:pPr>
            <w:r>
              <w:rPr/>
              <w:t> </w:t>
            </w:r>
          </w:p>
        </w:tc>
        <w:tc>
          <w:tcPr>
            <w:tcW w:w="245" w:type="dxa"/>
            <w:tcBorders/>
            <w:shd w:fill="auto" w:val="clear"/>
            <w:tcMar>
              <w:bottom w:w="0" w:type="dxa"/>
            </w:tcMar>
          </w:tcPr>
          <w:p>
            <w:pPr>
              <w:pStyle w:val="TableContents"/>
              <w:spacing w:before="0" w:after="283"/>
              <w:jc w:val="both"/>
              <w:rPr/>
            </w:pPr>
            <w:r>
              <w:rPr/>
              <w:t> </w:t>
            </w:r>
          </w:p>
        </w:tc>
        <w:tc>
          <w:tcPr>
            <w:tcW w:w="4428" w:type="dxa"/>
            <w:tcBorders/>
            <w:shd w:fill="auto" w:val="clear"/>
            <w:tcMar>
              <w:bottom w:w="0" w:type="dxa"/>
            </w:tcMar>
          </w:tcPr>
          <w:p>
            <w:pPr>
              <w:pStyle w:val="TableContents"/>
              <w:spacing w:before="0" w:after="283"/>
              <w:jc w:val="both"/>
              <w:rPr/>
            </w:pPr>
            <w:r>
              <w:rPr/>
              <w:t> </w:t>
            </w:r>
          </w:p>
        </w:tc>
      </w:tr>
      <w:tr>
        <w:trPr/>
        <w:tc>
          <w:tcPr>
            <w:tcW w:w="859" w:type="dxa"/>
            <w:tcBorders/>
            <w:shd w:fill="auto" w:val="clear"/>
            <w:tcMar>
              <w:bottom w:w="0" w:type="dxa"/>
            </w:tcM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11</w:t>
            </w:r>
          </w:p>
        </w:tc>
        <w:tc>
          <w:tcPr>
            <w:tcW w:w="245" w:type="dxa"/>
            <w:tcBorders/>
            <w:shd w:fill="auto" w:val="clear"/>
            <w:tcMar>
              <w:bottom w:w="0" w:type="dxa"/>
            </w:tcMar>
            <w:vAlign w:val="center"/>
          </w:tcPr>
          <w:p>
            <w:pPr>
              <w:pStyle w:val="TableContents"/>
              <w:spacing w:before="0" w:after="283"/>
              <w:rPr/>
            </w:pPr>
            <w:r>
              <w:rPr/>
              <w:t> </w:t>
            </w:r>
          </w:p>
        </w:tc>
        <w:tc>
          <w:tcPr>
            <w:tcW w:w="4428" w:type="dxa"/>
            <w:tcBorders/>
            <w:shd w:fill="auto" w:val="clear"/>
            <w:tcMar>
              <w:bottom w:w="0" w:type="dxa"/>
            </w:tcM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Statement re: Computation of Earnings per Share.</w:t>
            </w:r>
          </w:p>
        </w:tc>
        <w:tc>
          <w:tcPr>
            <w:tcW w:w="245" w:type="dxa"/>
            <w:tcBorders/>
            <w:shd w:fill="auto" w:val="clear"/>
            <w:tcMar>
              <w:bottom w:w="0" w:type="dxa"/>
            </w:tcMar>
          </w:tcPr>
          <w:p>
            <w:pPr>
              <w:pStyle w:val="TableContents"/>
              <w:spacing w:before="0" w:after="283"/>
              <w:jc w:val="both"/>
              <w:rPr/>
            </w:pPr>
            <w:r>
              <w:rPr/>
              <w:t> </w:t>
            </w:r>
          </w:p>
        </w:tc>
        <w:tc>
          <w:tcPr>
            <w:tcW w:w="4428" w:type="dxa"/>
            <w:tcBorders/>
            <w:shd w:fill="auto" w:val="clear"/>
            <w:tcMar>
              <w:bottom w:w="0" w:type="dxa"/>
            </w:tcM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Filed herewith.</w:t>
            </w:r>
          </w:p>
        </w:tc>
      </w:tr>
      <w:tr>
        <w:trPr/>
        <w:tc>
          <w:tcPr>
            <w:tcW w:w="859" w:type="dxa"/>
            <w:tcBorders/>
            <w:shd w:fill="auto" w:val="clear"/>
            <w:tcMar>
              <w:bottom w:w="0" w:type="dxa"/>
            </w:tcMar>
          </w:tcPr>
          <w:p>
            <w:pPr>
              <w:pStyle w:val="TableContents"/>
              <w:spacing w:before="0" w:after="283"/>
              <w:rPr/>
            </w:pPr>
            <w:r>
              <w:rPr/>
              <w:t> </w:t>
            </w:r>
          </w:p>
        </w:tc>
        <w:tc>
          <w:tcPr>
            <w:tcW w:w="245" w:type="dxa"/>
            <w:tcBorders/>
            <w:shd w:fill="auto" w:val="clear"/>
            <w:tcMar>
              <w:bottom w:w="0" w:type="dxa"/>
            </w:tcMar>
            <w:vAlign w:val="center"/>
          </w:tcPr>
          <w:p>
            <w:pPr>
              <w:pStyle w:val="TableContents"/>
              <w:spacing w:before="0" w:after="283"/>
              <w:rPr/>
            </w:pPr>
            <w:r>
              <w:rPr/>
              <w:t> </w:t>
            </w:r>
          </w:p>
        </w:tc>
        <w:tc>
          <w:tcPr>
            <w:tcW w:w="4428" w:type="dxa"/>
            <w:tcBorders/>
            <w:shd w:fill="auto" w:val="clear"/>
            <w:tcMar>
              <w:bottom w:w="0" w:type="dxa"/>
            </w:tcMar>
          </w:tcPr>
          <w:p>
            <w:pPr>
              <w:pStyle w:val="TableContents"/>
              <w:spacing w:before="0" w:after="283"/>
              <w:jc w:val="both"/>
              <w:rPr/>
            </w:pPr>
            <w:r>
              <w:rPr/>
              <w:t> </w:t>
            </w:r>
          </w:p>
        </w:tc>
        <w:tc>
          <w:tcPr>
            <w:tcW w:w="245" w:type="dxa"/>
            <w:tcBorders/>
            <w:shd w:fill="auto" w:val="clear"/>
            <w:tcMar>
              <w:bottom w:w="0" w:type="dxa"/>
            </w:tcMar>
          </w:tcPr>
          <w:p>
            <w:pPr>
              <w:pStyle w:val="TableContents"/>
              <w:spacing w:before="0" w:after="283"/>
              <w:jc w:val="both"/>
              <w:rPr/>
            </w:pPr>
            <w:r>
              <w:rPr/>
              <w:t> </w:t>
            </w:r>
          </w:p>
        </w:tc>
        <w:tc>
          <w:tcPr>
            <w:tcW w:w="4428" w:type="dxa"/>
            <w:tcBorders/>
            <w:shd w:fill="auto" w:val="clear"/>
            <w:tcMar>
              <w:bottom w:w="0" w:type="dxa"/>
            </w:tcMar>
          </w:tcPr>
          <w:p>
            <w:pPr>
              <w:pStyle w:val="TableContents"/>
              <w:spacing w:before="0" w:after="283"/>
              <w:jc w:val="both"/>
              <w:rPr/>
            </w:pPr>
            <w:r>
              <w:rPr/>
              <w:t> </w:t>
            </w:r>
          </w:p>
        </w:tc>
      </w:tr>
      <w:tr>
        <w:trPr/>
        <w:tc>
          <w:tcPr>
            <w:tcW w:w="859" w:type="dxa"/>
            <w:tcBorders/>
            <w:shd w:fill="auto" w:val="clear"/>
            <w:tcMar>
              <w:bottom w:w="0" w:type="dxa"/>
            </w:tcM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31</w:t>
            </w:r>
          </w:p>
        </w:tc>
        <w:tc>
          <w:tcPr>
            <w:tcW w:w="245" w:type="dxa"/>
            <w:tcBorders/>
            <w:shd w:fill="auto" w:val="clear"/>
            <w:tcMar>
              <w:bottom w:w="0" w:type="dxa"/>
            </w:tcMar>
            <w:vAlign w:val="center"/>
          </w:tcPr>
          <w:p>
            <w:pPr>
              <w:pStyle w:val="TableContents"/>
              <w:spacing w:before="0" w:after="283"/>
              <w:rPr/>
            </w:pPr>
            <w:r>
              <w:rPr/>
              <w:t> </w:t>
            </w:r>
          </w:p>
        </w:tc>
        <w:tc>
          <w:tcPr>
            <w:tcW w:w="4428" w:type="dxa"/>
            <w:tcBorders/>
            <w:shd w:fill="auto" w:val="clear"/>
            <w:tcMar>
              <w:bottom w:w="0" w:type="dxa"/>
            </w:tcM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Certifications pursuant to Rule 13a – 14(a).</w:t>
            </w:r>
          </w:p>
        </w:tc>
        <w:tc>
          <w:tcPr>
            <w:tcW w:w="245" w:type="dxa"/>
            <w:tcBorders/>
            <w:shd w:fill="auto" w:val="clear"/>
            <w:tcMar>
              <w:bottom w:w="0" w:type="dxa"/>
            </w:tcMar>
          </w:tcPr>
          <w:p>
            <w:pPr>
              <w:pStyle w:val="TableContents"/>
              <w:spacing w:before="0" w:after="283"/>
              <w:jc w:val="both"/>
              <w:rPr/>
            </w:pPr>
            <w:r>
              <w:rPr/>
              <w:t> </w:t>
            </w:r>
          </w:p>
        </w:tc>
        <w:tc>
          <w:tcPr>
            <w:tcW w:w="4428" w:type="dxa"/>
            <w:tcBorders/>
            <w:shd w:fill="auto" w:val="clear"/>
            <w:tcMar>
              <w:bottom w:w="0" w:type="dxa"/>
            </w:tcM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Filed herewith.</w:t>
            </w:r>
          </w:p>
        </w:tc>
      </w:tr>
      <w:tr>
        <w:trPr/>
        <w:tc>
          <w:tcPr>
            <w:tcW w:w="859" w:type="dxa"/>
            <w:tcBorders/>
            <w:shd w:fill="auto" w:val="clear"/>
            <w:tcMar>
              <w:bottom w:w="0" w:type="dxa"/>
            </w:tcMar>
          </w:tcPr>
          <w:p>
            <w:pPr>
              <w:pStyle w:val="TableContents"/>
              <w:spacing w:before="0" w:after="283"/>
              <w:rPr/>
            </w:pPr>
            <w:r>
              <w:rPr/>
              <w:t> </w:t>
            </w:r>
          </w:p>
        </w:tc>
        <w:tc>
          <w:tcPr>
            <w:tcW w:w="245" w:type="dxa"/>
            <w:tcBorders/>
            <w:shd w:fill="auto" w:val="clear"/>
            <w:tcMar>
              <w:bottom w:w="0" w:type="dxa"/>
            </w:tcMar>
            <w:vAlign w:val="center"/>
          </w:tcPr>
          <w:p>
            <w:pPr>
              <w:pStyle w:val="TableContents"/>
              <w:spacing w:before="0" w:after="283"/>
              <w:rPr/>
            </w:pPr>
            <w:r>
              <w:rPr/>
              <w:t> </w:t>
            </w:r>
          </w:p>
        </w:tc>
        <w:tc>
          <w:tcPr>
            <w:tcW w:w="4428" w:type="dxa"/>
            <w:tcBorders/>
            <w:shd w:fill="auto" w:val="clear"/>
            <w:tcMar>
              <w:bottom w:w="0" w:type="dxa"/>
            </w:tcMar>
          </w:tcPr>
          <w:p>
            <w:pPr>
              <w:pStyle w:val="TableContents"/>
              <w:spacing w:before="0" w:after="283"/>
              <w:jc w:val="both"/>
              <w:rPr/>
            </w:pPr>
            <w:r>
              <w:rPr/>
              <w:t> </w:t>
            </w:r>
          </w:p>
        </w:tc>
        <w:tc>
          <w:tcPr>
            <w:tcW w:w="245" w:type="dxa"/>
            <w:tcBorders/>
            <w:shd w:fill="auto" w:val="clear"/>
            <w:tcMar>
              <w:bottom w:w="0" w:type="dxa"/>
            </w:tcMar>
          </w:tcPr>
          <w:p>
            <w:pPr>
              <w:pStyle w:val="TableContents"/>
              <w:spacing w:before="0" w:after="283"/>
              <w:jc w:val="both"/>
              <w:rPr/>
            </w:pPr>
            <w:r>
              <w:rPr/>
              <w:t> </w:t>
            </w:r>
          </w:p>
        </w:tc>
        <w:tc>
          <w:tcPr>
            <w:tcW w:w="4428" w:type="dxa"/>
            <w:tcBorders/>
            <w:shd w:fill="auto" w:val="clear"/>
            <w:tcMar>
              <w:bottom w:w="0" w:type="dxa"/>
            </w:tcMar>
          </w:tcPr>
          <w:p>
            <w:pPr>
              <w:pStyle w:val="TableContents"/>
              <w:spacing w:before="0" w:after="283"/>
              <w:jc w:val="left"/>
              <w:rPr/>
            </w:pPr>
            <w:r>
              <w:rPr/>
              <w:t> </w:t>
            </w:r>
          </w:p>
        </w:tc>
      </w:tr>
      <w:tr>
        <w:trPr/>
        <w:tc>
          <w:tcPr>
            <w:tcW w:w="859" w:type="dxa"/>
            <w:tcBorders/>
            <w:shd w:fill="auto" w:val="clear"/>
            <w:tcMar>
              <w:bottom w:w="0" w:type="dxa"/>
            </w:tcM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32</w:t>
            </w:r>
          </w:p>
        </w:tc>
        <w:tc>
          <w:tcPr>
            <w:tcW w:w="245" w:type="dxa"/>
            <w:tcBorders/>
            <w:shd w:fill="auto" w:val="clear"/>
            <w:tcMar>
              <w:bottom w:w="0" w:type="dxa"/>
            </w:tcMar>
            <w:vAlign w:val="center"/>
          </w:tcPr>
          <w:p>
            <w:pPr>
              <w:pStyle w:val="TableContents"/>
              <w:spacing w:before="0" w:after="283"/>
              <w:rPr/>
            </w:pPr>
            <w:r>
              <w:rPr/>
              <w:t> </w:t>
            </w:r>
          </w:p>
        </w:tc>
        <w:tc>
          <w:tcPr>
            <w:tcW w:w="4428" w:type="dxa"/>
            <w:tcBorders/>
            <w:shd w:fill="auto" w:val="clear"/>
            <w:tcMar>
              <w:bottom w:w="0" w:type="dxa"/>
            </w:tcM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Certifications pursuant to Section 1350 of the Sarbanes-Oxley Act of 2002.</w:t>
            </w:r>
          </w:p>
        </w:tc>
        <w:tc>
          <w:tcPr>
            <w:tcW w:w="245" w:type="dxa"/>
            <w:tcBorders/>
            <w:shd w:fill="auto" w:val="clear"/>
            <w:tcMar>
              <w:bottom w:w="0" w:type="dxa"/>
            </w:tcMar>
          </w:tcPr>
          <w:p>
            <w:pPr>
              <w:pStyle w:val="TableContents"/>
              <w:spacing w:before="0" w:after="283"/>
              <w:jc w:val="both"/>
              <w:rPr/>
            </w:pPr>
            <w:r>
              <w:rPr/>
              <w:t> </w:t>
            </w:r>
          </w:p>
        </w:tc>
        <w:tc>
          <w:tcPr>
            <w:tcW w:w="4428" w:type="dxa"/>
            <w:tcBorders/>
            <w:shd w:fill="auto" w:val="clear"/>
            <w:tcMar>
              <w:bottom w:w="0" w:type="dxa"/>
            </w:tcM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Furnished herewith.</w:t>
            </w:r>
          </w:p>
        </w:tc>
      </w:tr>
      <w:tr>
        <w:trPr/>
        <w:tc>
          <w:tcPr>
            <w:tcW w:w="859" w:type="dxa"/>
            <w:tcBorders/>
            <w:shd w:fill="auto" w:val="clear"/>
            <w:tcMar>
              <w:bottom w:w="0" w:type="dxa"/>
            </w:tcMar>
          </w:tcPr>
          <w:p>
            <w:pPr>
              <w:pStyle w:val="TableContents"/>
              <w:spacing w:before="0" w:after="283"/>
              <w:rPr/>
            </w:pPr>
            <w:r>
              <w:rPr/>
              <w:t> </w:t>
            </w:r>
          </w:p>
        </w:tc>
        <w:tc>
          <w:tcPr>
            <w:tcW w:w="245" w:type="dxa"/>
            <w:tcBorders/>
            <w:shd w:fill="auto" w:val="clear"/>
            <w:tcMar>
              <w:bottom w:w="0" w:type="dxa"/>
            </w:tcMar>
            <w:vAlign w:val="center"/>
          </w:tcPr>
          <w:p>
            <w:pPr>
              <w:pStyle w:val="TableContents"/>
              <w:spacing w:before="0" w:after="283"/>
              <w:rPr/>
            </w:pPr>
            <w:r>
              <w:rPr/>
              <w:t> </w:t>
            </w:r>
          </w:p>
        </w:tc>
        <w:tc>
          <w:tcPr>
            <w:tcW w:w="4428" w:type="dxa"/>
            <w:tcBorders/>
            <w:shd w:fill="auto" w:val="clear"/>
            <w:tcMar>
              <w:bottom w:w="0" w:type="dxa"/>
            </w:tcMar>
          </w:tcPr>
          <w:p>
            <w:pPr>
              <w:pStyle w:val="TableContents"/>
              <w:spacing w:before="0" w:after="283"/>
              <w:jc w:val="both"/>
              <w:rPr/>
            </w:pPr>
            <w:r>
              <w:rPr/>
              <w:t> </w:t>
            </w:r>
          </w:p>
        </w:tc>
        <w:tc>
          <w:tcPr>
            <w:tcW w:w="245" w:type="dxa"/>
            <w:tcBorders/>
            <w:shd w:fill="auto" w:val="clear"/>
            <w:tcMar>
              <w:bottom w:w="0" w:type="dxa"/>
            </w:tcMar>
          </w:tcPr>
          <w:p>
            <w:pPr>
              <w:pStyle w:val="TableContents"/>
              <w:spacing w:before="0" w:after="283"/>
              <w:jc w:val="both"/>
              <w:rPr/>
            </w:pPr>
            <w:r>
              <w:rPr/>
              <w:t> </w:t>
            </w:r>
          </w:p>
        </w:tc>
        <w:tc>
          <w:tcPr>
            <w:tcW w:w="4428" w:type="dxa"/>
            <w:tcBorders/>
            <w:shd w:fill="auto" w:val="clear"/>
            <w:tcMar>
              <w:bottom w:w="0" w:type="dxa"/>
            </w:tcMar>
          </w:tcPr>
          <w:p>
            <w:pPr>
              <w:pStyle w:val="TableContents"/>
              <w:spacing w:before="0" w:after="283"/>
              <w:jc w:val="both"/>
              <w:rPr/>
            </w:pPr>
            <w:r>
              <w:rPr/>
              <w:t> </w:t>
            </w:r>
          </w:p>
        </w:tc>
      </w:tr>
      <w:tr>
        <w:trPr/>
        <w:tc>
          <w:tcPr>
            <w:tcW w:w="859" w:type="dxa"/>
            <w:tcBorders/>
            <w:shd w:fill="auto" w:val="clear"/>
            <w:tcMar>
              <w:bottom w:w="0" w:type="dxa"/>
            </w:tcM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w:t>
            </w:r>
          </w:p>
        </w:tc>
        <w:tc>
          <w:tcPr>
            <w:tcW w:w="245" w:type="dxa"/>
            <w:tcBorders/>
            <w:shd w:fill="auto" w:val="clear"/>
            <w:tcMar>
              <w:bottom w:w="0" w:type="dxa"/>
            </w:tcMar>
            <w:vAlign w:val="center"/>
          </w:tcPr>
          <w:p>
            <w:pPr>
              <w:pStyle w:val="TableContents"/>
              <w:spacing w:before="0" w:after="283"/>
              <w:rPr/>
            </w:pPr>
            <w:r>
              <w:rPr/>
              <w:t> </w:t>
            </w:r>
          </w:p>
        </w:tc>
        <w:tc>
          <w:tcPr>
            <w:tcW w:w="4428" w:type="dxa"/>
            <w:tcBorders/>
            <w:shd w:fill="auto" w:val="clear"/>
            <w:tcMar>
              <w:bottom w:w="0" w:type="dxa"/>
            </w:tcM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Management contract or compensatory plan or arrangement.</w:t>
            </w:r>
          </w:p>
        </w:tc>
        <w:tc>
          <w:tcPr>
            <w:tcW w:w="245" w:type="dxa"/>
            <w:tcBorders/>
            <w:shd w:fill="auto" w:val="clear"/>
            <w:tcMar>
              <w:bottom w:w="0" w:type="dxa"/>
            </w:tcMar>
          </w:tcPr>
          <w:p>
            <w:pPr>
              <w:pStyle w:val="TableContents"/>
              <w:spacing w:before="0" w:after="283"/>
              <w:jc w:val="both"/>
              <w:rPr/>
            </w:pPr>
            <w:r>
              <w:rPr/>
              <w:t> </w:t>
            </w:r>
          </w:p>
        </w:tc>
        <w:tc>
          <w:tcPr>
            <w:tcW w:w="4428" w:type="dxa"/>
            <w:tcBorders/>
            <w:shd w:fill="auto" w:val="clear"/>
            <w:tcMar>
              <w:bottom w:w="0" w:type="dxa"/>
            </w:tcMar>
          </w:tcPr>
          <w:p>
            <w:pPr>
              <w:pStyle w:val="TableContents"/>
              <w:spacing w:before="0" w:after="283"/>
              <w:jc w:val="both"/>
              <w:rPr/>
            </w:pPr>
            <w:r>
              <w:rPr/>
              <w:t>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830" w:name="PGBRK25"/>
      <w:bookmarkStart w:id="831" w:name="PGBRK25"/>
      <w:bookmarkEnd w:id="8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832" w:name="FTR25"/>
      <w:bookmarkStart w:id="833" w:name="FTR25"/>
      <w:bookmarkEnd w:id="8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834" w:name="GLFTR25"/>
      <w:bookmarkStart w:id="835" w:name="GLFTR25"/>
      <w:bookmarkEnd w:id="8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836" w:name="PN25"/>
      <w:bookmarkEnd w:id="836"/>
      <w:r>
        <w:rPr>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837" w:name="HDR25"/>
      <w:bookmarkStart w:id="838" w:name="HDR25"/>
      <w:bookmarkEnd w:id="8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839" w:name="GLHDR25"/>
      <w:bookmarkStart w:id="840" w:name="GLHDR25"/>
      <w:bookmarkEnd w:id="8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u w:val="single"/>
        </w:rPr>
      </w:pPr>
      <w:r>
        <w:rPr>
          <w:rFonts w:ascii="Times New Roman" w:hAnsi="Times New Roman"/>
          <w:sz w:val="20"/>
          <w:u w:val="single"/>
        </w:rPr>
        <w:t>SIGNATURES</w:t>
      </w:r>
    </w:p>
    <w:p>
      <w:pPr>
        <w:pStyle w:val="TextBody"/>
        <w:spacing w:lineRule="auto" w:line="300" w:before="0" w:after="0"/>
        <w:ind w:left="36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thereunto duly authorized.</w:t>
      </w:r>
    </w:p>
    <w:p>
      <w:pPr>
        <w:pStyle w:val="TextBody"/>
        <w:spacing w:lineRule="auto" w:line="300" w:before="0" w:after="0"/>
        <w:ind w:left="0" w:right="0" w:hanging="0"/>
        <w:jc w:val="left"/>
        <w:rPr/>
      </w:pPr>
      <w:r>
        <w:rPr/>
        <w:t> </w:t>
      </w:r>
    </w:p>
    <w:tbl>
      <w:tblPr>
        <w:tblW w:w="2000" w:type="pct"/>
        <w:jc w:val="left"/>
        <w:tblInd w:w="0" w:type="dxa"/>
        <w:tblCellMar>
          <w:top w:w="0" w:type="dxa"/>
          <w:left w:w="0" w:type="dxa"/>
          <w:bottom w:w="0" w:type="dxa"/>
          <w:right w:w="0" w:type="dxa"/>
        </w:tblCellMar>
      </w:tblPr>
      <w:tblGrid>
        <w:gridCol w:w="303"/>
        <w:gridCol w:w="3779"/>
      </w:tblGrid>
      <w:tr>
        <w:trPr/>
        <w:tc>
          <w:tcPr>
            <w:tcW w:w="4082" w:type="dxa"/>
            <w:gridSpan w:val="2"/>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OIL-DRI CORPORATION OF AMERICA</w:t>
            </w:r>
          </w:p>
        </w:tc>
      </w:tr>
      <w:tr>
        <w:trPr/>
        <w:tc>
          <w:tcPr>
            <w:tcW w:w="4082" w:type="dxa"/>
            <w:gridSpan w:val="2"/>
            <w:tcBorders/>
            <w:shd w:fill="auto" w:val="clear"/>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(Registrant)</w:t>
            </w:r>
          </w:p>
        </w:tc>
      </w:tr>
      <w:tr>
        <w:trPr/>
        <w:tc>
          <w:tcPr>
            <w:tcW w:w="303" w:type="dxa"/>
            <w:tcBorders/>
            <w:shd w:fill="auto" w:val="clear"/>
          </w:tcPr>
          <w:p>
            <w:pPr>
              <w:pStyle w:val="TableContents"/>
              <w:spacing w:before="0" w:after="283"/>
              <w:jc w:val="left"/>
              <w:rPr/>
            </w:pPr>
            <w:r>
              <w:rPr/>
              <w:t> </w:t>
            </w:r>
          </w:p>
        </w:tc>
        <w:tc>
          <w:tcPr>
            <w:tcW w:w="3779" w:type="dxa"/>
            <w:tcBorders/>
            <w:shd w:fill="auto" w:val="clear"/>
          </w:tcPr>
          <w:p>
            <w:pPr>
              <w:pStyle w:val="TableContents"/>
              <w:spacing w:before="0" w:after="283"/>
              <w:jc w:val="left"/>
              <w:rPr/>
            </w:pPr>
            <w:r>
              <w:rPr/>
              <w:t> </w:t>
            </w:r>
          </w:p>
        </w:tc>
      </w:tr>
      <w:tr>
        <w:trPr/>
        <w:tc>
          <w:tcPr>
            <w:tcW w:w="4082" w:type="dxa"/>
            <w:gridSpan w:val="2"/>
            <w:tcBorders>
              <w:bottom w:val="single" w:sz="2" w:space="0" w:color="000000"/>
            </w:tcBorders>
            <w:shd w:fill="auto" w:val="clear"/>
            <w:tcMar>
              <w:bottom w:w="28"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BY /s/ Andrew N. Peterson</w:t>
            </w:r>
          </w:p>
        </w:tc>
      </w:tr>
      <w:tr>
        <w:trPr/>
        <w:tc>
          <w:tcPr>
            <w:tcW w:w="303" w:type="dxa"/>
            <w:tcBorders/>
            <w:shd w:fill="auto" w:val="clear"/>
          </w:tcPr>
          <w:p>
            <w:pPr>
              <w:pStyle w:val="TableContents"/>
              <w:spacing w:before="0" w:after="283"/>
              <w:jc w:val="left"/>
              <w:rPr/>
            </w:pPr>
            <w:r>
              <w:rPr/>
              <w:t> </w:t>
            </w:r>
          </w:p>
        </w:tc>
        <w:tc>
          <w:tcPr>
            <w:tcW w:w="3779"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Andrew N. Peterson</w:t>
            </w:r>
          </w:p>
        </w:tc>
      </w:tr>
      <w:tr>
        <w:trPr/>
        <w:tc>
          <w:tcPr>
            <w:tcW w:w="303" w:type="dxa"/>
            <w:tcBorders/>
            <w:shd w:fill="auto" w:val="clear"/>
          </w:tcPr>
          <w:p>
            <w:pPr>
              <w:pStyle w:val="TableContents"/>
              <w:spacing w:before="0" w:after="283"/>
              <w:jc w:val="left"/>
              <w:rPr/>
            </w:pPr>
            <w:r>
              <w:rPr/>
              <w:t> </w:t>
            </w:r>
          </w:p>
        </w:tc>
        <w:tc>
          <w:tcPr>
            <w:tcW w:w="3779"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Vice President and Chief Financial Officer</w:t>
            </w:r>
          </w:p>
        </w:tc>
      </w:tr>
      <w:tr>
        <w:trPr/>
        <w:tc>
          <w:tcPr>
            <w:tcW w:w="303" w:type="dxa"/>
            <w:tcBorders/>
            <w:shd w:fill="auto" w:val="clear"/>
          </w:tcPr>
          <w:p>
            <w:pPr>
              <w:pStyle w:val="TableContents"/>
              <w:spacing w:before="0" w:after="283"/>
              <w:jc w:val="left"/>
              <w:rPr/>
            </w:pPr>
            <w:r>
              <w:rPr/>
              <w:t> </w:t>
            </w:r>
          </w:p>
        </w:tc>
        <w:tc>
          <w:tcPr>
            <w:tcW w:w="3779" w:type="dxa"/>
            <w:tcBorders/>
            <w:shd w:fill="auto" w:val="clear"/>
          </w:tcPr>
          <w:p>
            <w:pPr>
              <w:pStyle w:val="TableContents"/>
              <w:spacing w:before="0" w:after="283"/>
              <w:jc w:val="left"/>
              <w:rPr/>
            </w:pPr>
            <w:r>
              <w:rPr/>
              <w:t> </w:t>
            </w:r>
          </w:p>
        </w:tc>
      </w:tr>
      <w:tr>
        <w:trPr/>
        <w:tc>
          <w:tcPr>
            <w:tcW w:w="4082" w:type="dxa"/>
            <w:gridSpan w:val="2"/>
            <w:tcBorders>
              <w:bottom w:val="single" w:sz="2" w:space="0" w:color="000000"/>
            </w:tcBorders>
            <w:shd w:fill="auto" w:val="clear"/>
            <w:tcMar>
              <w:bottom w:w="28"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BY /s/ Daniel S. Jaffee</w:t>
            </w:r>
          </w:p>
        </w:tc>
      </w:tr>
      <w:tr>
        <w:trPr/>
        <w:tc>
          <w:tcPr>
            <w:tcW w:w="303" w:type="dxa"/>
            <w:tcBorders/>
            <w:shd w:fill="auto" w:val="clear"/>
          </w:tcPr>
          <w:p>
            <w:pPr>
              <w:pStyle w:val="TableContents"/>
              <w:spacing w:before="0" w:after="283"/>
              <w:jc w:val="left"/>
              <w:rPr/>
            </w:pPr>
            <w:r>
              <w:rPr/>
              <w:t> </w:t>
            </w:r>
          </w:p>
        </w:tc>
        <w:tc>
          <w:tcPr>
            <w:tcW w:w="3779"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Daniel S. Jaffee</w:t>
            </w:r>
          </w:p>
        </w:tc>
      </w:tr>
      <w:tr>
        <w:trPr/>
        <w:tc>
          <w:tcPr>
            <w:tcW w:w="303" w:type="dxa"/>
            <w:tcBorders/>
            <w:shd w:fill="auto" w:val="clear"/>
          </w:tcPr>
          <w:p>
            <w:pPr>
              <w:pStyle w:val="TableContents"/>
              <w:spacing w:before="0" w:after="283"/>
              <w:jc w:val="left"/>
              <w:rPr/>
            </w:pPr>
            <w:r>
              <w:rPr/>
              <w:t> </w:t>
            </w:r>
          </w:p>
        </w:tc>
        <w:tc>
          <w:tcPr>
            <w:tcW w:w="3779" w:type="dxa"/>
            <w:tcBorders/>
            <w:shd w:fill="auto" w:val="clear"/>
          </w:tcPr>
          <w:p>
            <w:pPr>
              <w:pStyle w:val="TableContents"/>
              <w:spacing w:lineRule="auto" w:line="300" w:before="0" w:after="0"/>
              <w:ind w:left="0" w:right="0" w:hanging="0"/>
              <w:jc w:val="left"/>
              <w:rPr>
                <w:rFonts w:ascii="Times New Roman" w:hAnsi="Times New Roman"/>
                <w:sz w:val="20"/>
              </w:rPr>
            </w:pPr>
            <w:bookmarkStart w:id="841" w:name="LineIP"/>
            <w:bookmarkEnd w:id="841"/>
            <w:r>
              <w:rPr>
                <w:rFonts w:ascii="Times New Roman" w:hAnsi="Times New Roman"/>
                <w:sz w:val="20"/>
              </w:rPr>
              <w:t>President and Chief Executive Officer</w:t>
            </w:r>
          </w:p>
        </w:tc>
      </w:tr>
    </w:tbl>
    <w:p>
      <w:pPr>
        <w:pStyle w:val="TextBody"/>
        <w:spacing w:lineRule="auto" w:line="300" w:before="0" w:after="0"/>
        <w:ind w:left="36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Dated: March 7, 2008</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42" w:name="PGBRK26"/>
      <w:bookmarkStart w:id="843" w:name="PGBRK26"/>
      <w:bookmarkEnd w:id="8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4" w:name="FTR26"/>
      <w:bookmarkStart w:id="845" w:name="FTR26"/>
      <w:bookmarkEnd w:id="8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6" w:name="GLFTR26"/>
      <w:bookmarkStart w:id="847" w:name="GLFTR26"/>
      <w:bookmarkEnd w:id="8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848" w:name="PN26"/>
      <w:bookmarkEnd w:id="848"/>
      <w:r>
        <w:rPr>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9" w:name="HDR26"/>
      <w:bookmarkStart w:id="850" w:name="HDR26"/>
      <w:bookmarkEnd w:id="8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1" w:name="GLHDR26"/>
      <w:bookmarkStart w:id="852" w:name="GLHDR26"/>
      <w:bookmarkEnd w:id="8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center"/>
        <w:rPr/>
      </w:pPr>
      <w:r>
        <w:rPr/>
        <w:t> </w:t>
      </w:r>
    </w:p>
    <w:p>
      <w:pPr>
        <w:pStyle w:val="TextBody"/>
        <w:spacing w:lineRule="auto" w:line="300" w:before="0" w:after="0"/>
        <w:ind w:left="0" w:right="0" w:hanging="0"/>
        <w:jc w:val="center"/>
        <w:rPr/>
      </w:pPr>
      <w:r>
        <w:rPr>
          <w:rStyle w:val="StrongEmphasis"/>
          <w:rFonts w:ascii="Times New Roman" w:hAnsi="Times New Roman"/>
          <w:sz w:val="20"/>
        </w:rPr>
        <w:t>EXHIBITS</w:t>
      </w:r>
    </w:p>
    <w:p>
      <w:pPr>
        <w:pStyle w:val="TextBody"/>
        <w:spacing w:lineRule="auto" w:line="300" w:before="0" w:after="0"/>
        <w:ind w:left="0" w:right="0" w:hanging="0"/>
        <w:jc w:val="center"/>
        <w:rPr/>
      </w:pPr>
      <w:r>
        <w:rPr/>
      </w:r>
    </w:p>
    <w:tbl>
      <w:tblPr>
        <w:tblW w:w="5000" w:type="pct"/>
        <w:jc w:val="left"/>
        <w:tblInd w:w="0" w:type="dxa"/>
        <w:tblCellMar>
          <w:top w:w="0" w:type="dxa"/>
          <w:left w:w="0" w:type="dxa"/>
          <w:bottom w:w="0" w:type="dxa"/>
          <w:right w:w="0" w:type="dxa"/>
        </w:tblCellMar>
      </w:tblPr>
      <w:tblGrid>
        <w:gridCol w:w="815"/>
        <w:gridCol w:w="204"/>
        <w:gridCol w:w="9186"/>
      </w:tblGrid>
      <w:tr>
        <w:trPr/>
        <w:tc>
          <w:tcPr>
            <w:tcW w:w="815" w:type="dxa"/>
            <w:tcBorders/>
            <w:shd w:fill="auto" w:val="clear"/>
          </w:tcPr>
          <w:p>
            <w:pPr>
              <w:pStyle w:val="TableContents"/>
              <w:spacing w:lineRule="auto" w:line="300" w:before="0" w:after="0"/>
              <w:ind w:left="0" w:right="0" w:hanging="0"/>
              <w:jc w:val="center"/>
              <w:rPr>
                <w:rFonts w:ascii="Times New Roman" w:hAnsi="Times New Roman"/>
                <w:sz w:val="20"/>
                <w:u w:val="single"/>
              </w:rPr>
            </w:pPr>
            <w:r>
              <w:rPr>
                <w:rFonts w:ascii="Times New Roman" w:hAnsi="Times New Roman"/>
                <w:sz w:val="20"/>
                <w:u w:val="single"/>
              </w:rPr>
              <w:t>Exhibit No.</w:t>
            </w:r>
          </w:p>
        </w:tc>
        <w:tc>
          <w:tcPr>
            <w:tcW w:w="204" w:type="dxa"/>
            <w:tcBorders/>
            <w:shd w:fill="auto" w:val="clear"/>
            <w:vAlign w:val="center"/>
          </w:tcPr>
          <w:p>
            <w:pPr>
              <w:pStyle w:val="TableContents"/>
              <w:spacing w:before="0" w:after="283"/>
              <w:rPr/>
            </w:pPr>
            <w:r>
              <w:rPr/>
              <w:t> </w:t>
            </w:r>
          </w:p>
        </w:tc>
        <w:tc>
          <w:tcPr>
            <w:tcW w:w="9186" w:type="dxa"/>
            <w:tcBorders/>
            <w:shd w:fill="auto" w:val="clear"/>
            <w:vAlign w:val="bottom"/>
          </w:tcPr>
          <w:p>
            <w:pPr>
              <w:pStyle w:val="TableContents"/>
              <w:spacing w:lineRule="auto" w:line="300" w:before="0" w:after="0"/>
              <w:ind w:left="0" w:right="0" w:hanging="0"/>
              <w:jc w:val="center"/>
              <w:rPr>
                <w:rFonts w:ascii="Times New Roman" w:hAnsi="Times New Roman"/>
                <w:sz w:val="20"/>
                <w:u w:val="single"/>
              </w:rPr>
            </w:pPr>
            <w:r>
              <w:rPr>
                <w:rFonts w:ascii="Times New Roman" w:hAnsi="Times New Roman"/>
                <w:sz w:val="20"/>
                <w:u w:val="single"/>
              </w:rPr>
              <w:t>Description</w:t>
            </w:r>
          </w:p>
        </w:tc>
      </w:tr>
      <w:tr>
        <w:trPr/>
        <w:tc>
          <w:tcPr>
            <w:tcW w:w="815"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10.1</w:t>
            </w:r>
          </w:p>
        </w:tc>
        <w:tc>
          <w:tcPr>
            <w:tcW w:w="204" w:type="dxa"/>
            <w:tcBorders/>
            <w:shd w:fill="auto" w:val="clear"/>
            <w:vAlign w:val="center"/>
          </w:tcPr>
          <w:p>
            <w:pPr>
              <w:pStyle w:val="TableContents"/>
              <w:spacing w:before="0" w:after="283"/>
              <w:rPr/>
            </w:pPr>
            <w:r>
              <w:rPr/>
              <w:t> </w:t>
            </w:r>
          </w:p>
        </w:tc>
        <w:tc>
          <w:tcPr>
            <w:tcW w:w="9186" w:type="dxa"/>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First Amendment, effective as of January 1, 2007, to Oil-Dri Corporation of America Deferred Compensation Plan (as amended and restated effective April 1, 2003)</w:t>
            </w:r>
          </w:p>
        </w:tc>
      </w:tr>
      <w:tr>
        <w:trPr/>
        <w:tc>
          <w:tcPr>
            <w:tcW w:w="815" w:type="dxa"/>
            <w:tcBorders/>
            <w:shd w:fill="auto" w:val="clea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9186" w:type="dxa"/>
            <w:tcBorders/>
            <w:shd w:fill="auto" w:val="clear"/>
          </w:tcPr>
          <w:p>
            <w:pPr>
              <w:pStyle w:val="TableContents"/>
              <w:spacing w:before="0" w:after="283"/>
              <w:jc w:val="both"/>
              <w:rPr/>
            </w:pPr>
            <w:r>
              <w:rPr/>
              <w:t> </w:t>
            </w:r>
          </w:p>
        </w:tc>
      </w:tr>
      <w:tr>
        <w:trPr/>
        <w:tc>
          <w:tcPr>
            <w:tcW w:w="815"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10.2</w:t>
            </w:r>
          </w:p>
        </w:tc>
        <w:tc>
          <w:tcPr>
            <w:tcW w:w="204" w:type="dxa"/>
            <w:tcBorders/>
            <w:shd w:fill="auto" w:val="clear"/>
            <w:vAlign w:val="center"/>
          </w:tcPr>
          <w:p>
            <w:pPr>
              <w:pStyle w:val="TableContents"/>
              <w:spacing w:before="0" w:after="283"/>
              <w:rPr/>
            </w:pPr>
            <w:r>
              <w:rPr/>
              <w:t> </w:t>
            </w:r>
          </w:p>
        </w:tc>
        <w:tc>
          <w:tcPr>
            <w:tcW w:w="9186" w:type="dxa"/>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Second Amendment, effective as of January 1, 2008, to Oil-Dri Corporation of America Deferred Compensation Plan (as amended and restated effective April 1, 2003)</w:t>
            </w:r>
          </w:p>
        </w:tc>
      </w:tr>
      <w:tr>
        <w:trPr/>
        <w:tc>
          <w:tcPr>
            <w:tcW w:w="815" w:type="dxa"/>
            <w:tcBorders/>
            <w:shd w:fill="auto" w:val="clea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9186" w:type="dxa"/>
            <w:tcBorders/>
            <w:shd w:fill="auto" w:val="clear"/>
          </w:tcPr>
          <w:p>
            <w:pPr>
              <w:pStyle w:val="TableContents"/>
              <w:spacing w:before="0" w:after="283"/>
              <w:jc w:val="both"/>
              <w:rPr/>
            </w:pPr>
            <w:r>
              <w:rPr/>
              <w:t> </w:t>
            </w:r>
          </w:p>
        </w:tc>
      </w:tr>
      <w:tr>
        <w:trPr/>
        <w:tc>
          <w:tcPr>
            <w:tcW w:w="815"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10.3</w:t>
            </w:r>
          </w:p>
        </w:tc>
        <w:tc>
          <w:tcPr>
            <w:tcW w:w="204" w:type="dxa"/>
            <w:tcBorders/>
            <w:shd w:fill="auto" w:val="clear"/>
            <w:vAlign w:val="center"/>
          </w:tcPr>
          <w:p>
            <w:pPr>
              <w:pStyle w:val="TableContents"/>
              <w:spacing w:before="0" w:after="283"/>
              <w:rPr/>
            </w:pPr>
            <w:r>
              <w:rPr/>
              <w:t> </w:t>
            </w:r>
          </w:p>
        </w:tc>
        <w:tc>
          <w:tcPr>
            <w:tcW w:w="9186" w:type="dxa"/>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Oil-Dri Corporation of America 2005 Deferred Compensation Plan (as amended and restated effective January 1, 2008)</w:t>
            </w:r>
          </w:p>
        </w:tc>
      </w:tr>
      <w:tr>
        <w:trPr/>
        <w:tc>
          <w:tcPr>
            <w:tcW w:w="815" w:type="dxa"/>
            <w:tcBorders/>
            <w:shd w:fill="auto" w:val="clea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9186" w:type="dxa"/>
            <w:tcBorders/>
            <w:shd w:fill="auto" w:val="clear"/>
          </w:tcPr>
          <w:p>
            <w:pPr>
              <w:pStyle w:val="TableContents"/>
              <w:spacing w:before="0" w:after="283"/>
              <w:jc w:val="both"/>
              <w:rPr/>
            </w:pPr>
            <w:r>
              <w:rPr/>
              <w:t> </w:t>
            </w:r>
          </w:p>
        </w:tc>
      </w:tr>
      <w:tr>
        <w:trPr/>
        <w:tc>
          <w:tcPr>
            <w:tcW w:w="815"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10.4</w:t>
            </w:r>
          </w:p>
        </w:tc>
        <w:tc>
          <w:tcPr>
            <w:tcW w:w="204" w:type="dxa"/>
            <w:tcBorders/>
            <w:shd w:fill="auto" w:val="clear"/>
            <w:vAlign w:val="center"/>
          </w:tcPr>
          <w:p>
            <w:pPr>
              <w:pStyle w:val="TableContents"/>
              <w:spacing w:before="0" w:after="283"/>
              <w:rPr/>
            </w:pPr>
            <w:r>
              <w:rPr/>
              <w:t> </w:t>
            </w:r>
          </w:p>
        </w:tc>
        <w:tc>
          <w:tcPr>
            <w:tcW w:w="9186" w:type="dxa"/>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Oil-Dri Corporation of America Annual Incentive Plan (as amended and restated effective January 1, 2008)</w:t>
            </w:r>
          </w:p>
        </w:tc>
      </w:tr>
      <w:tr>
        <w:trPr/>
        <w:tc>
          <w:tcPr>
            <w:tcW w:w="815" w:type="dxa"/>
            <w:tcBorders/>
            <w:shd w:fill="auto" w:val="clea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9186" w:type="dxa"/>
            <w:tcBorders/>
            <w:shd w:fill="auto" w:val="clear"/>
          </w:tcPr>
          <w:p>
            <w:pPr>
              <w:pStyle w:val="TableContents"/>
              <w:spacing w:before="0" w:after="283"/>
              <w:jc w:val="both"/>
              <w:rPr/>
            </w:pPr>
            <w:r>
              <w:rPr/>
              <w:t> </w:t>
            </w:r>
          </w:p>
        </w:tc>
      </w:tr>
      <w:tr>
        <w:trPr/>
        <w:tc>
          <w:tcPr>
            <w:tcW w:w="815"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10.5</w:t>
            </w:r>
          </w:p>
        </w:tc>
        <w:tc>
          <w:tcPr>
            <w:tcW w:w="204" w:type="dxa"/>
            <w:tcBorders/>
            <w:shd w:fill="auto" w:val="clear"/>
            <w:vAlign w:val="center"/>
          </w:tcPr>
          <w:p>
            <w:pPr>
              <w:pStyle w:val="TableContents"/>
              <w:spacing w:before="0" w:after="283"/>
              <w:rPr/>
            </w:pPr>
            <w:r>
              <w:rPr/>
              <w:t> </w:t>
            </w:r>
          </w:p>
        </w:tc>
        <w:tc>
          <w:tcPr>
            <w:tcW w:w="9186" w:type="dxa"/>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First Amendment, effective as of January 1, 2008, to Oil-Dri Corporation of America 2006 Long Term Incentive Plan (as amended and restated effective July 28, 2006)</w:t>
            </w:r>
          </w:p>
        </w:tc>
      </w:tr>
      <w:tr>
        <w:trPr/>
        <w:tc>
          <w:tcPr>
            <w:tcW w:w="815" w:type="dxa"/>
            <w:tcBorders/>
            <w:shd w:fill="auto" w:val="clea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9186" w:type="dxa"/>
            <w:tcBorders/>
            <w:shd w:fill="auto" w:val="clear"/>
          </w:tcPr>
          <w:p>
            <w:pPr>
              <w:pStyle w:val="TableContents"/>
              <w:spacing w:before="0" w:after="283"/>
              <w:jc w:val="both"/>
              <w:rPr/>
            </w:pPr>
            <w:r>
              <w:rPr/>
              <w:t> </w:t>
            </w:r>
          </w:p>
        </w:tc>
      </w:tr>
      <w:tr>
        <w:trPr/>
        <w:tc>
          <w:tcPr>
            <w:tcW w:w="815"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11</w:t>
            </w:r>
          </w:p>
        </w:tc>
        <w:tc>
          <w:tcPr>
            <w:tcW w:w="204" w:type="dxa"/>
            <w:tcBorders/>
            <w:shd w:fill="auto" w:val="clear"/>
            <w:vAlign w:val="center"/>
          </w:tcPr>
          <w:p>
            <w:pPr>
              <w:pStyle w:val="TableContents"/>
              <w:spacing w:before="0" w:after="283"/>
              <w:rPr/>
            </w:pPr>
            <w:r>
              <w:rPr/>
              <w:t> </w:t>
            </w:r>
          </w:p>
        </w:tc>
        <w:tc>
          <w:tcPr>
            <w:tcW w:w="9186" w:type="dxa"/>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Statement re: Computation of Earnings per Share.</w:t>
            </w:r>
          </w:p>
        </w:tc>
      </w:tr>
      <w:tr>
        <w:trPr/>
        <w:tc>
          <w:tcPr>
            <w:tcW w:w="815" w:type="dxa"/>
            <w:tcBorders/>
            <w:shd w:fill="auto" w:val="clea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9186" w:type="dxa"/>
            <w:tcBorders/>
            <w:shd w:fill="auto" w:val="clear"/>
          </w:tcPr>
          <w:p>
            <w:pPr>
              <w:pStyle w:val="TableContents"/>
              <w:spacing w:before="0" w:after="283"/>
              <w:jc w:val="both"/>
              <w:rPr/>
            </w:pPr>
            <w:r>
              <w:rPr/>
              <w:t> </w:t>
            </w:r>
          </w:p>
        </w:tc>
      </w:tr>
      <w:tr>
        <w:trPr/>
        <w:tc>
          <w:tcPr>
            <w:tcW w:w="815"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31</w:t>
            </w:r>
          </w:p>
        </w:tc>
        <w:tc>
          <w:tcPr>
            <w:tcW w:w="204" w:type="dxa"/>
            <w:tcBorders/>
            <w:shd w:fill="auto" w:val="clear"/>
            <w:vAlign w:val="center"/>
          </w:tcPr>
          <w:p>
            <w:pPr>
              <w:pStyle w:val="TableContents"/>
              <w:spacing w:before="0" w:after="283"/>
              <w:rPr/>
            </w:pPr>
            <w:r>
              <w:rPr/>
              <w:t> </w:t>
            </w:r>
          </w:p>
        </w:tc>
        <w:tc>
          <w:tcPr>
            <w:tcW w:w="9186" w:type="dxa"/>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Certifications pursuant to Rule 13a - 14(a).</w:t>
            </w:r>
          </w:p>
        </w:tc>
      </w:tr>
      <w:tr>
        <w:trPr/>
        <w:tc>
          <w:tcPr>
            <w:tcW w:w="815" w:type="dxa"/>
            <w:tcBorders/>
            <w:shd w:fill="auto" w:val="clea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9186" w:type="dxa"/>
            <w:tcBorders/>
            <w:shd w:fill="auto" w:val="clear"/>
          </w:tcPr>
          <w:p>
            <w:pPr>
              <w:pStyle w:val="TableContents"/>
              <w:spacing w:before="0" w:after="283"/>
              <w:jc w:val="both"/>
              <w:rPr/>
            </w:pPr>
            <w:r>
              <w:rPr/>
              <w:t> </w:t>
            </w:r>
          </w:p>
        </w:tc>
      </w:tr>
      <w:tr>
        <w:trPr/>
        <w:tc>
          <w:tcPr>
            <w:tcW w:w="815"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32</w:t>
            </w:r>
          </w:p>
        </w:tc>
        <w:tc>
          <w:tcPr>
            <w:tcW w:w="204" w:type="dxa"/>
            <w:tcBorders/>
            <w:shd w:fill="auto" w:val="clear"/>
            <w:vAlign w:val="center"/>
          </w:tcPr>
          <w:p>
            <w:pPr>
              <w:pStyle w:val="TableContents"/>
              <w:spacing w:before="0" w:after="283"/>
              <w:rPr/>
            </w:pPr>
            <w:r>
              <w:rPr/>
              <w:t> </w:t>
            </w:r>
          </w:p>
        </w:tc>
        <w:tc>
          <w:tcPr>
            <w:tcW w:w="9186" w:type="dxa"/>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Certifications pursuant to Section 1350 of the Sarbanes-Oxley Act of 2002.</w:t>
            </w:r>
          </w:p>
        </w:tc>
      </w:tr>
    </w:tbl>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853" w:name="hangingindent2"/>
      <w:bookmarkStart w:id="854" w:name="hangingindent2"/>
      <w:bookmarkEnd w:id="854"/>
    </w:p>
    <w:tbl>
      <w:tblPr>
        <w:tblW w:w="5000" w:type="pct"/>
        <w:jc w:val="center"/>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Note:</w:t>
            </w:r>
          </w:p>
        </w:tc>
        <w:tc>
          <w:tcPr>
            <w:tcW w:w="976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Stockholders may receive copies of the above listed exhibits, without fee, by written request to Investor Relations, Oil-Dri Corporation of America, 410 North Michigan Avenue, Suite 400, Chicago, Illinois 60611-4213.</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55" w:name="PGBRK27"/>
      <w:bookmarkStart w:id="856" w:name="PGBRK27"/>
      <w:bookmarkEnd w:id="8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7" w:name="FTR27"/>
      <w:bookmarkStart w:id="858" w:name="FTR27"/>
      <w:bookmarkEnd w:id="8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9" w:name="GLFTR27"/>
      <w:bookmarkStart w:id="860" w:name="GLFTR27"/>
      <w:bookmarkEnd w:id="8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861" w:name="PN27"/>
      <w:bookmarkEnd w:id="861"/>
      <w:r>
        <w:rPr>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2" w:name="HDR27"/>
      <w:bookmarkStart w:id="863" w:name="HDR27"/>
      <w:bookmarkEnd w:id="8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4" w:name="GLHDR27"/>
      <w:bookmarkStart w:id="865" w:name="GLHDR27"/>
      <w:bookmarkEnd w:id="8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bookmarkStart w:id="866" w:name="v105960_ex10-1.htm"/>
      <w:bookmarkStart w:id="867" w:name="ksv105960_ex101"/>
      <w:bookmarkEnd w:id="866"/>
      <w:bookmarkEnd w:id="867"/>
      <w:r>
        <w:rPr>
          <w:rStyle w:val="StrongEmphasis"/>
          <w:rFonts w:ascii="Times New Roman" w:hAnsi="Times New Roman"/>
          <w:sz w:val="20"/>
        </w:rPr>
        <w:t>Exhibit 10.1:</w:t>
      </w:r>
    </w:p>
    <w:p>
      <w:pPr>
        <w:pStyle w:val="TextBody"/>
        <w:spacing w:lineRule="auto" w:line="300" w:before="0" w:after="0"/>
        <w:ind w:left="0" w:right="0" w:hanging="0"/>
        <w:jc w:val="both"/>
        <w:rPr/>
      </w:pPr>
      <w:r>
        <w:rPr/>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FIRST AMENDMENT</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TO THE</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OIL-DRI CORPORATION OF AMERICA DEFERRED COMPENSATION PLAN</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(As Amended and Restated Effective April 1, 2003)</w:t>
      </w:r>
    </w:p>
    <w:p>
      <w:pPr>
        <w:pStyle w:val="TextBody"/>
        <w:spacing w:lineRule="auto" w:line="300" w:before="0" w:after="0"/>
        <w:ind w:left="0" w:right="0" w:hanging="0"/>
        <w:jc w:val="both"/>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Oil-Dri Corporation of America Deferred Compensation Plan, as amended and restated effective April 1, 2003 (the “Plan”), is hereby further amended, effective as herein provided, as follows:</w:t>
      </w:r>
    </w:p>
    <w:p>
      <w:pPr>
        <w:pStyle w:val="TextBody"/>
        <w:spacing w:lineRule="auto" w:line="300" w:before="0" w:after="0"/>
        <w:ind w:left="0" w:right="0" w:hanging="0"/>
        <w:jc w:val="left"/>
        <w:rPr/>
      </w:pPr>
      <w:r>
        <w:rPr/>
      </w:r>
    </w:p>
    <w:p>
      <w:pPr>
        <w:pStyle w:val="TextBody"/>
        <w:spacing w:lineRule="auto" w:line="312" w:before="0" w:after="0"/>
        <w:ind w:left="720" w:right="0" w:hanging="0"/>
        <w:jc w:val="left"/>
        <w:rPr>
          <w:rFonts w:ascii="Times New Roman" w:hAnsi="Times New Roman"/>
          <w:sz w:val="20"/>
        </w:rPr>
      </w:pPr>
      <w:r>
        <w:rPr>
          <w:rFonts w:ascii="Times New Roman" w:hAnsi="Times New Roman"/>
          <w:sz w:val="20"/>
        </w:rPr>
        <w:t>1. Section 2.11 is amended, effective January 1, 2007, to read as follows:</w:t>
      </w:r>
    </w:p>
    <w:p>
      <w:pPr>
        <w:pStyle w:val="TextBody"/>
        <w:spacing w:lineRule="auto" w:line="300" w:before="0" w:after="0"/>
        <w:ind w:left="720" w:right="0" w:hanging="0"/>
        <w:jc w:val="left"/>
        <w:rPr/>
      </w:pPr>
      <w:r>
        <w:rPr/>
      </w:r>
    </w:p>
    <w:p>
      <w:pPr>
        <w:pStyle w:val="TextBody"/>
        <w:spacing w:lineRule="auto" w:line="300" w:before="0" w:after="0"/>
        <w:ind w:left="0" w:right="0" w:firstLine="720"/>
        <w:jc w:val="left"/>
        <w:rPr/>
      </w:pPr>
      <w:r>
        <w:rPr>
          <w:rStyle w:val="StrongEmphasis"/>
        </w:rPr>
        <w:t>“</w:t>
      </w:r>
      <w:r>
        <w:rPr>
          <w:rStyle w:val="StrongEmphasis"/>
          <w:rFonts w:ascii="Times New Roman" w:hAnsi="Times New Roman"/>
          <w:sz w:val="20"/>
        </w:rPr>
        <w:t>2.11</w:t>
      </w:r>
      <w:bookmarkStart w:id="868" w:name="TAB260"/>
      <w:bookmarkEnd w:id="868"/>
      <w:r>
        <w:rPr>
          <w:color w:val="000000"/>
          <w:spacing w:val="540"/>
        </w:rPr>
        <w:t> </w:t>
      </w:r>
      <w:r>
        <w:rPr>
          <w:rStyle w:val="StrongEmphasis"/>
          <w:rFonts w:ascii="Times New Roman" w:hAnsi="Times New Roman"/>
          <w:sz w:val="20"/>
        </w:rPr>
        <w:t>Eligible Employee or Director</w:t>
      </w:r>
      <w:r>
        <w:rPr/>
        <w:t xml:space="preserve"> </w:t>
      </w:r>
      <w:r>
        <w:rPr>
          <w:rFonts w:ascii="Times New Roman" w:hAnsi="Times New Roman"/>
          <w:sz w:val="20"/>
        </w:rPr>
        <w:t>generally means each employee of an Employer who is at a salary grade of Grade 11 or higher at the time he or she elects to make Elective Deferrals or a non-employee who is a member of the Company’s Board of Directors. The Company reserves the right to from time to time extend eligibility to participate in the Plan to a management employee of the Company who is at a salary grade less than Grade 11.</w:t>
      </w:r>
    </w:p>
    <w:p>
      <w:pPr>
        <w:pStyle w:val="TextBody"/>
        <w:spacing w:lineRule="auto" w:line="300" w:before="0" w:after="0"/>
        <w:ind w:left="0" w:right="0" w:hanging="0"/>
        <w:jc w:val="both"/>
        <w:rPr/>
      </w:pPr>
      <w:r>
        <w:rPr/>
        <w:t> </w:t>
      </w:r>
    </w:p>
    <w:p>
      <w:pPr>
        <w:pStyle w:val="TextBody"/>
        <w:spacing w:lineRule="auto" w:line="300" w:before="0" w:after="0"/>
        <w:ind w:left="720" w:right="0" w:hanging="0"/>
        <w:jc w:val="both"/>
        <w:rPr/>
      </w:pPr>
      <w:r>
        <w:rPr>
          <w:rFonts w:ascii="Times New Roman" w:hAnsi="Times New Roman"/>
          <w:sz w:val="20"/>
        </w:rPr>
        <w:t>2.</w:t>
      </w:r>
      <w:bookmarkStart w:id="869" w:name="TAB261"/>
      <w:bookmarkEnd w:id="869"/>
      <w:r>
        <w:rPr>
          <w:color w:val="000000"/>
          <w:spacing w:val="540"/>
        </w:rPr>
        <w:t> </w:t>
      </w:r>
      <w:r>
        <w:rPr>
          <w:rFonts w:ascii="Times New Roman" w:hAnsi="Times New Roman"/>
          <w:sz w:val="20"/>
        </w:rPr>
        <w:t>Section 2.19 is amended, effective April 1, 2003, to read as follows:</w:t>
      </w:r>
    </w:p>
    <w:p>
      <w:pPr>
        <w:pStyle w:val="TextBody"/>
        <w:spacing w:lineRule="auto" w:line="300" w:before="0" w:after="0"/>
        <w:ind w:left="0" w:right="0" w:hanging="0"/>
        <w:jc w:val="both"/>
        <w:rPr/>
      </w:pPr>
      <w:r>
        <w:rPr/>
        <w:t> </w:t>
      </w:r>
    </w:p>
    <w:p>
      <w:pPr>
        <w:pStyle w:val="TextBody"/>
        <w:spacing w:lineRule="auto" w:line="300" w:before="0" w:after="0"/>
        <w:ind w:left="720" w:right="0" w:hanging="0"/>
        <w:jc w:val="both"/>
        <w:rPr/>
      </w:pPr>
      <w:r>
        <w:rPr>
          <w:rStyle w:val="StrongEmphasis"/>
          <w:rFonts w:ascii="Times New Roman" w:hAnsi="Times New Roman"/>
          <w:sz w:val="20"/>
        </w:rPr>
        <w:t>2.19</w:t>
      </w:r>
      <w:bookmarkStart w:id="870" w:name="TAB262"/>
      <w:bookmarkEnd w:id="870"/>
      <w:r>
        <w:rPr>
          <w:color w:val="000000"/>
          <w:spacing w:val="540"/>
        </w:rPr>
        <w:t> </w:t>
      </w:r>
      <w:r>
        <w:rPr>
          <w:rStyle w:val="StrongEmphasis"/>
          <w:rFonts w:ascii="Times New Roman" w:hAnsi="Times New Roman"/>
          <w:sz w:val="20"/>
        </w:rPr>
        <w:t>Unforeseen Emergency</w:t>
      </w:r>
      <w:r>
        <w:rPr/>
        <w:t xml:space="preserve"> </w:t>
      </w:r>
      <w:r>
        <w:rPr>
          <w:rFonts w:ascii="Times New Roman" w:hAnsi="Times New Roman"/>
          <w:sz w:val="20"/>
        </w:rPr>
        <w:t>has the meaning set forth in Section 7.6.”</w:t>
      </w:r>
    </w:p>
    <w:p>
      <w:pPr>
        <w:pStyle w:val="TextBody"/>
        <w:spacing w:lineRule="auto" w:line="300" w:before="0" w:after="0"/>
        <w:ind w:left="0" w:right="0" w:hanging="0"/>
        <w:jc w:val="both"/>
        <w:rPr/>
      </w:pPr>
      <w:r>
        <w:rPr/>
        <w:t> </w:t>
      </w:r>
    </w:p>
    <w:p>
      <w:pPr>
        <w:pStyle w:val="TextBody"/>
        <w:spacing w:lineRule="auto" w:line="300" w:before="0" w:after="0"/>
        <w:ind w:left="0" w:right="0" w:firstLine="360"/>
        <w:jc w:val="both"/>
        <w:rPr>
          <w:rFonts w:ascii="Times New Roman" w:hAnsi="Times New Roman"/>
          <w:sz w:val="20"/>
        </w:rPr>
      </w:pPr>
      <w:r>
        <w:rPr>
          <w:rFonts w:ascii="Times New Roman" w:hAnsi="Times New Roman"/>
          <w:sz w:val="20"/>
        </w:rPr>
        <w:t>IN WITNESS WHEREOF, the Company has caused this First Amendment to be adopted by unanimous written consent of the Executive Committee of the Board of Directors this 12th day of December, 2006, and executed by the signature of a duly authorized executive officer to be effective as provided herein.</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977"/>
        <w:gridCol w:w="3915"/>
        <w:gridCol w:w="279"/>
        <w:gridCol w:w="559"/>
        <w:gridCol w:w="4475"/>
      </w:tblGrid>
      <w:tr>
        <w:trPr/>
        <w:tc>
          <w:tcPr>
            <w:tcW w:w="4892" w:type="dxa"/>
            <w:gridSpan w:val="2"/>
            <w:tcBorders/>
            <w:shd w:fill="auto" w:val="clear"/>
          </w:tcPr>
          <w:p>
            <w:pPr>
              <w:pStyle w:val="TableContents"/>
              <w:spacing w:before="0" w:after="283"/>
              <w:jc w:val="both"/>
              <w:rPr/>
            </w:pPr>
            <w:r>
              <w:rPr/>
              <w:t> </w:t>
            </w:r>
          </w:p>
        </w:tc>
        <w:tc>
          <w:tcPr>
            <w:tcW w:w="279" w:type="dxa"/>
            <w:tcBorders/>
            <w:shd w:fill="auto" w:val="clear"/>
            <w:vAlign w:val="center"/>
          </w:tcPr>
          <w:p>
            <w:pPr>
              <w:pStyle w:val="TableContents"/>
              <w:spacing w:before="0" w:after="283"/>
              <w:rPr/>
            </w:pPr>
            <w:r>
              <w:rPr/>
              <w:t> </w:t>
            </w:r>
          </w:p>
        </w:tc>
        <w:tc>
          <w:tcPr>
            <w:tcW w:w="5034" w:type="dxa"/>
            <w:gridSpan w:val="2"/>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COMPANY:</w:t>
            </w:r>
          </w:p>
        </w:tc>
      </w:tr>
      <w:tr>
        <w:trPr/>
        <w:tc>
          <w:tcPr>
            <w:tcW w:w="4892" w:type="dxa"/>
            <w:gridSpan w:val="2"/>
            <w:tcBorders/>
            <w:shd w:fill="auto" w:val="clear"/>
          </w:tcPr>
          <w:p>
            <w:pPr>
              <w:pStyle w:val="TableContents"/>
              <w:spacing w:before="0" w:after="283"/>
              <w:jc w:val="both"/>
              <w:rPr/>
            </w:pPr>
            <w:r>
              <w:rPr/>
              <w:t> </w:t>
            </w:r>
          </w:p>
        </w:tc>
        <w:tc>
          <w:tcPr>
            <w:tcW w:w="279" w:type="dxa"/>
            <w:tcBorders/>
            <w:shd w:fill="auto" w:val="clear"/>
            <w:vAlign w:val="center"/>
          </w:tcPr>
          <w:p>
            <w:pPr>
              <w:pStyle w:val="TableContents"/>
              <w:spacing w:before="0" w:after="283"/>
              <w:rPr/>
            </w:pPr>
            <w:r>
              <w:rPr/>
              <w:t> </w:t>
            </w:r>
          </w:p>
        </w:tc>
        <w:tc>
          <w:tcPr>
            <w:tcW w:w="5034" w:type="dxa"/>
            <w:gridSpan w:val="2"/>
            <w:tcBorders/>
            <w:shd w:fill="auto" w:val="clear"/>
          </w:tcPr>
          <w:p>
            <w:pPr>
              <w:pStyle w:val="TableContents"/>
              <w:spacing w:before="0" w:after="283"/>
              <w:jc w:val="both"/>
              <w:rPr/>
            </w:pPr>
            <w:r>
              <w:rPr/>
              <w:t> </w:t>
            </w:r>
          </w:p>
        </w:tc>
      </w:tr>
      <w:tr>
        <w:trPr/>
        <w:tc>
          <w:tcPr>
            <w:tcW w:w="4892" w:type="dxa"/>
            <w:gridSpan w:val="2"/>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Date: December 13, 2006</w:t>
            </w:r>
          </w:p>
        </w:tc>
        <w:tc>
          <w:tcPr>
            <w:tcW w:w="279" w:type="dxa"/>
            <w:tcBorders/>
            <w:shd w:fill="auto" w:val="clear"/>
            <w:vAlign w:val="center"/>
          </w:tcPr>
          <w:p>
            <w:pPr>
              <w:pStyle w:val="TableContents"/>
              <w:spacing w:before="0" w:after="283"/>
              <w:rPr/>
            </w:pPr>
            <w:r>
              <w:rPr/>
              <w:t> </w:t>
            </w:r>
          </w:p>
        </w:tc>
        <w:tc>
          <w:tcPr>
            <w:tcW w:w="5034" w:type="dxa"/>
            <w:gridSpan w:val="2"/>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OIL-DRI CORPORATION OF AMERICA</w:t>
            </w:r>
          </w:p>
        </w:tc>
      </w:tr>
      <w:tr>
        <w:trPr/>
        <w:tc>
          <w:tcPr>
            <w:tcW w:w="4892" w:type="dxa"/>
            <w:gridSpan w:val="2"/>
            <w:tcBorders/>
            <w:shd w:fill="auto" w:val="clear"/>
          </w:tcPr>
          <w:p>
            <w:pPr>
              <w:pStyle w:val="TableContents"/>
              <w:spacing w:before="0" w:after="283"/>
              <w:jc w:val="both"/>
              <w:rPr/>
            </w:pPr>
            <w:r>
              <w:rPr/>
              <w:t> </w:t>
            </w:r>
          </w:p>
        </w:tc>
        <w:tc>
          <w:tcPr>
            <w:tcW w:w="279" w:type="dxa"/>
            <w:tcBorders/>
            <w:shd w:fill="auto" w:val="clear"/>
            <w:vAlign w:val="center"/>
          </w:tcPr>
          <w:p>
            <w:pPr>
              <w:pStyle w:val="TableContents"/>
              <w:spacing w:before="0" w:after="283"/>
              <w:rPr/>
            </w:pPr>
            <w:r>
              <w:rPr/>
              <w:t> </w:t>
            </w:r>
          </w:p>
        </w:tc>
        <w:tc>
          <w:tcPr>
            <w:tcW w:w="5034" w:type="dxa"/>
            <w:gridSpan w:val="2"/>
            <w:tcBorders/>
            <w:shd w:fill="auto" w:val="clear"/>
          </w:tcPr>
          <w:p>
            <w:pPr>
              <w:pStyle w:val="TableContents"/>
              <w:spacing w:before="0" w:after="283"/>
              <w:jc w:val="both"/>
              <w:rPr/>
            </w:pPr>
            <w:r>
              <w:rPr/>
              <w:t> </w:t>
            </w:r>
          </w:p>
        </w:tc>
      </w:tr>
      <w:tr>
        <w:trPr/>
        <w:tc>
          <w:tcPr>
            <w:tcW w:w="977" w:type="dxa"/>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Attest By:</w:t>
            </w:r>
          </w:p>
        </w:tc>
        <w:tc>
          <w:tcPr>
            <w:tcW w:w="3915" w:type="dxa"/>
            <w:tcBorders>
              <w:bottom w:val="single" w:sz="2" w:space="0" w:color="000000"/>
            </w:tcBorders>
            <w:shd w:fill="auto" w:val="clear"/>
            <w:tcMar>
              <w:bottom w:w="28" w:type="dxa"/>
            </w:tcMar>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/s/ Maryon L. Gray</w:t>
            </w:r>
          </w:p>
        </w:tc>
        <w:tc>
          <w:tcPr>
            <w:tcW w:w="279" w:type="dxa"/>
            <w:tcBorders/>
            <w:shd w:fill="auto" w:val="clear"/>
            <w:vAlign w:val="center"/>
          </w:tcPr>
          <w:p>
            <w:pPr>
              <w:pStyle w:val="TableContents"/>
              <w:spacing w:before="0" w:after="283"/>
              <w:rPr/>
            </w:pPr>
            <w:r>
              <w:rPr/>
              <w:t> </w:t>
            </w:r>
          </w:p>
        </w:tc>
        <w:tc>
          <w:tcPr>
            <w:tcW w:w="559" w:type="dxa"/>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By:</w:t>
            </w:r>
          </w:p>
        </w:tc>
        <w:tc>
          <w:tcPr>
            <w:tcW w:w="4475" w:type="dxa"/>
            <w:tcBorders>
              <w:bottom w:val="single" w:sz="2" w:space="0" w:color="000000"/>
            </w:tcBorders>
            <w:shd w:fill="auto" w:val="clear"/>
            <w:tcMar>
              <w:bottom w:w="28" w:type="dxa"/>
            </w:tcMar>
          </w:tcPr>
          <w:p>
            <w:pPr>
              <w:pStyle w:val="TableContents"/>
              <w:spacing w:lineRule="auto" w:line="300" w:before="0" w:after="0"/>
              <w:ind w:left="360" w:right="0" w:hanging="0"/>
              <w:jc w:val="both"/>
              <w:rPr>
                <w:rFonts w:ascii="Times New Roman" w:hAnsi="Times New Roman"/>
                <w:sz w:val="20"/>
              </w:rPr>
            </w:pPr>
            <w:r>
              <w:rPr>
                <w:rFonts w:ascii="Times New Roman" w:hAnsi="Times New Roman"/>
                <w:sz w:val="20"/>
              </w:rPr>
              <w:t>/s/ Charles P. Brissman</w:t>
            </w:r>
          </w:p>
        </w:tc>
      </w:tr>
      <w:tr>
        <w:trPr/>
        <w:tc>
          <w:tcPr>
            <w:tcW w:w="977" w:type="dxa"/>
            <w:tcBorders/>
            <w:shd w:fill="auto" w:val="clear"/>
          </w:tcPr>
          <w:p>
            <w:pPr>
              <w:pStyle w:val="TableContents"/>
              <w:spacing w:before="0" w:after="283"/>
              <w:jc w:val="both"/>
              <w:rPr/>
            </w:pPr>
            <w:r>
              <w:rPr/>
              <w:t> </w:t>
            </w:r>
          </w:p>
        </w:tc>
        <w:tc>
          <w:tcPr>
            <w:tcW w:w="3915" w:type="dxa"/>
            <w:tcBorders/>
            <w:shd w:fill="auto" w:val="clear"/>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Maryon L. Gray</w:t>
            </w:r>
          </w:p>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 xml:space="preserve">Assistant General Counsel and Assistant </w:t>
            </w:r>
          </w:p>
          <w:p>
            <w:pPr>
              <w:pStyle w:val="TableContents"/>
              <w:spacing w:lineRule="auto" w:line="300" w:before="0" w:after="0"/>
              <w:ind w:left="360" w:right="0" w:hanging="0"/>
              <w:jc w:val="both"/>
              <w:rPr>
                <w:rFonts w:ascii="Times New Roman" w:hAnsi="Times New Roman"/>
                <w:sz w:val="20"/>
              </w:rPr>
            </w:pPr>
            <w:r>
              <w:rPr>
                <w:rFonts w:ascii="Times New Roman" w:hAnsi="Times New Roman"/>
                <w:sz w:val="20"/>
              </w:rPr>
              <w:t>Secretary</w:t>
            </w:r>
          </w:p>
        </w:tc>
        <w:tc>
          <w:tcPr>
            <w:tcW w:w="279" w:type="dxa"/>
            <w:tcBorders/>
            <w:shd w:fill="auto" w:val="clear"/>
            <w:vAlign w:val="center"/>
          </w:tcPr>
          <w:p>
            <w:pPr>
              <w:pStyle w:val="TableContents"/>
              <w:spacing w:before="0" w:after="283"/>
              <w:rPr/>
            </w:pPr>
            <w:r>
              <w:rPr/>
              <w:t> </w:t>
            </w:r>
          </w:p>
        </w:tc>
        <w:tc>
          <w:tcPr>
            <w:tcW w:w="559" w:type="dxa"/>
            <w:tcBorders/>
            <w:shd w:fill="auto" w:val="clear"/>
          </w:tcPr>
          <w:p>
            <w:pPr>
              <w:pStyle w:val="TableContents"/>
              <w:spacing w:before="0" w:after="283"/>
              <w:jc w:val="both"/>
              <w:rPr/>
            </w:pPr>
            <w:r>
              <w:rPr/>
              <w:t> </w:t>
            </w:r>
          </w:p>
        </w:tc>
        <w:tc>
          <w:tcPr>
            <w:tcW w:w="4475" w:type="dxa"/>
            <w:tcBorders/>
            <w:shd w:fill="auto" w:val="clear"/>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 xml:space="preserve">Charles P. Brissman </w:t>
            </w:r>
          </w:p>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Vice President, Secretary and General Counsel</w:t>
            </w:r>
          </w:p>
        </w:tc>
      </w:tr>
    </w:tbl>
    <w:p>
      <w:pPr>
        <w:pStyle w:val="TextBody"/>
        <w:spacing w:lineRule="auto" w:line="300" w:before="0" w:after="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71" w:name="PGBRK28"/>
      <w:bookmarkStart w:id="872" w:name="PGBRK28"/>
      <w:bookmarkEnd w:id="8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3" w:name="FTR28"/>
      <w:bookmarkStart w:id="874" w:name="FTR28"/>
      <w:bookmarkEnd w:id="8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5" w:name="GLFTR28"/>
      <w:bookmarkStart w:id="876" w:name="GLFTR28"/>
      <w:bookmarkEnd w:id="87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877" w:name="PN28"/>
      <w:bookmarkStart w:id="878" w:name="PN28"/>
      <w:bookmarkEnd w:id="8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9" w:name="HDR28"/>
      <w:bookmarkStart w:id="880" w:name="HDR28"/>
      <w:bookmarkEnd w:id="8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81" w:name="GLHDR28"/>
      <w:bookmarkStart w:id="882" w:name="GLHDR28"/>
      <w:bookmarkEnd w:id="8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bookmarkStart w:id="883" w:name="v105960_ex10-2.htm"/>
      <w:bookmarkStart w:id="884" w:name="ksv105960_ex102"/>
      <w:bookmarkEnd w:id="883"/>
      <w:bookmarkEnd w:id="884"/>
      <w:r>
        <w:rPr>
          <w:rStyle w:val="StrongEmphasis"/>
          <w:rFonts w:ascii="Times New Roman" w:hAnsi="Times New Roman"/>
          <w:sz w:val="20"/>
        </w:rPr>
        <w:t>Exhibit 10.2</w:t>
      </w:r>
    </w:p>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SECOND AMENDMENT</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TO THE</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OIL-DRI CORPORATION OF AMERICA DEFERRED COMPENSATION PLAN</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(As Amended and Restated Effective April 1, 2003)</w:t>
      </w:r>
    </w:p>
    <w:p>
      <w:pPr>
        <w:pStyle w:val="TextBody"/>
        <w:spacing w:lineRule="auto" w:line="300" w:before="0" w:after="0"/>
        <w:ind w:left="0" w:right="0" w:hanging="0"/>
        <w:jc w:val="both"/>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Oil-Dri Corporation of America Deferred Compensation Plan, as amended and restated effective April 1, 2003, and further amended thereafter (the “Plan”), is hereby further amended, effective January 1, 2008 as follows. All capitalized terms not defined herein shall have the meaning set forth in the Plan.</w:t>
      </w:r>
    </w:p>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885" w:name="hangingindent3"/>
      <w:bookmarkStart w:id="886" w:name="hangingindent3"/>
      <w:bookmarkEnd w:id="886"/>
    </w:p>
    <w:tbl>
      <w:tblPr>
        <w:tblW w:w="5000" w:type="pct"/>
        <w:jc w:val="center"/>
        <w:tblInd w:w="0" w:type="dxa"/>
        <w:tblCellMar>
          <w:top w:w="0" w:type="dxa"/>
          <w:left w:w="0" w:type="dxa"/>
          <w:bottom w:w="0" w:type="dxa"/>
          <w:right w:w="0" w:type="dxa"/>
        </w:tblCellMar>
      </w:tblPr>
      <w:tblGrid>
        <w:gridCol w:w="168"/>
        <w:gridCol w:w="476"/>
        <w:gridCol w:w="9561"/>
      </w:tblGrid>
      <w:tr>
        <w:trPr/>
        <w:tc>
          <w:tcPr>
            <w:tcW w:w="168" w:type="dxa"/>
            <w:tcBorders/>
            <w:shd w:fill="auto" w:val="clear"/>
          </w:tcPr>
          <w:p>
            <w:pPr>
              <w:pStyle w:val="TableContents"/>
              <w:spacing w:before="0" w:after="283"/>
              <w:rPr/>
            </w:pPr>
            <w:r>
              <w:rPr/>
              <w:t> </w:t>
            </w:r>
          </w:p>
        </w:tc>
        <w:tc>
          <w:tcPr>
            <w:tcW w:w="4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w:t>
            </w:r>
          </w:p>
        </w:tc>
        <w:tc>
          <w:tcPr>
            <w:tcW w:w="95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Section 2.7 is amended to read as follows:</w:t>
            </w:r>
          </w:p>
        </w:tc>
      </w:tr>
    </w:tbl>
    <w:p>
      <w:pPr>
        <w:pStyle w:val="TextBody"/>
        <w:spacing w:lineRule="auto" w:line="300" w:before="0" w:after="0"/>
        <w:ind w:left="0" w:right="0" w:hanging="0"/>
        <w:jc w:val="both"/>
        <w:rPr/>
      </w:pPr>
      <w:r>
        <w:rPr/>
        <w:t> </w:t>
      </w:r>
    </w:p>
    <w:p>
      <w:pPr>
        <w:pStyle w:val="TextBody"/>
        <w:spacing w:lineRule="auto" w:line="300" w:before="0" w:after="0"/>
        <w:ind w:left="720" w:right="0" w:hanging="0"/>
        <w:jc w:val="left"/>
        <w:rPr/>
      </w:pPr>
      <w:r>
        <w:rPr>
          <w:rStyle w:val="StrongEmphasis"/>
          <w:rFonts w:ascii="Times New Roman" w:hAnsi="Times New Roman"/>
          <w:sz w:val="20"/>
        </w:rPr>
        <w:t xml:space="preserve">2.7 Earnings </w:t>
      </w:r>
      <w:r>
        <w:rPr>
          <w:rFonts w:ascii="Times New Roman" w:hAnsi="Times New Roman"/>
          <w:sz w:val="20"/>
        </w:rPr>
        <w:t xml:space="preserve">means the Company’s long-term borrowing cost in effect during the Plan Year for which Earnings are being credited plus one percent. </w:t>
      </w:r>
    </w:p>
    <w:p>
      <w:pPr>
        <w:pStyle w:val="TextBody"/>
        <w:spacing w:lineRule="auto" w:line="300" w:before="0" w:after="0"/>
        <w:ind w:left="0" w:right="0" w:hanging="0"/>
        <w:jc w:val="both"/>
        <w:rPr/>
      </w:pPr>
      <w:r>
        <w:rPr/>
        <w:t> </w:t>
      </w:r>
    </w:p>
    <w:p>
      <w:pPr>
        <w:pStyle w:val="TextBody"/>
        <w:spacing w:lineRule="auto" w:line="300" w:before="0" w:after="0"/>
        <w:ind w:left="720" w:right="0" w:hanging="0"/>
        <w:jc w:val="both"/>
        <w:rPr>
          <w:rFonts w:ascii="Times New Roman" w:hAnsi="Times New Roman"/>
          <w:sz w:val="20"/>
        </w:rPr>
      </w:pPr>
      <w:r>
        <w:rPr>
          <w:rFonts w:ascii="Times New Roman" w:hAnsi="Times New Roman"/>
          <w:sz w:val="20"/>
        </w:rPr>
        <w:t>Prior to January 1, 2008, Earnings means the Company’s long-term borrowing cost in effect during the quarter for which Earnings are being credited plus one percent. Prior to October 1, 2000 Earnings means the reported composite rate of return experienced by the investment portfolio(s) chosen by a Participant as crediting indices; and for the portfolio referred to as the Oil-Dri Declared Rate Fund, Earnings means the Company’s long-term borrowing cost (“Interest”) in effect during the quarter for which Earnings are being credited. Prior to January 1, 1999, Earnings means Interest as defined in this Section 2.7. For Participants who retired prior to January 1, 1999, Earnings will continue to mean Interest as defined in this Section 2.7.</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887" w:name="hangingindent4"/>
      <w:bookmarkStart w:id="888" w:name="hangingindent4"/>
      <w:bookmarkEnd w:id="888"/>
    </w:p>
    <w:tbl>
      <w:tblPr>
        <w:tblW w:w="5000" w:type="pct"/>
        <w:jc w:val="center"/>
        <w:tblInd w:w="0" w:type="dxa"/>
        <w:tblCellMar>
          <w:top w:w="0" w:type="dxa"/>
          <w:left w:w="0" w:type="dxa"/>
          <w:bottom w:w="0" w:type="dxa"/>
          <w:right w:w="0" w:type="dxa"/>
        </w:tblCellMar>
      </w:tblPr>
      <w:tblGrid>
        <w:gridCol w:w="168"/>
        <w:gridCol w:w="476"/>
        <w:gridCol w:w="9561"/>
      </w:tblGrid>
      <w:tr>
        <w:trPr/>
        <w:tc>
          <w:tcPr>
            <w:tcW w:w="168" w:type="dxa"/>
            <w:tcBorders/>
            <w:shd w:fill="auto" w:val="clear"/>
          </w:tcPr>
          <w:p>
            <w:pPr>
              <w:pStyle w:val="TableContents"/>
              <w:spacing w:before="0" w:after="283"/>
              <w:rPr/>
            </w:pPr>
            <w:r>
              <w:rPr/>
              <w:t> </w:t>
            </w:r>
          </w:p>
        </w:tc>
        <w:tc>
          <w:tcPr>
            <w:tcW w:w="4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w:t>
            </w:r>
          </w:p>
        </w:tc>
        <w:tc>
          <w:tcPr>
            <w:tcW w:w="95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Section 5.2 is amended to read as follows:</w:t>
            </w:r>
          </w:p>
        </w:tc>
      </w:tr>
    </w:tbl>
    <w:p>
      <w:pPr>
        <w:pStyle w:val="TextBody"/>
        <w:spacing w:lineRule="auto" w:line="300" w:before="0" w:after="0"/>
        <w:ind w:left="0" w:right="0" w:hanging="0"/>
        <w:jc w:val="both"/>
        <w:rPr/>
      </w:pPr>
      <w:r>
        <w:rPr/>
        <w:t> </w:t>
      </w:r>
    </w:p>
    <w:p>
      <w:pPr>
        <w:pStyle w:val="TextBody"/>
        <w:spacing w:lineRule="auto" w:line="300" w:before="0" w:after="0"/>
        <w:ind w:left="720" w:right="0" w:hanging="0"/>
        <w:jc w:val="left"/>
        <w:rPr/>
      </w:pPr>
      <w:r>
        <w:rPr>
          <w:rStyle w:val="StrongEmphasis"/>
          <w:rFonts w:ascii="Times New Roman" w:hAnsi="Times New Roman"/>
          <w:sz w:val="20"/>
        </w:rPr>
        <w:t>5.2</w:t>
      </w:r>
      <w:bookmarkStart w:id="889" w:name="TAB263"/>
      <w:bookmarkEnd w:id="889"/>
      <w:r>
        <w:rPr>
          <w:color w:val="000000"/>
          <w:spacing w:val="540"/>
        </w:rPr>
        <w:t> </w:t>
      </w:r>
      <w:r>
        <w:rPr>
          <w:rStyle w:val="StrongEmphasis"/>
          <w:rFonts w:ascii="Times New Roman" w:hAnsi="Times New Roman"/>
          <w:sz w:val="20"/>
        </w:rPr>
        <w:t>Earnings Credited</w:t>
      </w:r>
    </w:p>
    <w:p>
      <w:pPr>
        <w:pStyle w:val="TextBody"/>
        <w:spacing w:lineRule="auto" w:line="300" w:before="0" w:after="0"/>
        <w:ind w:left="720" w:right="0" w:hanging="0"/>
        <w:jc w:val="left"/>
        <w:rPr/>
      </w:pPr>
      <w:r>
        <w:rPr/>
      </w:r>
    </w:p>
    <w:p>
      <w:pPr>
        <w:pStyle w:val="TextBody"/>
        <w:spacing w:lineRule="auto" w:line="300" w:before="0" w:after="0"/>
        <w:ind w:left="720" w:right="0" w:hanging="0"/>
        <w:jc w:val="left"/>
        <w:rPr>
          <w:rFonts w:ascii="Times New Roman" w:hAnsi="Times New Roman"/>
          <w:sz w:val="20"/>
        </w:rPr>
      </w:pPr>
      <w:r>
        <w:rPr>
          <w:rFonts w:ascii="Times New Roman" w:hAnsi="Times New Roman"/>
          <w:sz w:val="20"/>
        </w:rPr>
        <w:t>Each Participant’s Account shall be adjusted for Earnings. Earnings adjustments shall be calculated at a rate equal to the Company’s long-term borrowing cost in effect during the Plan Year for which the Participant’s Account is being adjusted plus one percent.</w:t>
      </w:r>
    </w:p>
    <w:p>
      <w:pPr>
        <w:pStyle w:val="TextBody"/>
        <w:spacing w:lineRule="auto" w:line="300" w:before="0" w:after="0"/>
        <w:ind w:left="720" w:right="0" w:hanging="0"/>
        <w:jc w:val="left"/>
        <w:rPr/>
      </w:pPr>
      <w:r>
        <w:rPr/>
      </w:r>
    </w:p>
    <w:p>
      <w:pPr>
        <w:pStyle w:val="TextBody"/>
        <w:spacing w:lineRule="auto" w:line="300" w:before="0" w:after="0"/>
        <w:ind w:left="720" w:right="0" w:hanging="0"/>
        <w:jc w:val="left"/>
        <w:rPr>
          <w:rFonts w:ascii="Times New Roman" w:hAnsi="Times New Roman"/>
          <w:sz w:val="20"/>
        </w:rPr>
      </w:pPr>
      <w:r>
        <w:rPr>
          <w:rFonts w:ascii="Times New Roman" w:hAnsi="Times New Roman"/>
          <w:sz w:val="20"/>
        </w:rPr>
        <w:t xml:space="preserve">Prior to January 1, 2008, Earnings adjustments shall be calculated at a rate equal to the Company’s long-term borrowing cost in effect during the quarter for which the Participant’s Account is being adjusted plus one percent. </w:t>
      </w:r>
    </w:p>
    <w:p>
      <w:pPr>
        <w:pStyle w:val="TextBody"/>
        <w:spacing w:lineRule="auto" w:line="300" w:before="0" w:after="0"/>
        <w:ind w:left="720" w:right="0" w:hanging="0"/>
        <w:jc w:val="left"/>
        <w:rPr/>
      </w:pPr>
      <w:r>
        <w:rPr/>
      </w:r>
    </w:p>
    <w:p>
      <w:pPr>
        <w:pStyle w:val="TextBody"/>
        <w:spacing w:lineRule="auto" w:line="300" w:before="0" w:after="0"/>
        <w:ind w:left="720" w:right="0" w:hanging="0"/>
        <w:jc w:val="left"/>
        <w:rPr>
          <w:rFonts w:ascii="Times New Roman" w:hAnsi="Times New Roman"/>
          <w:sz w:val="20"/>
        </w:rPr>
      </w:pPr>
      <w:r>
        <w:rPr>
          <w:rFonts w:ascii="Times New Roman" w:hAnsi="Times New Roman"/>
          <w:sz w:val="20"/>
        </w:rPr>
        <w:t xml:space="preserve">Prior to October 1, 2000, Earnings adjustments shall be calculated at a rate computed as if the Participant’s Account had been invested in whole and fractional shares of the investment portfolio(s) selected by the Participant as crediting indices. For purposes of computing these Earnings adjustments, Elective Deferrals shall be assumed to have been invested in shares of the crediting indices on each date a transaction is credited to or debited from the Participant’s account, at the trading price of the crediting indices on such date or the first business day thereafter. Earnings adjustments shall be computed as if all dividends paid on the crediting indices were reinvested in whole or fractional shares on the date paid. </w:t>
      </w:r>
    </w:p>
    <w:p>
      <w:pPr>
        <w:pStyle w:val="TextBody"/>
        <w:spacing w:lineRule="auto" w:line="300" w:before="0" w:after="0"/>
        <w:ind w:left="720" w:right="0" w:hanging="0"/>
        <w:jc w:val="left"/>
        <w:rPr/>
      </w:pPr>
      <w:r>
        <w:rPr/>
      </w:r>
    </w:p>
    <w:p>
      <w:pPr>
        <w:pStyle w:val="TextBody"/>
        <w:spacing w:lineRule="auto" w:line="300" w:before="0" w:after="0"/>
        <w:ind w:left="720" w:right="0" w:hanging="0"/>
        <w:jc w:val="left"/>
        <w:rPr>
          <w:rFonts w:ascii="Times New Roman" w:hAnsi="Times New Roman"/>
          <w:sz w:val="20"/>
        </w:rPr>
      </w:pPr>
      <w:r>
        <w:rPr>
          <w:rFonts w:ascii="Times New Roman" w:hAnsi="Times New Roman"/>
          <w:sz w:val="20"/>
        </w:rPr>
        <w:t>Prior to January 1, 1999, earnings adjustments shall be calculated at the Interest rate as defined in Section 2.7. For Participants who retired prior to January 1, 1999, the rate for calculation of Earnings will continue to be the Interest rate.</w:t>
      </w:r>
    </w:p>
    <w:p>
      <w:pPr>
        <w:pStyle w:val="TextBody"/>
        <w:spacing w:lineRule="auto" w:line="300" w:before="0" w:after="0"/>
        <w:ind w:left="72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IN WITNESS WHEREOF, the Company has caused this Second Amendment to be adopted by unanimous written consent of the Executive Committee of the Board of Directors this 17th day of December, 2007, and executed by the signature of a duly authorized executive officer to be effective as provided herein.</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90" w:name="PGBRK29"/>
      <w:bookmarkStart w:id="891" w:name="PGBRK29"/>
      <w:bookmarkEnd w:id="8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2" w:name="FTR29"/>
      <w:bookmarkStart w:id="893" w:name="FTR29"/>
      <w:bookmarkEnd w:id="8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4" w:name="GLFTR29"/>
      <w:bookmarkStart w:id="895" w:name="GLFTR29"/>
      <w:bookmarkEnd w:id="89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896" w:name="PN29"/>
      <w:bookmarkStart w:id="897" w:name="PN29"/>
      <w:bookmarkEnd w:id="8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8" w:name="HDR29"/>
      <w:bookmarkStart w:id="899" w:name="HDR29"/>
      <w:bookmarkEnd w:id="8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0" w:name="GLHDR29"/>
      <w:bookmarkStart w:id="901" w:name="GLHDR29"/>
      <w:bookmarkEnd w:id="9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80"/>
        <w:gridCol w:w="3810"/>
        <w:gridCol w:w="272"/>
        <w:gridCol w:w="1088"/>
        <w:gridCol w:w="4355"/>
      </w:tblGrid>
      <w:tr>
        <w:trPr/>
        <w:tc>
          <w:tcPr>
            <w:tcW w:w="4490" w:type="dxa"/>
            <w:gridSpan w:val="2"/>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COMPANY:</w:t>
            </w:r>
          </w:p>
        </w:tc>
        <w:tc>
          <w:tcPr>
            <w:tcW w:w="272" w:type="dxa"/>
            <w:tcBorders/>
            <w:shd w:fill="auto" w:val="clear"/>
            <w:vAlign w:val="center"/>
          </w:tcPr>
          <w:p>
            <w:pPr>
              <w:pStyle w:val="TableContents"/>
              <w:spacing w:before="0" w:after="283"/>
              <w:rPr/>
            </w:pPr>
            <w:r>
              <w:rPr/>
              <w:t> </w:t>
            </w:r>
          </w:p>
        </w:tc>
        <w:tc>
          <w:tcPr>
            <w:tcW w:w="5443" w:type="dxa"/>
            <w:gridSpan w:val="2"/>
            <w:tcBorders/>
            <w:shd w:fill="auto" w:val="clear"/>
          </w:tcPr>
          <w:p>
            <w:pPr>
              <w:pStyle w:val="TableContents"/>
              <w:spacing w:lineRule="auto" w:line="300" w:before="0" w:after="0"/>
              <w:ind w:left="0" w:right="0" w:hanging="0"/>
              <w:jc w:val="both"/>
              <w:rPr/>
            </w:pPr>
            <w:r>
              <w:rPr/>
              <w:t> </w:t>
            </w:r>
          </w:p>
        </w:tc>
      </w:tr>
      <w:tr>
        <w:trPr/>
        <w:tc>
          <w:tcPr>
            <w:tcW w:w="4490" w:type="dxa"/>
            <w:gridSpan w:val="2"/>
            <w:tcBorders/>
            <w:shd w:fill="auto" w:val="clear"/>
          </w:tcPr>
          <w:p>
            <w:pPr>
              <w:pStyle w:val="TableContents"/>
              <w:spacing w:before="0" w:after="283"/>
              <w:jc w:val="both"/>
              <w:rPr/>
            </w:pPr>
            <w:r>
              <w:rPr/>
              <w:t> </w:t>
            </w:r>
          </w:p>
        </w:tc>
        <w:tc>
          <w:tcPr>
            <w:tcW w:w="272" w:type="dxa"/>
            <w:tcBorders/>
            <w:shd w:fill="auto" w:val="clear"/>
            <w:vAlign w:val="center"/>
          </w:tcPr>
          <w:p>
            <w:pPr>
              <w:pStyle w:val="TableContents"/>
              <w:spacing w:before="0" w:after="283"/>
              <w:rPr/>
            </w:pPr>
            <w:r>
              <w:rPr/>
              <w:t> </w:t>
            </w:r>
          </w:p>
        </w:tc>
        <w:tc>
          <w:tcPr>
            <w:tcW w:w="5443" w:type="dxa"/>
            <w:gridSpan w:val="2"/>
            <w:tcBorders/>
            <w:shd w:fill="auto" w:val="clear"/>
          </w:tcPr>
          <w:p>
            <w:pPr>
              <w:pStyle w:val="TableContents"/>
              <w:spacing w:before="0" w:after="283"/>
              <w:jc w:val="both"/>
              <w:rPr/>
            </w:pPr>
            <w:r>
              <w:rPr/>
              <w:t> </w:t>
            </w:r>
          </w:p>
        </w:tc>
      </w:tr>
      <w:tr>
        <w:trPr/>
        <w:tc>
          <w:tcPr>
            <w:tcW w:w="4490" w:type="dxa"/>
            <w:gridSpan w:val="2"/>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OIL-DRI CORPORATION OF AMERICA</w:t>
            </w:r>
          </w:p>
        </w:tc>
        <w:tc>
          <w:tcPr>
            <w:tcW w:w="272" w:type="dxa"/>
            <w:tcBorders/>
            <w:shd w:fill="auto" w:val="clear"/>
            <w:vAlign w:val="center"/>
          </w:tcPr>
          <w:p>
            <w:pPr>
              <w:pStyle w:val="TableContents"/>
              <w:spacing w:before="0" w:after="283"/>
              <w:rPr/>
            </w:pPr>
            <w:r>
              <w:rPr/>
              <w:t> </w:t>
            </w:r>
          </w:p>
        </w:tc>
        <w:tc>
          <w:tcPr>
            <w:tcW w:w="5443" w:type="dxa"/>
            <w:gridSpan w:val="2"/>
            <w:tcBorders/>
            <w:shd w:fill="auto" w:val="clear"/>
          </w:tcPr>
          <w:p>
            <w:pPr>
              <w:pStyle w:val="TableContents"/>
              <w:spacing w:before="0" w:after="283"/>
              <w:jc w:val="both"/>
              <w:rPr/>
            </w:pPr>
            <w:r>
              <w:rPr/>
              <w:t> </w:t>
            </w:r>
          </w:p>
        </w:tc>
      </w:tr>
      <w:tr>
        <w:trPr/>
        <w:tc>
          <w:tcPr>
            <w:tcW w:w="4490" w:type="dxa"/>
            <w:gridSpan w:val="2"/>
            <w:tcBorders/>
            <w:shd w:fill="auto" w:val="clear"/>
          </w:tcPr>
          <w:p>
            <w:pPr>
              <w:pStyle w:val="TableContents"/>
              <w:spacing w:before="0" w:after="283"/>
              <w:jc w:val="both"/>
              <w:rPr/>
            </w:pPr>
            <w:r>
              <w:rPr/>
              <w:t> </w:t>
            </w:r>
          </w:p>
        </w:tc>
        <w:tc>
          <w:tcPr>
            <w:tcW w:w="272" w:type="dxa"/>
            <w:tcBorders/>
            <w:shd w:fill="auto" w:val="clear"/>
            <w:vAlign w:val="center"/>
          </w:tcPr>
          <w:p>
            <w:pPr>
              <w:pStyle w:val="TableContents"/>
              <w:spacing w:before="0" w:after="283"/>
              <w:rPr/>
            </w:pPr>
            <w:r>
              <w:rPr/>
              <w:t> </w:t>
            </w:r>
          </w:p>
        </w:tc>
        <w:tc>
          <w:tcPr>
            <w:tcW w:w="5443" w:type="dxa"/>
            <w:gridSpan w:val="2"/>
            <w:tcBorders/>
            <w:shd w:fill="auto" w:val="clear"/>
          </w:tcPr>
          <w:p>
            <w:pPr>
              <w:pStyle w:val="TableContents"/>
              <w:spacing w:before="0" w:after="283"/>
              <w:jc w:val="both"/>
              <w:rPr/>
            </w:pPr>
            <w:r>
              <w:rPr/>
              <w:t> </w:t>
            </w:r>
          </w:p>
        </w:tc>
      </w:tr>
      <w:tr>
        <w:trPr/>
        <w:tc>
          <w:tcPr>
            <w:tcW w:w="680" w:type="dxa"/>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By:</w:t>
            </w:r>
          </w:p>
        </w:tc>
        <w:tc>
          <w:tcPr>
            <w:tcW w:w="3810" w:type="dxa"/>
            <w:tcBorders>
              <w:bottom w:val="single" w:sz="2" w:space="0" w:color="000000"/>
            </w:tcBorders>
            <w:shd w:fill="auto" w:val="clear"/>
            <w:tcMar>
              <w:bottom w:w="28"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 Charles P. Brissman</w:t>
            </w:r>
          </w:p>
        </w:tc>
        <w:tc>
          <w:tcPr>
            <w:tcW w:w="272" w:type="dxa"/>
            <w:tcBorders/>
            <w:shd w:fill="auto" w:val="clear"/>
            <w:vAlign w:val="center"/>
          </w:tcPr>
          <w:p>
            <w:pPr>
              <w:pStyle w:val="TableContents"/>
              <w:spacing w:before="0" w:after="283"/>
              <w:rPr/>
            </w:pPr>
            <w:r>
              <w:rPr/>
              <w:t> </w:t>
            </w:r>
          </w:p>
        </w:tc>
        <w:tc>
          <w:tcPr>
            <w:tcW w:w="1088" w:type="dxa"/>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Attest By:</w:t>
            </w:r>
          </w:p>
        </w:tc>
        <w:tc>
          <w:tcPr>
            <w:tcW w:w="4355" w:type="dxa"/>
            <w:tcBorders>
              <w:bottom w:val="single" w:sz="2" w:space="0" w:color="000000"/>
            </w:tcBorders>
            <w:shd w:fill="auto" w:val="clear"/>
            <w:tcMar>
              <w:bottom w:w="28" w:type="dxa"/>
            </w:tcM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/s/ Maryon L. Gray</w:t>
            </w:r>
          </w:p>
        </w:tc>
      </w:tr>
      <w:tr>
        <w:trPr/>
        <w:tc>
          <w:tcPr>
            <w:tcW w:w="680" w:type="dxa"/>
            <w:tcBorders/>
            <w:shd w:fill="auto" w:val="clear"/>
          </w:tcPr>
          <w:p>
            <w:pPr>
              <w:pStyle w:val="TableContents"/>
              <w:spacing w:before="0" w:after="283"/>
              <w:jc w:val="both"/>
              <w:rPr/>
            </w:pPr>
            <w:r>
              <w:rPr/>
              <w:t> </w:t>
            </w:r>
          </w:p>
        </w:tc>
        <w:tc>
          <w:tcPr>
            <w:tcW w:w="3810"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 xml:space="preserve">Charles P. Brissman </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Vice President, Secretary and General Counsel</w:t>
            </w:r>
          </w:p>
        </w:tc>
        <w:tc>
          <w:tcPr>
            <w:tcW w:w="272" w:type="dxa"/>
            <w:tcBorders/>
            <w:shd w:fill="auto" w:val="clear"/>
            <w:vAlign w:val="center"/>
          </w:tcPr>
          <w:p>
            <w:pPr>
              <w:pStyle w:val="TableContents"/>
              <w:spacing w:before="0" w:after="283"/>
              <w:rPr/>
            </w:pPr>
            <w:r>
              <w:rPr/>
              <w:t> </w:t>
            </w:r>
          </w:p>
        </w:tc>
        <w:tc>
          <w:tcPr>
            <w:tcW w:w="1088" w:type="dxa"/>
            <w:tcBorders/>
            <w:shd w:fill="auto" w:val="clear"/>
          </w:tcPr>
          <w:p>
            <w:pPr>
              <w:pStyle w:val="TableContents"/>
              <w:spacing w:before="0" w:after="283"/>
              <w:jc w:val="both"/>
              <w:rPr/>
            </w:pPr>
            <w:r>
              <w:rPr/>
              <w:t> </w:t>
            </w:r>
          </w:p>
        </w:tc>
        <w:tc>
          <w:tcPr>
            <w:tcW w:w="4355" w:type="dxa"/>
            <w:tcBorders/>
            <w:shd w:fill="auto" w:val="clear"/>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Maryon L. Gray</w:t>
            </w:r>
          </w:p>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Assistant General Counsel and</w:t>
              <w:br/>
              <w:t>Assistant Secretary</w:t>
            </w:r>
          </w:p>
        </w:tc>
      </w:tr>
      <w:tr>
        <w:trPr/>
        <w:tc>
          <w:tcPr>
            <w:tcW w:w="4490" w:type="dxa"/>
            <w:gridSpan w:val="2"/>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Date: December 19, 2007</w:t>
            </w:r>
          </w:p>
        </w:tc>
        <w:tc>
          <w:tcPr>
            <w:tcW w:w="272" w:type="dxa"/>
            <w:tcBorders/>
            <w:shd w:fill="auto" w:val="clear"/>
            <w:vAlign w:val="center"/>
          </w:tcPr>
          <w:p>
            <w:pPr>
              <w:pStyle w:val="TableContents"/>
              <w:spacing w:before="0" w:after="283"/>
              <w:rPr/>
            </w:pPr>
            <w:r>
              <w:rPr/>
              <w:t> </w:t>
            </w:r>
          </w:p>
        </w:tc>
        <w:tc>
          <w:tcPr>
            <w:tcW w:w="1088" w:type="dxa"/>
            <w:tcBorders/>
            <w:shd w:fill="auto" w:val="clear"/>
          </w:tcPr>
          <w:p>
            <w:pPr>
              <w:pStyle w:val="TableContents"/>
              <w:spacing w:before="0" w:after="283"/>
              <w:jc w:val="both"/>
              <w:rPr/>
            </w:pPr>
            <w:r>
              <w:rPr/>
              <w:t> </w:t>
            </w:r>
          </w:p>
        </w:tc>
        <w:tc>
          <w:tcPr>
            <w:tcW w:w="4355" w:type="dxa"/>
            <w:tcBorders/>
            <w:shd w:fill="auto" w:val="clear"/>
          </w:tcPr>
          <w:p>
            <w:pPr>
              <w:pStyle w:val="TableContents"/>
              <w:spacing w:before="0" w:after="283"/>
              <w:jc w:val="left"/>
              <w:rPr/>
            </w:pPr>
            <w:r>
              <w:rPr/>
              <w:t> </w:t>
            </w:r>
          </w:p>
        </w:tc>
      </w:tr>
    </w:tbl>
    <w:p>
      <w:pPr>
        <w:pStyle w:val="TextBody"/>
        <w:spacing w:lineRule="auto" w:line="300" w:before="0" w:after="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02" w:name="PGBRK30"/>
      <w:bookmarkStart w:id="903" w:name="PGBRK30"/>
      <w:bookmarkEnd w:id="9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4" w:name="FTR30"/>
      <w:bookmarkStart w:id="905" w:name="FTR30"/>
      <w:bookmarkEnd w:id="9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6" w:name="GLFTR30"/>
      <w:bookmarkStart w:id="907" w:name="GLFTR30"/>
      <w:bookmarkEnd w:id="9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08" w:name="PN30"/>
      <w:bookmarkEnd w:id="908"/>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9" w:name="HDR30"/>
      <w:bookmarkStart w:id="910" w:name="HDR30"/>
      <w:bookmarkEnd w:id="9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1" w:name="GLHDR30"/>
      <w:bookmarkStart w:id="912" w:name="GLHDR30"/>
      <w:bookmarkEnd w:id="9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bookmarkStart w:id="913" w:name="v105960_ex10-3.htm"/>
      <w:bookmarkStart w:id="914" w:name="ksv105960_ex103"/>
      <w:bookmarkEnd w:id="913"/>
      <w:bookmarkEnd w:id="914"/>
      <w:r>
        <w:rPr>
          <w:rStyle w:val="StrongEmphasis"/>
          <w:rFonts w:ascii="Times New Roman" w:hAnsi="Times New Roman"/>
          <w:sz w:val="20"/>
        </w:rPr>
        <w:t>Exhibit 10.3:</w:t>
      </w:r>
    </w:p>
    <w:p>
      <w:pPr>
        <w:pStyle w:val="TextBody"/>
        <w:spacing w:lineRule="auto" w:line="300" w:before="0" w:after="0"/>
        <w:ind w:left="0" w:right="0" w:hanging="0"/>
        <w:jc w:val="both"/>
        <w:rPr/>
      </w:pPr>
      <w:r>
        <w:rPr/>
      </w:r>
    </w:p>
    <w:p>
      <w:pPr>
        <w:pStyle w:val="TextBody"/>
        <w:spacing w:lineRule="auto" w:line="300" w:before="0" w:after="0"/>
        <w:ind w:left="0" w:right="0" w:hanging="0"/>
        <w:jc w:val="center"/>
        <w:rPr/>
      </w:pPr>
      <w:r>
        <w:rPr>
          <w:rStyle w:val="StrongEmphasis"/>
          <w:rFonts w:ascii="Times New Roman" w:hAnsi="Times New Roman"/>
          <w:sz w:val="20"/>
        </w:rPr>
        <w:t>THE OIL-DRI CORPORATION OF AMERICA 2005 DEFERRED COMPENSATION PLAN</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As Amended and Restated Effective January 1, 2008</w:t>
      </w:r>
    </w:p>
    <w:p>
      <w:pPr>
        <w:pStyle w:val="TextBody"/>
        <w:spacing w:lineRule="auto" w:line="300" w:before="0" w:after="0"/>
        <w:ind w:left="0" w:right="0" w:hanging="0"/>
        <w:jc w:val="center"/>
        <w:rPr/>
      </w:pPr>
      <w:r>
        <w:rPr/>
      </w:r>
    </w:p>
    <w:p>
      <w:pPr>
        <w:pStyle w:val="TextBody"/>
        <w:spacing w:lineRule="auto" w:line="300" w:before="0" w:after="0"/>
        <w:ind w:left="0" w:right="0" w:hanging="0"/>
        <w:jc w:val="left"/>
        <w:rPr/>
      </w:pPr>
      <w:r>
        <w:rPr>
          <w:rStyle w:val="StrongEmphasis"/>
          <w:rFonts w:ascii="Times New Roman" w:hAnsi="Times New Roman"/>
          <w:sz w:val="20"/>
        </w:rPr>
        <w:t>ARTICLE 1 - INTRODUCTION</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1.1</w:t>
      </w:r>
      <w:bookmarkStart w:id="915" w:name="TAB264"/>
      <w:bookmarkEnd w:id="915"/>
      <w:r>
        <w:rPr>
          <w:color w:val="000000"/>
          <w:spacing w:val="540"/>
        </w:rPr>
        <w:t> </w:t>
      </w:r>
      <w:r>
        <w:rPr>
          <w:rStyle w:val="StrongEmphasis"/>
          <w:rFonts w:ascii="Times New Roman" w:hAnsi="Times New Roman"/>
          <w:sz w:val="20"/>
        </w:rPr>
        <w:t>Purpose of Plan</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Oil-Dri Corporation of America, a Delaware corporation, has adopted the Plan set forth herein to provide a means by which certain employees and non-employee directors may elect to defer receipt of designated percentages or amounts of their Compensation.</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1.2</w:t>
      </w:r>
      <w:bookmarkStart w:id="916" w:name="TAB265"/>
      <w:bookmarkEnd w:id="916"/>
      <w:r>
        <w:rPr>
          <w:color w:val="000000"/>
          <w:spacing w:val="540"/>
        </w:rPr>
        <w:t> </w:t>
      </w:r>
      <w:r>
        <w:rPr>
          <w:rStyle w:val="StrongEmphasis"/>
          <w:rFonts w:ascii="Times New Roman" w:hAnsi="Times New Roman"/>
          <w:sz w:val="20"/>
        </w:rPr>
        <w:t>Status of Plan</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Plan is intended to be “a plan which is unfunded and is maintained by an employer primarily for the purpose of providing deferred compensation for a select group of management or highly compensated employees” within the meaning of Sections 201(2), 301(a)(3) and 401(a)(1) of ERISA, and shall be interpreted and administered to the extent possible in a manner consistent with that intent. The Plan is also intended to comply with the requirements of Section 409A of the Code, and shall apply to all benefits that were earned or became vested on or after January 1, 2005.</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Benefits that were earned and vested prior to January 1, 2005 shall be governed by the terms of the Oil- Dri Corporation of America Deferred Compensation Plan, as amended and restated effective April 1, 2003.</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ARTICLE 2 - DEFINITIONS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Wherever used herein, the following terms have the meanings set forth below, unless a different meaning is clearly required by the context:</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2.1</w:t>
      </w:r>
      <w:bookmarkStart w:id="917" w:name="TAB266"/>
      <w:bookmarkEnd w:id="917"/>
      <w:r>
        <w:rPr>
          <w:color w:val="000000"/>
          <w:spacing w:val="540"/>
        </w:rPr>
        <w:t> </w:t>
      </w:r>
      <w:r>
        <w:rPr>
          <w:rStyle w:val="StrongEmphasis"/>
          <w:rFonts w:ascii="Times New Roman" w:hAnsi="Times New Roman"/>
          <w:sz w:val="20"/>
        </w:rPr>
        <w:t>Account</w:t>
      </w:r>
      <w:r>
        <w:rPr/>
        <w:t xml:space="preserve"> </w:t>
      </w:r>
      <w:r>
        <w:rPr>
          <w:rFonts w:ascii="Times New Roman" w:hAnsi="Times New Roman"/>
          <w:sz w:val="20"/>
        </w:rPr>
        <w:t>means for each Participant, the bookkeeping account established for his or her benefit under Section 5.1.</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2.2</w:t>
      </w:r>
      <w:bookmarkStart w:id="918" w:name="TAB267"/>
      <w:bookmarkEnd w:id="918"/>
      <w:r>
        <w:rPr>
          <w:color w:val="000000"/>
          <w:spacing w:val="540"/>
        </w:rPr>
        <w:t> </w:t>
      </w:r>
      <w:r>
        <w:rPr>
          <w:rStyle w:val="StrongEmphasis"/>
          <w:rFonts w:ascii="Times New Roman" w:hAnsi="Times New Roman"/>
          <w:sz w:val="20"/>
        </w:rPr>
        <w:t>Affiliate</w:t>
      </w:r>
      <w:r>
        <w:rPr/>
        <w:t xml:space="preserve"> </w:t>
      </w:r>
      <w:r>
        <w:rPr>
          <w:rFonts w:ascii="Times New Roman" w:hAnsi="Times New Roman"/>
          <w:sz w:val="20"/>
        </w:rPr>
        <w:t>means any corporation or enterprise, other than the Company, which, as of a given date, is a member of the same controlled group of corporations, the same group of trades or businesses under common control, or the same affiliated service group, determined in accordance with Sections 414(b), (c), (m) and (o) of the Code, as is the Company.</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2.3</w:t>
      </w:r>
      <w:bookmarkStart w:id="919" w:name="TAB268"/>
      <w:bookmarkEnd w:id="919"/>
      <w:r>
        <w:rPr>
          <w:color w:val="000000"/>
          <w:spacing w:val="540"/>
        </w:rPr>
        <w:t> </w:t>
      </w:r>
      <w:r>
        <w:rPr>
          <w:rStyle w:val="StrongEmphasis"/>
          <w:rFonts w:ascii="Times New Roman" w:hAnsi="Times New Roman"/>
          <w:sz w:val="20"/>
        </w:rPr>
        <w:t>Change of Control</w:t>
      </w:r>
      <w:r>
        <w:rPr/>
        <w:t xml:space="preserve"> </w:t>
      </w:r>
      <w:r>
        <w:rPr>
          <w:rFonts w:ascii="Times New Roman" w:hAnsi="Times New Roman"/>
          <w:sz w:val="20"/>
        </w:rPr>
        <w:t>has the meaning set forth in the Oil-Dri Corporation of America 2006 Long Term Incentive Plan, as amended from time to time.</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2.4</w:t>
      </w:r>
      <w:bookmarkStart w:id="920" w:name="TAB269"/>
      <w:bookmarkEnd w:id="920"/>
      <w:r>
        <w:rPr>
          <w:color w:val="000000"/>
          <w:spacing w:val="540"/>
        </w:rPr>
        <w:t> </w:t>
      </w:r>
      <w:r>
        <w:rPr>
          <w:rStyle w:val="StrongEmphasis"/>
          <w:rFonts w:ascii="Times New Roman" w:hAnsi="Times New Roman"/>
          <w:sz w:val="20"/>
        </w:rPr>
        <w:t>Claimant</w:t>
      </w:r>
      <w:r>
        <w:rPr/>
        <w:t xml:space="preserve"> </w:t>
      </w:r>
      <w:r>
        <w:rPr>
          <w:rFonts w:ascii="Times New Roman" w:hAnsi="Times New Roman"/>
          <w:sz w:val="20"/>
        </w:rPr>
        <w:t>means a Participant or beneficiary of a Participant who believes he or she is entitled to a benefit under the Plan.</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2.5</w:t>
      </w:r>
      <w:bookmarkStart w:id="921" w:name="TAB270"/>
      <w:bookmarkEnd w:id="921"/>
      <w:r>
        <w:rPr>
          <w:color w:val="000000"/>
          <w:spacing w:val="540"/>
        </w:rPr>
        <w:t> </w:t>
      </w:r>
      <w:r>
        <w:rPr>
          <w:rStyle w:val="StrongEmphasis"/>
          <w:rFonts w:ascii="Times New Roman" w:hAnsi="Times New Roman"/>
          <w:sz w:val="20"/>
        </w:rPr>
        <w:t>Code</w:t>
      </w:r>
      <w:r>
        <w:rPr/>
        <w:t xml:space="preserve"> </w:t>
      </w:r>
      <w:r>
        <w:rPr>
          <w:rFonts w:ascii="Times New Roman" w:hAnsi="Times New Roman"/>
          <w:sz w:val="20"/>
        </w:rPr>
        <w:t>means the Internal Revenue Code of 1986, as amended from time to time. Reference to any section or subsection of the Code includes reference to any comparable or succeeding provisions of any legislation which amends, supplements or replaces such section or subsection.</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2.6</w:t>
      </w:r>
      <w:bookmarkStart w:id="922" w:name="TAB271"/>
      <w:bookmarkEnd w:id="922"/>
      <w:r>
        <w:rPr>
          <w:color w:val="000000"/>
          <w:spacing w:val="540"/>
        </w:rPr>
        <w:t> </w:t>
      </w:r>
      <w:r>
        <w:rPr>
          <w:rStyle w:val="StrongEmphasis"/>
          <w:rFonts w:ascii="Times New Roman" w:hAnsi="Times New Roman"/>
          <w:sz w:val="20"/>
        </w:rPr>
        <w:t>Company</w:t>
      </w:r>
      <w:r>
        <w:rPr/>
        <w:t xml:space="preserve"> </w:t>
      </w:r>
      <w:r>
        <w:rPr>
          <w:rFonts w:ascii="Times New Roman" w:hAnsi="Times New Roman"/>
          <w:sz w:val="20"/>
        </w:rPr>
        <w:t>means Oil-Dri Corporation of America or any successor to all or a major portion of the Company’s assets or business which assumes the obligations of the Company.</w:t>
      </w:r>
    </w:p>
    <w:p>
      <w:pPr>
        <w:pStyle w:val="TextBody"/>
        <w:spacing w:lineRule="auto" w:line="300" w:before="0" w:after="0"/>
        <w:ind w:left="0" w:right="0" w:hanging="0"/>
        <w:jc w:val="left"/>
        <w:rPr/>
      </w:pPr>
      <w:r>
        <w:rPr/>
        <w:t> </w:t>
      </w:r>
    </w:p>
    <w:p>
      <w:pPr>
        <w:pStyle w:val="TextBody"/>
        <w:spacing w:lineRule="auto" w:line="300" w:before="0" w:after="0"/>
        <w:ind w:left="0" w:right="0" w:hanging="0"/>
        <w:jc w:val="left"/>
        <w:rPr/>
      </w:pPr>
      <w:r>
        <w:rPr>
          <w:rStyle w:val="StrongEmphasis"/>
          <w:rFonts w:ascii="Times New Roman" w:hAnsi="Times New Roman"/>
          <w:sz w:val="20"/>
        </w:rPr>
        <w:t>2.7</w:t>
      </w:r>
      <w:bookmarkStart w:id="923" w:name="TAB272"/>
      <w:bookmarkEnd w:id="923"/>
      <w:r>
        <w:rPr>
          <w:color w:val="000000"/>
          <w:spacing w:val="540"/>
        </w:rPr>
        <w:t> </w:t>
      </w:r>
      <w:r>
        <w:rPr>
          <w:rStyle w:val="StrongEmphasis"/>
          <w:rFonts w:ascii="Times New Roman" w:hAnsi="Times New Roman"/>
          <w:sz w:val="20"/>
        </w:rPr>
        <w:t>Compensation</w:t>
      </w:r>
      <w:r>
        <w:rPr/>
        <w:t xml:space="preserve"> </w:t>
      </w:r>
      <w:r>
        <w:rPr>
          <w:rFonts w:ascii="Times New Roman" w:hAnsi="Times New Roman"/>
          <w:sz w:val="20"/>
        </w:rPr>
        <w:t>means employee cash compensation, including but not limited to, base salary and bonuses payable under the Oil-Dri Corporation of America Annual Incentive Plan (hereafter “Incentive Bonus”), and director cash compensation, including but not limited to, retainers, annuity payments, meeting fees, and consulting fees, payable to a Participant by the Company or an Employer. Employee compensation is determined before giving effect to Elective Deferrals and other salary reduction amounts which are not included in the Participant’s gross income under Code sections 125, 132(f)(4), 401(k), 402(h) or 403(b).</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2.8</w:t>
      </w:r>
      <w:bookmarkStart w:id="924" w:name="TAB273"/>
      <w:bookmarkEnd w:id="924"/>
      <w:r>
        <w:rPr>
          <w:color w:val="000000"/>
          <w:spacing w:val="540"/>
        </w:rPr>
        <w:t> </w:t>
      </w:r>
      <w:r>
        <w:rPr>
          <w:rStyle w:val="StrongEmphasis"/>
          <w:rFonts w:ascii="Times New Roman" w:hAnsi="Times New Roman"/>
          <w:sz w:val="20"/>
        </w:rPr>
        <w:t xml:space="preserve">Earnings </w:t>
      </w:r>
      <w:r>
        <w:rPr>
          <w:rFonts w:ascii="Times New Roman" w:hAnsi="Times New Roman"/>
          <w:sz w:val="20"/>
        </w:rPr>
        <w:t xml:space="preserve">means the Company’s long-term borrowing cost in effect during the Plan Year for which Earnings are being credited plus one percent. </w:t>
      </w:r>
    </w:p>
    <w:p>
      <w:pPr>
        <w:pStyle w:val="TextBody"/>
        <w:spacing w:lineRule="auto" w:line="300" w:before="0" w:after="0"/>
        <w:ind w:left="0" w:right="0" w:hanging="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25" w:name="PGBRK31"/>
      <w:bookmarkStart w:id="926" w:name="PGBRK31"/>
      <w:bookmarkEnd w:id="9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7" w:name="FTR31"/>
      <w:bookmarkStart w:id="928" w:name="FTR31"/>
      <w:bookmarkEnd w:id="9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9" w:name="GLFTR31"/>
      <w:bookmarkStart w:id="930" w:name="GLFTR31"/>
      <w:bookmarkEnd w:id="93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931" w:name="PN31"/>
      <w:bookmarkStart w:id="932" w:name="PN31"/>
      <w:bookmarkEnd w:id="9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33" w:name="HDR31"/>
      <w:bookmarkStart w:id="934" w:name="HDR31"/>
      <w:bookmarkEnd w:id="9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35" w:name="GLHDR31"/>
      <w:bookmarkStart w:id="936" w:name="GLHDR31"/>
      <w:bookmarkEnd w:id="9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t> </w:t>
      </w:r>
    </w:p>
    <w:p>
      <w:pPr>
        <w:pStyle w:val="TextBody"/>
        <w:spacing w:lineRule="auto" w:line="300" w:before="0" w:after="0"/>
        <w:ind w:left="0" w:right="0" w:hanging="0"/>
        <w:jc w:val="left"/>
        <w:rPr/>
      </w:pPr>
      <w:r>
        <w:rPr>
          <w:rStyle w:val="StrongEmphasis"/>
          <w:rFonts w:ascii="Times New Roman" w:hAnsi="Times New Roman"/>
          <w:sz w:val="20"/>
        </w:rPr>
        <w:t>2.9</w:t>
      </w:r>
      <w:bookmarkStart w:id="937" w:name="TAB274"/>
      <w:bookmarkEnd w:id="937"/>
      <w:r>
        <w:rPr>
          <w:color w:val="000000"/>
          <w:spacing w:val="540"/>
        </w:rPr>
        <w:t> </w:t>
      </w:r>
      <w:r>
        <w:rPr>
          <w:rStyle w:val="StrongEmphasis"/>
          <w:rFonts w:ascii="Times New Roman" w:hAnsi="Times New Roman"/>
          <w:sz w:val="20"/>
        </w:rPr>
        <w:t>Effective Date</w:t>
      </w:r>
      <w:r>
        <w:rPr/>
        <w:t xml:space="preserve"> </w:t>
      </w:r>
      <w:r>
        <w:rPr>
          <w:rFonts w:ascii="Times New Roman" w:hAnsi="Times New Roman"/>
          <w:sz w:val="20"/>
        </w:rPr>
        <w:t>means January 1, 2008; provided that the terms of this Plan shall apply to benefits that were earned or became vested on and after January 1, 2005.</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2.10</w:t>
      </w:r>
      <w:bookmarkStart w:id="938" w:name="TAB275"/>
      <w:bookmarkEnd w:id="938"/>
      <w:r>
        <w:rPr>
          <w:color w:val="000000"/>
          <w:spacing w:val="540"/>
        </w:rPr>
        <w:t> </w:t>
      </w:r>
      <w:r>
        <w:rPr>
          <w:rStyle w:val="StrongEmphasis"/>
          <w:rFonts w:ascii="Times New Roman" w:hAnsi="Times New Roman"/>
          <w:sz w:val="20"/>
        </w:rPr>
        <w:t>Election Form</w:t>
      </w:r>
      <w:r>
        <w:rPr/>
        <w:t xml:space="preserve"> </w:t>
      </w:r>
      <w:r>
        <w:rPr>
          <w:rFonts w:ascii="Times New Roman" w:hAnsi="Times New Roman"/>
          <w:sz w:val="20"/>
        </w:rPr>
        <w:t>means the participation election form as approved and prescribed by the Plan Administrator.</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2.11</w:t>
      </w:r>
      <w:bookmarkStart w:id="939" w:name="TAB276"/>
      <w:bookmarkEnd w:id="939"/>
      <w:r>
        <w:rPr>
          <w:color w:val="000000"/>
          <w:spacing w:val="540"/>
        </w:rPr>
        <w:t> </w:t>
      </w:r>
      <w:r>
        <w:rPr>
          <w:rStyle w:val="StrongEmphasis"/>
          <w:rFonts w:ascii="Times New Roman" w:hAnsi="Times New Roman"/>
          <w:sz w:val="20"/>
        </w:rPr>
        <w:t>Elective Deferral</w:t>
      </w:r>
      <w:r>
        <w:rPr/>
        <w:t xml:space="preserve"> </w:t>
      </w:r>
      <w:r>
        <w:rPr>
          <w:rFonts w:ascii="Times New Roman" w:hAnsi="Times New Roman"/>
          <w:sz w:val="20"/>
        </w:rPr>
        <w:t>means the portion of Compensation which is deferred by a Participant under Section 4.1.</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2.12</w:t>
      </w:r>
      <w:bookmarkStart w:id="940" w:name="TAB277"/>
      <w:bookmarkEnd w:id="940"/>
      <w:r>
        <w:rPr>
          <w:color w:val="000000"/>
          <w:spacing w:val="540"/>
        </w:rPr>
        <w:t> </w:t>
      </w:r>
      <w:r>
        <w:rPr>
          <w:rStyle w:val="StrongEmphasis"/>
          <w:rFonts w:ascii="Times New Roman" w:hAnsi="Times New Roman"/>
          <w:sz w:val="20"/>
        </w:rPr>
        <w:t>Eligible Employee or Director</w:t>
      </w:r>
      <w:r>
        <w:rPr/>
        <w:t xml:space="preserve"> </w:t>
      </w:r>
      <w:r>
        <w:rPr>
          <w:rFonts w:ascii="Times New Roman" w:hAnsi="Times New Roman"/>
          <w:sz w:val="20"/>
        </w:rPr>
        <w:t>generally means each employee of an Employer who is at a salary grade of Grade 11 or higher (Grade 10 or higher prior to January 1, 2007) at the time he or she elects to make Elective Deferrals or a non-employee who is a member of the Company’s Board of Directors. The Company reserves the right to from time to time extend eligibility to participate in the Plan to a management employee of an Employer who is at a salary grade less than Grade 11 (Grade 10 prior to January 1, 2007).</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2.13</w:t>
      </w:r>
      <w:bookmarkStart w:id="941" w:name="TAB278"/>
      <w:bookmarkEnd w:id="941"/>
      <w:r>
        <w:rPr>
          <w:color w:val="000000"/>
          <w:spacing w:val="540"/>
        </w:rPr>
        <w:t> </w:t>
      </w:r>
      <w:r>
        <w:rPr>
          <w:rStyle w:val="StrongEmphasis"/>
          <w:rFonts w:ascii="Times New Roman" w:hAnsi="Times New Roman"/>
          <w:sz w:val="20"/>
        </w:rPr>
        <w:t xml:space="preserve">Employer </w:t>
      </w:r>
      <w:r>
        <w:rPr>
          <w:rFonts w:ascii="Times New Roman" w:hAnsi="Times New Roman"/>
          <w:sz w:val="20"/>
        </w:rPr>
        <w:t>means the Company or any Affiliate which adopts the Plan with the consent of the Company.</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2.14</w:t>
      </w:r>
      <w:bookmarkStart w:id="942" w:name="TAB279"/>
      <w:bookmarkEnd w:id="942"/>
      <w:r>
        <w:rPr>
          <w:color w:val="000000"/>
          <w:spacing w:val="540"/>
        </w:rPr>
        <w:t> </w:t>
      </w:r>
      <w:r>
        <w:rPr>
          <w:rStyle w:val="StrongEmphasis"/>
          <w:rFonts w:ascii="Times New Roman" w:hAnsi="Times New Roman"/>
          <w:sz w:val="20"/>
        </w:rPr>
        <w:t>ERISA</w:t>
      </w:r>
      <w:r>
        <w:rPr/>
        <w:t xml:space="preserve"> </w:t>
      </w:r>
      <w:r>
        <w:rPr>
          <w:rFonts w:ascii="Times New Roman" w:hAnsi="Times New Roman"/>
          <w:sz w:val="20"/>
        </w:rPr>
        <w:t>means the Employee Retirement Income Security Act of 1974, as amended from time to time. Reference to any section or subsection of ERISA includes reference to any comparable or succeeding provisions of any legislation which amends, supplements or replaces such section or subsection.</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 xml:space="preserve">2.15 </w:t>
      </w:r>
      <w:bookmarkStart w:id="943" w:name="TAB280"/>
      <w:bookmarkEnd w:id="943"/>
      <w:r>
        <w:rPr>
          <w:color w:val="000000"/>
          <w:spacing w:val="540"/>
        </w:rPr>
        <w:t> </w:t>
      </w:r>
      <w:r>
        <w:rPr>
          <w:rStyle w:val="StrongEmphasis"/>
          <w:rFonts w:ascii="Times New Roman" w:hAnsi="Times New Roman"/>
          <w:sz w:val="20"/>
        </w:rPr>
        <w:t>Insolvent</w:t>
      </w:r>
      <w:r>
        <w:rPr/>
        <w:t xml:space="preserve"> </w:t>
      </w:r>
      <w:r>
        <w:rPr>
          <w:rFonts w:ascii="Times New Roman" w:hAnsi="Times New Roman"/>
          <w:sz w:val="20"/>
        </w:rPr>
        <w:t>means either (i) the Company is unable to pay its debts as they become due, or (ii) the Company is subject to a pending proceeding as a debtor under the United States Bankruptcy Code.</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 xml:space="preserve">2.16 </w:t>
      </w:r>
      <w:bookmarkStart w:id="944" w:name="TAB281"/>
      <w:bookmarkEnd w:id="944"/>
      <w:r>
        <w:rPr>
          <w:color w:val="000000"/>
          <w:spacing w:val="540"/>
        </w:rPr>
        <w:t> </w:t>
      </w:r>
      <w:r>
        <w:rPr>
          <w:rStyle w:val="StrongEmphasis"/>
          <w:rFonts w:ascii="Times New Roman" w:hAnsi="Times New Roman"/>
          <w:sz w:val="20"/>
        </w:rPr>
        <w:t>Participant</w:t>
      </w:r>
      <w:r>
        <w:rPr/>
        <w:t xml:space="preserve"> </w:t>
      </w:r>
      <w:r>
        <w:rPr>
          <w:rFonts w:ascii="Times New Roman" w:hAnsi="Times New Roman"/>
          <w:sz w:val="20"/>
        </w:rPr>
        <w:t>means any individual who participates in the Plan in accordance with Article 3.</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2.17</w:t>
      </w:r>
      <w:bookmarkStart w:id="945" w:name="TAB282"/>
      <w:bookmarkEnd w:id="945"/>
      <w:r>
        <w:rPr>
          <w:color w:val="000000"/>
          <w:spacing w:val="540"/>
        </w:rPr>
        <w:t> </w:t>
      </w:r>
      <w:r>
        <w:rPr>
          <w:rStyle w:val="StrongEmphasis"/>
          <w:rFonts w:ascii="Times New Roman" w:hAnsi="Times New Roman"/>
          <w:sz w:val="20"/>
        </w:rPr>
        <w:t>Plan</w:t>
      </w:r>
      <w:r>
        <w:rPr/>
        <w:t xml:space="preserve"> </w:t>
      </w:r>
      <w:r>
        <w:rPr>
          <w:rFonts w:ascii="Times New Roman" w:hAnsi="Times New Roman"/>
          <w:sz w:val="20"/>
        </w:rPr>
        <w:t>means the Oil-Dri Corporation of America 2005 Deferred Compensation Plan and all amendments thereto.</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2.18</w:t>
      </w:r>
      <w:bookmarkStart w:id="946" w:name="TAB283"/>
      <w:bookmarkEnd w:id="946"/>
      <w:r>
        <w:rPr>
          <w:color w:val="000000"/>
          <w:spacing w:val="540"/>
        </w:rPr>
        <w:t> </w:t>
      </w:r>
      <w:r>
        <w:rPr>
          <w:rStyle w:val="StrongEmphasis"/>
          <w:rFonts w:ascii="Times New Roman" w:hAnsi="Times New Roman"/>
          <w:sz w:val="20"/>
        </w:rPr>
        <w:t>Plan Administrator</w:t>
      </w:r>
      <w:r>
        <w:rPr/>
        <w:t xml:space="preserve"> </w:t>
      </w:r>
      <w:r>
        <w:rPr>
          <w:rFonts w:ascii="Times New Roman" w:hAnsi="Times New Roman"/>
          <w:sz w:val="20"/>
        </w:rPr>
        <w:t>means the person, persons or entity designated by the Company from time to time to administer the Plan. If no such person, persons or entity is so serving at any time, the Company shall be the Plan Administrator.</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2.19</w:t>
      </w:r>
      <w:bookmarkStart w:id="947" w:name="TAB284"/>
      <w:bookmarkEnd w:id="947"/>
      <w:r>
        <w:rPr>
          <w:color w:val="000000"/>
          <w:spacing w:val="540"/>
        </w:rPr>
        <w:t> </w:t>
      </w:r>
      <w:r>
        <w:rPr>
          <w:rStyle w:val="StrongEmphasis"/>
          <w:rFonts w:ascii="Times New Roman" w:hAnsi="Times New Roman"/>
          <w:sz w:val="20"/>
        </w:rPr>
        <w:t>Plan Year</w:t>
      </w:r>
      <w:r>
        <w:rPr/>
        <w:t xml:space="preserve"> </w:t>
      </w:r>
      <w:r>
        <w:rPr>
          <w:rFonts w:ascii="Times New Roman" w:hAnsi="Times New Roman"/>
          <w:sz w:val="20"/>
        </w:rPr>
        <w:t>means the 12-month period beginning January 1 and ending December 31.</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2.20</w:t>
      </w:r>
      <w:bookmarkStart w:id="948" w:name="TAB285"/>
      <w:bookmarkEnd w:id="948"/>
      <w:r>
        <w:rPr>
          <w:color w:val="000000"/>
          <w:spacing w:val="540"/>
        </w:rPr>
        <w:t> </w:t>
      </w:r>
      <w:r>
        <w:rPr>
          <w:rStyle w:val="StrongEmphasis"/>
          <w:rFonts w:ascii="Times New Roman" w:hAnsi="Times New Roman"/>
          <w:sz w:val="20"/>
        </w:rPr>
        <w:t>Separation from Service</w:t>
      </w:r>
      <w:r>
        <w:rPr/>
        <w:t xml:space="preserve"> </w:t>
      </w:r>
      <w:r>
        <w:rPr>
          <w:rFonts w:ascii="Times New Roman" w:hAnsi="Times New Roman"/>
          <w:sz w:val="20"/>
        </w:rPr>
        <w:t>means the Participant’s death, retirement or other termination of employment with the Company and all Affiliates. For purposes of this definition, a “termination of employment” shall occur when the facts and circumstances indicate that the Company and the employee reasonably anticipate that no further services would be performed by the employee for the Company or any Affiliate after a certain date or that the level of bona fide services the employee would perform after such date (whether as an employee or as an independent contractor), would permanently decrease to no more than 20% of the average level of bona fide services performed (whether as an employee or as an independent contractor) over the immediately preceding thirty-six (36)-month period (or full period of services to the Company and all Affiliates if the employee has been providing services to the Company less than thirty-six (36) months).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2.21</w:t>
      </w:r>
      <w:bookmarkStart w:id="949" w:name="TAB286"/>
      <w:bookmarkEnd w:id="949"/>
      <w:r>
        <w:rPr>
          <w:color w:val="000000"/>
          <w:spacing w:val="540"/>
        </w:rPr>
        <w:t> </w:t>
      </w:r>
      <w:r>
        <w:rPr>
          <w:rStyle w:val="StrongEmphasis"/>
          <w:rFonts w:ascii="Times New Roman" w:hAnsi="Times New Roman"/>
          <w:sz w:val="20"/>
        </w:rPr>
        <w:t>Specified Employee</w:t>
      </w:r>
      <w:r>
        <w:rPr/>
        <w:t xml:space="preserve"> </w:t>
      </w:r>
      <w:r>
        <w:rPr>
          <w:rFonts w:ascii="Times New Roman" w:hAnsi="Times New Roman"/>
          <w:sz w:val="20"/>
        </w:rPr>
        <w:t>means an employee of the Company or an Employer who is a “key employee” under Code Section 416(i)(1)(A)(i), (ii) or (iii) (applied in accordance with the regulations thereunder and disregarding Code Section 416(i)(5)) at any time during the twelve (12)-month period ending on the preceding December 31. An employee as of a particular December 31 who has been determined to have satisfied the above definition of “key employee” shall be a Specified Employee during the twelve (12)-month period commencing on the April 1 next following such determination date and ending on the following March 31.</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2.22</w:t>
      </w:r>
      <w:bookmarkStart w:id="950" w:name="TAB287"/>
      <w:bookmarkEnd w:id="950"/>
      <w:r>
        <w:rPr>
          <w:color w:val="000000"/>
          <w:spacing w:val="540"/>
        </w:rPr>
        <w:t> </w:t>
      </w:r>
      <w:r>
        <w:rPr>
          <w:rStyle w:val="StrongEmphasis"/>
          <w:rFonts w:ascii="Times New Roman" w:hAnsi="Times New Roman"/>
          <w:sz w:val="20"/>
        </w:rPr>
        <w:t>Total and Permanent Disability</w:t>
      </w:r>
      <w:r>
        <w:rPr/>
        <w:t xml:space="preserve"> </w:t>
      </w:r>
      <w:r>
        <w:rPr>
          <w:rFonts w:ascii="Times New Roman" w:hAnsi="Times New Roman"/>
          <w:sz w:val="20"/>
        </w:rPr>
        <w:t>means:</w:t>
      </w:r>
    </w:p>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951" w:name="hangingindent5"/>
      <w:bookmarkStart w:id="952" w:name="hangingindent5"/>
      <w:bookmarkEnd w:id="952"/>
    </w:p>
    <w:tbl>
      <w:tblPr>
        <w:tblW w:w="5000" w:type="pct"/>
        <w:jc w:val="center"/>
        <w:tblInd w:w="0" w:type="dxa"/>
        <w:tblCellMar>
          <w:top w:w="0" w:type="dxa"/>
          <w:left w:w="0" w:type="dxa"/>
          <w:bottom w:w="0" w:type="dxa"/>
          <w:right w:w="0" w:type="dxa"/>
        </w:tblCellMar>
      </w:tblPr>
      <w:tblGrid>
        <w:gridCol w:w="154"/>
        <w:gridCol w:w="10051"/>
      </w:tblGrid>
      <w:tr>
        <w:trPr/>
        <w:tc>
          <w:tcPr>
            <w:tcW w:w="15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1005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The Participant is unable to engage in any substantial gainful activity by reason of any medically determinable physical or mental impairment that can be expected to result in death or can be expected to last for a continuous period of not less than twelve (12) months; or</w:t>
            </w:r>
          </w:p>
        </w:tc>
      </w:tr>
    </w:tbl>
    <w:p>
      <w:pPr>
        <w:pStyle w:val="Normal"/>
        <w:spacing w:before="0" w:after="0"/>
        <w:rPr>
          <w:sz w:val="4"/>
          <w:szCs w:val="4"/>
        </w:rPr>
      </w:pPr>
      <w:r>
        <w:rPr>
          <w:sz w:val="4"/>
          <w:szCs w:val="4"/>
        </w:rPr>
      </w:r>
      <w:bookmarkStart w:id="953" w:name="hangingindent6"/>
      <w:bookmarkStart w:id="954" w:name="hangingindent6"/>
      <w:bookmarkEnd w:id="954"/>
    </w:p>
    <w:tbl>
      <w:tblPr>
        <w:tblW w:w="5000" w:type="pct"/>
        <w:jc w:val="center"/>
        <w:tblInd w:w="0" w:type="dxa"/>
        <w:tblCellMar>
          <w:top w:w="0" w:type="dxa"/>
          <w:left w:w="0" w:type="dxa"/>
          <w:bottom w:w="0" w:type="dxa"/>
          <w:right w:w="0" w:type="dxa"/>
        </w:tblCellMar>
      </w:tblPr>
      <w:tblGrid>
        <w:gridCol w:w="169"/>
        <w:gridCol w:w="10036"/>
      </w:tblGrid>
      <w:tr>
        <w:trPr/>
        <w:tc>
          <w:tcPr>
            <w:tcW w:w="16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1003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The Participant is, by reason of any medically determinable physical or mental impairment that can be expected to result in death or can be expected to last for a continuous period of not less than twelve (12) months, receiving income replacement benefits for a period of not less than three (3) months under the Company’s short term or long term disability plan; or</w:t>
            </w:r>
          </w:p>
        </w:tc>
      </w:tr>
    </w:tbl>
    <w:p>
      <w:pPr>
        <w:pStyle w:val="Normal"/>
        <w:spacing w:before="0" w:after="0"/>
        <w:rPr>
          <w:sz w:val="4"/>
          <w:szCs w:val="4"/>
        </w:rPr>
      </w:pPr>
      <w:r>
        <w:rPr>
          <w:sz w:val="4"/>
          <w:szCs w:val="4"/>
        </w:rPr>
      </w:r>
      <w:bookmarkStart w:id="955" w:name="hangingindent7"/>
      <w:bookmarkStart w:id="956" w:name="hangingindent7"/>
      <w:bookmarkEnd w:id="956"/>
    </w:p>
    <w:tbl>
      <w:tblPr>
        <w:tblW w:w="5000" w:type="pct"/>
        <w:jc w:val="center"/>
        <w:tblInd w:w="0" w:type="dxa"/>
        <w:tblCellMar>
          <w:top w:w="0" w:type="dxa"/>
          <w:left w:w="0" w:type="dxa"/>
          <w:bottom w:w="0" w:type="dxa"/>
          <w:right w:w="0" w:type="dxa"/>
        </w:tblCellMar>
      </w:tblPr>
      <w:tblGrid>
        <w:gridCol w:w="211"/>
        <w:gridCol w:w="9994"/>
      </w:tblGrid>
      <w:tr>
        <w:trPr/>
        <w:tc>
          <w:tcPr>
            <w:tcW w:w="21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w:t>
            </w:r>
          </w:p>
        </w:tc>
        <w:tc>
          <w:tcPr>
            <w:tcW w:w="999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The Participant is determined to be totally disabled by the Social Security Administration.</w:t>
            </w:r>
          </w:p>
        </w:tc>
      </w:tr>
    </w:tbl>
    <w:p>
      <w:pPr>
        <w:pStyle w:val="TextBody"/>
        <w:spacing w:lineRule="auto" w:line="300" w:before="0" w:after="0"/>
        <w:ind w:left="0" w:right="0" w:hanging="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57" w:name="PGBRK32"/>
      <w:bookmarkStart w:id="958" w:name="PGBRK32"/>
      <w:bookmarkEnd w:id="9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9" w:name="FTR32"/>
      <w:bookmarkStart w:id="960" w:name="FTR32"/>
      <w:bookmarkEnd w:id="9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61" w:name="GLFTR32"/>
      <w:bookmarkStart w:id="962" w:name="GLFTR32"/>
      <w:bookmarkEnd w:id="9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963" w:name="PN32"/>
      <w:bookmarkEnd w:id="963"/>
      <w:r>
        <w:rPr>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64" w:name="HDR32"/>
      <w:bookmarkStart w:id="965" w:name="HDR32"/>
      <w:bookmarkEnd w:id="9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66" w:name="GLHDR32"/>
      <w:bookmarkStart w:id="967" w:name="GLHDR32"/>
      <w:bookmarkEnd w:id="9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t> </w:t>
      </w:r>
    </w:p>
    <w:p>
      <w:pPr>
        <w:pStyle w:val="TextBody"/>
        <w:spacing w:lineRule="auto" w:line="300" w:before="0" w:after="0"/>
        <w:ind w:left="0" w:right="0" w:hanging="0"/>
        <w:jc w:val="left"/>
        <w:rPr/>
      </w:pPr>
      <w:r>
        <w:rPr>
          <w:rStyle w:val="StrongEmphasis"/>
          <w:rFonts w:ascii="Times New Roman" w:hAnsi="Times New Roman"/>
          <w:sz w:val="20"/>
        </w:rPr>
        <w:t>2.23</w:t>
      </w:r>
      <w:bookmarkStart w:id="968" w:name="TAB288"/>
      <w:bookmarkEnd w:id="968"/>
      <w:r>
        <w:rPr>
          <w:color w:val="000000"/>
          <w:spacing w:val="540"/>
        </w:rPr>
        <w:t> </w:t>
      </w:r>
      <w:r>
        <w:rPr>
          <w:rStyle w:val="StrongEmphasis"/>
          <w:rFonts w:ascii="Times New Roman" w:hAnsi="Times New Roman"/>
          <w:sz w:val="20"/>
        </w:rPr>
        <w:t>Unforeseen Emergency</w:t>
      </w:r>
      <w:r>
        <w:rPr/>
        <w:t xml:space="preserve"> </w:t>
      </w:r>
      <w:r>
        <w:rPr>
          <w:rFonts w:ascii="Times New Roman" w:hAnsi="Times New Roman"/>
          <w:sz w:val="20"/>
        </w:rPr>
        <w:t>has the meaning set forth in Section 7.8.</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ARTICLE 3 - PARTICIPATION</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3.1</w:t>
      </w:r>
      <w:bookmarkStart w:id="969" w:name="TAB289"/>
      <w:bookmarkEnd w:id="969"/>
      <w:r>
        <w:rPr>
          <w:color w:val="000000"/>
          <w:spacing w:val="540"/>
        </w:rPr>
        <w:t> </w:t>
      </w:r>
      <w:r>
        <w:rPr>
          <w:rStyle w:val="StrongEmphasis"/>
          <w:rFonts w:ascii="Times New Roman" w:hAnsi="Times New Roman"/>
          <w:sz w:val="20"/>
        </w:rPr>
        <w:t>Commencement of Participation</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Any individual who elects to defer part of his or her Compensation in accordance with Section 4.1 shall become a Participant in the Plan as of the date such deferrals commence in accordance with Section 4.1.</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3.2</w:t>
      </w:r>
      <w:bookmarkStart w:id="970" w:name="TAB290"/>
      <w:bookmarkEnd w:id="970"/>
      <w:r>
        <w:rPr>
          <w:color w:val="000000"/>
          <w:spacing w:val="540"/>
        </w:rPr>
        <w:t> </w:t>
      </w:r>
      <w:r>
        <w:rPr>
          <w:rStyle w:val="StrongEmphasis"/>
          <w:rFonts w:ascii="Times New Roman" w:hAnsi="Times New Roman"/>
          <w:sz w:val="20"/>
        </w:rPr>
        <w:t>Continued Participation</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A Participant in the Plan shall continue to be a Participant so long as any amount remains credited to his or her Account.</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ARTICLE 4 - ELECTIVE DEFERRALS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4.1</w:t>
      </w:r>
      <w:bookmarkStart w:id="971" w:name="TAB291"/>
      <w:bookmarkEnd w:id="971"/>
      <w:r>
        <w:rPr>
          <w:color w:val="000000"/>
          <w:spacing w:val="540"/>
        </w:rPr>
        <w:t> </w:t>
      </w:r>
      <w:r>
        <w:rPr>
          <w:rStyle w:val="StrongEmphasis"/>
          <w:rFonts w:ascii="Times New Roman" w:hAnsi="Times New Roman"/>
          <w:sz w:val="20"/>
        </w:rPr>
        <w:t>Elective Deferrals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Fonts w:ascii="Times New Roman" w:hAnsi="Times New Roman"/>
          <w:sz w:val="20"/>
        </w:rPr>
        <w:t>An individual who is an Eligible Employee or Director on or after January 1, 2005, may elect to defer a percentage or dollar amount of one or more payments of Compensation, on such terms as the Plan Administrator may permit, which are for services to be performed by the Participant in the next succeeding Plan Year by completing an Election Form and filing it with the Plan Administrator on or before December 31</w:t>
      </w:r>
      <w:r>
        <w:rPr>
          <w:rFonts w:ascii="Times New Roman" w:hAnsi="Times New Roman"/>
          <w:position w:val="7"/>
          <w:sz w:val="16"/>
          <w:sz w:val="20"/>
        </w:rPr>
        <w:t>st</w:t>
      </w:r>
      <w:r>
        <w:rPr/>
        <w:t xml:space="preserve"> </w:t>
      </w:r>
      <w:r>
        <w:rPr>
          <w:rFonts w:ascii="Times New Roman" w:hAnsi="Times New Roman"/>
          <w:sz w:val="20"/>
        </w:rPr>
        <w:t>(or such earlier date as established by the Plan Administrator) of the year preceding such Plan Year. A Participant other than a non-employee director may elect to defer only up to 50% of base salary, provided that such deferral shall equal a minimum of $5,000, and up to 100% of any Incentive Bonus. A Participant who is a non-employee director may elect to defer all or any part of such Participant’s Compensation. Any individual who becomes an Eligible Employee or Director after the Effective Date may, by completing an Election Form and filing it with the Plan Administrator within 30 days after becoming an Eligible Employee or Director, elect to defer a percentage or dollar amount of one or more payments of Compensation, on such terms as the Plan Administrator may permit, which are for services to be performed by the Participant after the date on which the individual files the Election Form. Any Eligible Employee or Director who has not otherwise initially elected to defer Compensation in accordance with this Section 4.1 may elect to defer a percentage or dollar amount of one or more payments of Compensation, on such terms as the Plan Administrator may permit, commencing with Compensation paid in the next succeeding Plan Year, by completing an Election Form and filing it with the Plan Administrator on or before December 31</w:t>
      </w:r>
      <w:r>
        <w:rPr>
          <w:rFonts w:ascii="Times New Roman" w:hAnsi="Times New Roman"/>
          <w:position w:val="7"/>
          <w:sz w:val="16"/>
          <w:sz w:val="20"/>
        </w:rPr>
        <w:t>st</w:t>
      </w:r>
      <w:r>
        <w:rPr/>
        <w:t xml:space="preserve"> </w:t>
      </w:r>
      <w:r>
        <w:rPr>
          <w:rFonts w:ascii="Times New Roman" w:hAnsi="Times New Roman"/>
          <w:sz w:val="20"/>
        </w:rPr>
        <w:t>(or such earlier date as established by the Plan Administrator) of the year preceding such Plan Year. A Participant’s Compensation shall be reduced in accordance with the Participant’s election hereunder and amounts deferred hereunder shall be credited to the Participant’s Account as of the date the amounts would have been paid to the Participant absent the deferral election. Elective Deferrals shall not be in effect for any Participant during any period in which such Participant is eligible to receive benefits under the Company’s long term disability plan.</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An election to defer a percentage or dollar amount of Compensation for any Plan Year shall apply for only such Plan Year. For each succeeding Plan Year an Eligible Employee or Director must make a new deferral election by completing and filing with the Plan Administrator an Election Form on or before December 31st (or such earlier date as established by the Plan Administrator) preceding that Plan Year.</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ARTICLE 5 - ACCOUNTS</w:t>
      </w:r>
    </w:p>
    <w:p>
      <w:pPr>
        <w:pStyle w:val="TextBody"/>
        <w:spacing w:lineRule="auto" w:line="300" w:before="0" w:after="0"/>
        <w:ind w:left="0" w:right="0" w:hanging="0"/>
        <w:jc w:val="left"/>
        <w:rPr/>
      </w:pPr>
      <w:r>
        <w:rPr/>
      </w:r>
    </w:p>
    <w:p>
      <w:pPr>
        <w:pStyle w:val="TextBody"/>
        <w:spacing w:lineRule="auto" w:line="312" w:before="0" w:after="0"/>
        <w:ind w:left="0" w:right="0" w:hanging="0"/>
        <w:jc w:val="left"/>
        <w:rPr/>
      </w:pPr>
      <w:r>
        <w:rPr>
          <w:rStyle w:val="StrongEmphasis"/>
          <w:rFonts w:ascii="Times New Roman" w:hAnsi="Times New Roman"/>
          <w:sz w:val="20"/>
        </w:rPr>
        <w:t>5.1 Accounts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Plan Administrator shall establish a bookkeeping Account for each Participant reflecting Elective Deferrals made for the Participant’s benefit and any distributions to the Participant, together with any adjustments for Earnings. The Plan Administrator shall provide the Participant as soon as practicable after the end of the Plan Year with a statement of his or her Account as of the last business day of the Plan Year, reflecting the amounts of deferrals, Earnings, and distributions of such Account since the prior statement.</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5.2</w:t>
      </w:r>
      <w:bookmarkStart w:id="972" w:name="TAB292"/>
      <w:bookmarkEnd w:id="972"/>
      <w:r>
        <w:rPr>
          <w:color w:val="000000"/>
          <w:spacing w:val="540"/>
        </w:rPr>
        <w:t> </w:t>
      </w:r>
      <w:r>
        <w:rPr>
          <w:rStyle w:val="StrongEmphasis"/>
          <w:rFonts w:ascii="Times New Roman" w:hAnsi="Times New Roman"/>
          <w:sz w:val="20"/>
        </w:rPr>
        <w:t>Earnings Credited</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Each Participant’s Account shall be adjusted at the end of each Plan Year for Earnings, which shall be calculated at a rate equal to the Company’s long-term borrowing cost in effect during the Plan Year plus one percent.</w:t>
      </w:r>
    </w:p>
    <w:p>
      <w:pPr>
        <w:pStyle w:val="TextBody"/>
        <w:spacing w:lineRule="auto" w:line="300" w:before="0" w:after="0"/>
        <w:ind w:left="0" w:right="0" w:hanging="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73" w:name="PGBRK33"/>
      <w:bookmarkStart w:id="974" w:name="PGBRK33"/>
      <w:bookmarkEnd w:id="9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5" w:name="FTR33"/>
      <w:bookmarkStart w:id="976" w:name="FTR33"/>
      <w:bookmarkEnd w:id="9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7" w:name="GLFTR33"/>
      <w:bookmarkStart w:id="978" w:name="GLFTR33"/>
      <w:bookmarkEnd w:id="9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979" w:name="PN33"/>
      <w:bookmarkEnd w:id="979"/>
      <w:r>
        <w:rPr>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0" w:name="HDR33"/>
      <w:bookmarkStart w:id="981" w:name="HDR33"/>
      <w:bookmarkEnd w:id="9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2" w:name="GLHDR33"/>
      <w:bookmarkStart w:id="983" w:name="GLHDR33"/>
      <w:bookmarkEnd w:id="9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t> </w:t>
      </w:r>
    </w:p>
    <w:p>
      <w:pPr>
        <w:pStyle w:val="TextBody"/>
        <w:spacing w:lineRule="auto" w:line="300" w:before="0" w:after="0"/>
        <w:ind w:left="0" w:right="0" w:hanging="0"/>
        <w:jc w:val="left"/>
        <w:rPr/>
      </w:pPr>
      <w:r>
        <w:rPr>
          <w:rStyle w:val="StrongEmphasis"/>
          <w:rFonts w:ascii="Times New Roman" w:hAnsi="Times New Roman"/>
          <w:sz w:val="20"/>
        </w:rPr>
        <w:t>ARTICLE 6 - VESTING</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6.1</w:t>
      </w:r>
      <w:bookmarkStart w:id="984" w:name="TAB293"/>
      <w:bookmarkEnd w:id="984"/>
      <w:r>
        <w:rPr>
          <w:color w:val="000000"/>
          <w:spacing w:val="540"/>
        </w:rPr>
        <w:t> </w:t>
      </w:r>
      <w:r>
        <w:rPr>
          <w:rStyle w:val="StrongEmphasis"/>
          <w:rFonts w:ascii="Times New Roman" w:hAnsi="Times New Roman"/>
          <w:sz w:val="20"/>
        </w:rPr>
        <w:t>General</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A Participant shall be immediately vested in and, subject to Participant’s elections as to time and form of payment under Section 7.1, shall have a nonforfeitable right to, all Elective Deferrals and all Earnings attributable thereto credited to his or her Account.</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ARTICLE 7 - PAYMENTS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7.1</w:t>
      </w:r>
      <w:bookmarkStart w:id="985" w:name="TAB294"/>
      <w:bookmarkEnd w:id="985"/>
      <w:r>
        <w:rPr>
          <w:color w:val="000000"/>
          <w:spacing w:val="540"/>
        </w:rPr>
        <w:t> </w:t>
      </w:r>
      <w:r>
        <w:rPr>
          <w:rStyle w:val="StrongEmphasis"/>
          <w:rFonts w:ascii="Times New Roman" w:hAnsi="Times New Roman"/>
          <w:sz w:val="20"/>
        </w:rPr>
        <w:t>Election as to Time and Form of Payment</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A Participant shall elect on the Election Form the date at which the Elective Deferrals (including any Earnings attributable thereto) will commence to be paid to the Participant. Such date must be at least five years following the date at which such Elective Deferrals commence or the date of Separation from Service.</w:t>
      </w:r>
    </w:p>
    <w:p>
      <w:pPr>
        <w:pStyle w:val="TextBody"/>
        <w:spacing w:lineRule="auto" w:line="300" w:before="0" w:after="0"/>
        <w:ind w:left="0" w:right="0" w:hanging="0"/>
        <w:jc w:val="left"/>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Participant shall also elect thereon for payments to be paid in either:</w:t>
      </w:r>
    </w:p>
    <w:p>
      <w:pPr>
        <w:pStyle w:val="TextBody"/>
        <w:spacing w:lineRule="auto" w:line="300" w:before="0" w:after="0"/>
        <w:ind w:left="0" w:right="0" w:hanging="0"/>
        <w:jc w:val="left"/>
        <w:rPr/>
      </w:pPr>
      <w:r>
        <w:rPr/>
        <w:t> </w:t>
      </w:r>
    </w:p>
    <w:p>
      <w:pPr>
        <w:pStyle w:val="Normal"/>
        <w:spacing w:before="0" w:after="0"/>
        <w:rPr>
          <w:sz w:val="4"/>
          <w:szCs w:val="4"/>
        </w:rPr>
      </w:pPr>
      <w:r>
        <w:rPr>
          <w:sz w:val="4"/>
          <w:szCs w:val="4"/>
        </w:rPr>
      </w:r>
      <w:bookmarkStart w:id="986" w:name="hangingindent8"/>
      <w:bookmarkStart w:id="987" w:name="hangingindent8"/>
      <w:bookmarkEnd w:id="987"/>
    </w:p>
    <w:tbl>
      <w:tblPr>
        <w:tblW w:w="5000" w:type="pct"/>
        <w:jc w:val="center"/>
        <w:tblInd w:w="0" w:type="dxa"/>
        <w:tblCellMar>
          <w:top w:w="0" w:type="dxa"/>
          <w:left w:w="0" w:type="dxa"/>
          <w:bottom w:w="0" w:type="dxa"/>
          <w:right w:w="0" w:type="dxa"/>
        </w:tblCellMar>
      </w:tblPr>
      <w:tblGrid>
        <w:gridCol w:w="825"/>
        <w:gridCol w:w="9380"/>
      </w:tblGrid>
      <w:tr>
        <w:trPr/>
        <w:tc>
          <w:tcPr>
            <w:tcW w:w="825"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9380" w:type="dxa"/>
            <w:tcBorders/>
            <w:shd w:fill="auto" w:val="clear"/>
          </w:tcPr>
          <w:p>
            <w:pPr>
              <w:pStyle w:val="TableContents"/>
              <w:spacing w:before="0" w:after="283"/>
              <w:rPr>
                <w:rFonts w:ascii="Times New Roman" w:hAnsi="Times New Roman"/>
                <w:sz w:val="20"/>
              </w:rPr>
            </w:pPr>
            <w:r>
              <w:rPr>
                <w:rFonts w:ascii="Times New Roman" w:hAnsi="Times New Roman"/>
                <w:sz w:val="20"/>
              </w:rPr>
              <w:t>a single lump sum; or</w:t>
            </w:r>
          </w:p>
        </w:tc>
      </w:tr>
    </w:tbl>
    <w:p>
      <w:pPr>
        <w:pStyle w:val="Normal"/>
        <w:spacing w:before="0" w:after="0"/>
        <w:rPr>
          <w:sz w:val="4"/>
          <w:szCs w:val="4"/>
        </w:rPr>
      </w:pPr>
      <w:r>
        <w:rPr>
          <w:sz w:val="4"/>
          <w:szCs w:val="4"/>
        </w:rPr>
      </w:r>
      <w:bookmarkStart w:id="988" w:name="hangingindent9"/>
      <w:bookmarkStart w:id="989" w:name="hangingindent9"/>
      <w:bookmarkEnd w:id="989"/>
    </w:p>
    <w:tbl>
      <w:tblPr>
        <w:tblW w:w="5000" w:type="pct"/>
        <w:jc w:val="center"/>
        <w:tblInd w:w="0" w:type="dxa"/>
        <w:tblCellMar>
          <w:top w:w="0" w:type="dxa"/>
          <w:left w:w="0" w:type="dxa"/>
          <w:bottom w:w="0" w:type="dxa"/>
          <w:right w:w="0" w:type="dxa"/>
        </w:tblCellMar>
      </w:tblPr>
      <w:tblGrid>
        <w:gridCol w:w="169"/>
        <w:gridCol w:w="10036"/>
      </w:tblGrid>
      <w:tr>
        <w:trPr/>
        <w:tc>
          <w:tcPr>
            <w:tcW w:w="16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1003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annual installments over a period elected by the Participant up to 15 years, the amount of each installment to equal the balance of his or her Account immediately prior to the installment divided by the number of installments remaining to be paid (“Annual Installments”).</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If Elective Deferrals (including any Earnings attributable thereto) are to be paid upon the Participant’s Separation from Service, such payment will be paid (or begin to be paid) as soon as practicable following the six month anniversary of such Separation from Service. If payments upon Separation from Service are to be made in annual installments, the initial annual installment will be paid as soon as practicable following the six month anniversary of the Participant’s Separation from Service, the second annual installment will be paid as soon as practicable following the one year anniversary of such Separation from Service, and subsequent annual installments will be paid annually thereafter as soon as practicable following the yearly anniversary of such Separation from Service.</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Each such election will be effective only for deferrals (including any Earnings attributable thereto) for the Plan Year for which it is made. Except as otherwise provided in Sections 7.3, 7.4, 7/5. 7.6, 7.7 or 7.8, payment of a Participant’s Account shall be made in accordance with the Participant’s elections under this Section 7.1. Such elections will be irrevocable except as provided in Section 7.2 below.</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7.2</w:t>
      </w:r>
      <w:bookmarkStart w:id="990" w:name="TAB295"/>
      <w:bookmarkEnd w:id="990"/>
      <w:r>
        <w:rPr>
          <w:color w:val="000000"/>
          <w:spacing w:val="540"/>
        </w:rPr>
        <w:t> </w:t>
      </w:r>
      <w:r>
        <w:rPr>
          <w:rStyle w:val="StrongEmphasis"/>
          <w:rFonts w:ascii="Times New Roman" w:hAnsi="Times New Roman"/>
          <w:sz w:val="20"/>
        </w:rPr>
        <w:t>409A Transition Rule Election</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A Participant may elect to change the time and form of payment of Elective Deferrals on or before December 31, 2008 by completing a new Election Form; provided, however, that any new Election Form may only apply to amounts that would not otherwise be payable during 2008 and may not cause an amount to be paid during 2008 that would otherwise not be paid during 2008. For the avoidance of doubt, all elections as to the time and form of payment of Elective Deferrals will be irrevocable on and after January 1, 2009.</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7.3</w:t>
      </w:r>
      <w:bookmarkStart w:id="991" w:name="TAB296"/>
      <w:bookmarkEnd w:id="991"/>
      <w:r>
        <w:rPr>
          <w:color w:val="000000"/>
          <w:spacing w:val="540"/>
        </w:rPr>
        <w:t> </w:t>
      </w:r>
      <w:r>
        <w:rPr>
          <w:rStyle w:val="StrongEmphasis"/>
          <w:rFonts w:ascii="Times New Roman" w:hAnsi="Times New Roman"/>
          <w:sz w:val="20"/>
        </w:rPr>
        <w:t>Change of Control</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Plan will terminate upon a Change of Control that is also a change in the ownership or effective control of the Company (as defined in Treasury Regulation §1.409A-3(i)(5)). Immediately prior to the consummation of a transaction resulting in such a Change of Control or, if not possible, as soon as possible following such a Change of Control, each Participant shall be paid his or her entire Account balance in a single lump sum.</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 xml:space="preserve">7.4 </w:t>
      </w:r>
      <w:bookmarkStart w:id="992" w:name="TAB297"/>
      <w:bookmarkEnd w:id="992"/>
      <w:r>
        <w:rPr>
          <w:color w:val="000000"/>
          <w:spacing w:val="540"/>
        </w:rPr>
        <w:t> </w:t>
      </w:r>
      <w:r>
        <w:rPr>
          <w:rStyle w:val="StrongEmphasis"/>
          <w:rFonts w:ascii="Times New Roman" w:hAnsi="Times New Roman"/>
          <w:sz w:val="20"/>
        </w:rPr>
        <w:t>Separation from Service Prior to Age 55</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 xml:space="preserve">Upon a Participant’s Separation from Service for any reason other than death prior to the attainment of age 55, the Participant’s entire Account shall be paid to the Participant in a single lump sum as soon as practicable following the six month anniversary of such Separation from Service. </w:t>
      </w:r>
    </w:p>
    <w:p>
      <w:pPr>
        <w:pStyle w:val="TextBody"/>
        <w:spacing w:lineRule="auto" w:line="300" w:before="0" w:after="0"/>
        <w:ind w:left="0" w:right="0" w:hanging="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93" w:name="PGBRK34"/>
      <w:bookmarkStart w:id="994" w:name="PGBRK34"/>
      <w:bookmarkEnd w:id="9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5" w:name="FTR34"/>
      <w:bookmarkStart w:id="996" w:name="FTR34"/>
      <w:bookmarkEnd w:id="9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7" w:name="GLFTR34"/>
      <w:bookmarkStart w:id="998" w:name="GLFTR34"/>
      <w:bookmarkEnd w:id="9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999" w:name="PN34"/>
      <w:bookmarkEnd w:id="999"/>
      <w:r>
        <w:rPr>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0" w:name="HDR34"/>
      <w:bookmarkStart w:id="1001" w:name="HDR34"/>
      <w:bookmarkEnd w:id="10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2" w:name="GLHDR34"/>
      <w:bookmarkStart w:id="1003" w:name="GLHDR34"/>
      <w:bookmarkEnd w:id="10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t> </w:t>
      </w:r>
    </w:p>
    <w:p>
      <w:pPr>
        <w:pStyle w:val="TextBody"/>
        <w:spacing w:lineRule="auto" w:line="300" w:before="0" w:after="0"/>
        <w:ind w:left="0" w:right="0" w:hanging="0"/>
        <w:jc w:val="left"/>
        <w:rPr/>
      </w:pPr>
      <w:r>
        <w:rPr>
          <w:rStyle w:val="StrongEmphasis"/>
          <w:rFonts w:ascii="Times New Roman" w:hAnsi="Times New Roman"/>
          <w:sz w:val="20"/>
        </w:rPr>
        <w:t>7.5</w:t>
      </w:r>
      <w:bookmarkStart w:id="1004" w:name="TAB298"/>
      <w:bookmarkEnd w:id="1004"/>
      <w:r>
        <w:rPr>
          <w:color w:val="000000"/>
          <w:spacing w:val="540"/>
        </w:rPr>
        <w:t> </w:t>
      </w:r>
      <w:r>
        <w:rPr>
          <w:rStyle w:val="StrongEmphasis"/>
          <w:rFonts w:ascii="Times New Roman" w:hAnsi="Times New Roman"/>
          <w:sz w:val="20"/>
        </w:rPr>
        <w:t>Separation from Service at or after Age 55</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Upon a Participant’s Separation from Service for any reason other than death at or after the attainment of age 55, the Participant’s Account shall be paid (or begin to be paid) to the Participant in the form elected by the Participant under Section 7.1 as soon as practicable following the six month anniversary of such Separation from Service.</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 xml:space="preserve">7.6 </w:t>
      </w:r>
      <w:bookmarkStart w:id="1005" w:name="TAB299"/>
      <w:bookmarkEnd w:id="1005"/>
      <w:r>
        <w:rPr>
          <w:color w:val="000000"/>
          <w:spacing w:val="540"/>
        </w:rPr>
        <w:t> </w:t>
      </w:r>
      <w:r>
        <w:rPr>
          <w:rStyle w:val="StrongEmphasis"/>
          <w:rFonts w:ascii="Times New Roman" w:hAnsi="Times New Roman"/>
          <w:sz w:val="20"/>
        </w:rPr>
        <w:t>Disability</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If a Participant suffers a Total and Permanent Disability prior to the complete distribution of his or her Account balance, the following provisions shall apply:</w:t>
      </w:r>
    </w:p>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1006" w:name="hangingindent10"/>
      <w:bookmarkStart w:id="1007" w:name="hangingindent10"/>
      <w:bookmarkEnd w:id="1007"/>
    </w:p>
    <w:tbl>
      <w:tblPr>
        <w:tblW w:w="5000" w:type="pct"/>
        <w:jc w:val="center"/>
        <w:tblInd w:w="0" w:type="dxa"/>
        <w:tblCellMar>
          <w:top w:w="0" w:type="dxa"/>
          <w:left w:w="0" w:type="dxa"/>
          <w:bottom w:w="0" w:type="dxa"/>
          <w:right w:w="0" w:type="dxa"/>
        </w:tblCellMar>
      </w:tblPr>
      <w:tblGrid>
        <w:gridCol w:w="154"/>
        <w:gridCol w:w="10051"/>
      </w:tblGrid>
      <w:tr>
        <w:trPr/>
        <w:tc>
          <w:tcPr>
            <w:tcW w:w="15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1005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If the Participant is receiving disability benefits under the Company’s short-term or long-term disability plan, the Participant will be treated as actively employed and payment from the Participant’s account shall not be made. The Participant may, at his or her election, apply for payment because of Unforeseen Emergency under Section 7.8.</w:t>
            </w:r>
          </w:p>
        </w:tc>
      </w:tr>
    </w:tbl>
    <w:p>
      <w:pPr>
        <w:pStyle w:val="Normal"/>
        <w:spacing w:before="0" w:after="0"/>
        <w:rPr>
          <w:sz w:val="4"/>
          <w:szCs w:val="4"/>
        </w:rPr>
      </w:pPr>
      <w:r>
        <w:rPr>
          <w:sz w:val="4"/>
          <w:szCs w:val="4"/>
        </w:rPr>
      </w:r>
      <w:bookmarkStart w:id="1008" w:name="hangingindent11"/>
      <w:bookmarkStart w:id="1009" w:name="hangingindent11"/>
      <w:bookmarkEnd w:id="1009"/>
    </w:p>
    <w:tbl>
      <w:tblPr>
        <w:tblW w:w="5000" w:type="pct"/>
        <w:jc w:val="center"/>
        <w:tblInd w:w="0" w:type="dxa"/>
        <w:tblCellMar>
          <w:top w:w="0" w:type="dxa"/>
          <w:left w:w="0" w:type="dxa"/>
          <w:bottom w:w="0" w:type="dxa"/>
          <w:right w:w="0" w:type="dxa"/>
        </w:tblCellMar>
      </w:tblPr>
      <w:tblGrid>
        <w:gridCol w:w="169"/>
        <w:gridCol w:w="10036"/>
      </w:tblGrid>
      <w:tr>
        <w:trPr/>
        <w:tc>
          <w:tcPr>
            <w:tcW w:w="16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1003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If disability benefits under the Company’s disability plans cease due to recovery from the Total and Permanent Disability, and the Participant does not return to employment with an Employer, the Participant’s Account shall be paid to the Participant as provided in Section 7.4 or 7.5.</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7.7</w:t>
      </w:r>
      <w:bookmarkStart w:id="1010" w:name="TAB2100"/>
      <w:bookmarkEnd w:id="1010"/>
      <w:r>
        <w:rPr>
          <w:color w:val="000000"/>
          <w:spacing w:val="540"/>
        </w:rPr>
        <w:t> </w:t>
      </w:r>
      <w:r>
        <w:rPr>
          <w:rStyle w:val="StrongEmphasis"/>
          <w:rFonts w:ascii="Times New Roman" w:hAnsi="Times New Roman"/>
          <w:sz w:val="20"/>
        </w:rPr>
        <w:t xml:space="preserve">Death </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If a Participant dies prior to the complete distribution of his or her Account, the balance of the Account shall be paid, according to the Participant’s irrevocable election on the Election Form, in the form elected by the Participant to the Participant’s designated beneficiary or beneficiaries.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Any designation of beneficiary shall be made by the Participant on a designation/change of beneficiary form filed with the Plan Administrator and may be changed by the Participant at any time by filing another designation/change of beneficiary form containing the revised instructions. If no beneficiary is designated or no designated beneficiary survives the Participant, payment shall be made to the Participant’s surviving spouse, or, if none, to his or her issue per stirpes, in a single payment. If no spouse or issue survives the Participant payment shall be made in a single lump sum to the Participant’s estate.</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7.8</w:t>
      </w:r>
      <w:bookmarkStart w:id="1011" w:name="TAB2101"/>
      <w:bookmarkEnd w:id="1011"/>
      <w:r>
        <w:rPr>
          <w:color w:val="000000"/>
          <w:spacing w:val="540"/>
        </w:rPr>
        <w:t> </w:t>
      </w:r>
      <w:r>
        <w:rPr>
          <w:rStyle w:val="StrongEmphasis"/>
          <w:rFonts w:ascii="Times New Roman" w:hAnsi="Times New Roman"/>
          <w:sz w:val="20"/>
        </w:rPr>
        <w:t>Unforeseen Emergency</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If a Participant suffers an Unforeseen Emergency, as defined herein, the Plan Administrator, in its sole discretion, may pay to the Participant only that portion, if any, of his or her Account which the Plan Administrator determines is necessary to satisfy the emergency need, including at the discretion of the Plan Administrator any amounts necessary to pay any federal, state and local income taxes reasonably anticipated to result from the distribution.</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A Participant requesting emergency payment shall apply for the payment in writing in a form approved by the Plan Administrator and shall provide such additional information as the Plan Administrator may require. For purposes of this section, Unforeseen Emergency means a severe financial hardship resulting from any of the following:</w:t>
      </w:r>
    </w:p>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1012" w:name="hangingindent12"/>
      <w:bookmarkStart w:id="1013" w:name="hangingindent12"/>
      <w:bookmarkEnd w:id="1013"/>
    </w:p>
    <w:tbl>
      <w:tblPr>
        <w:tblW w:w="5000" w:type="pct"/>
        <w:jc w:val="center"/>
        <w:tblInd w:w="0" w:type="dxa"/>
        <w:tblCellMar>
          <w:top w:w="0" w:type="dxa"/>
          <w:left w:w="0" w:type="dxa"/>
          <w:bottom w:w="0" w:type="dxa"/>
          <w:right w:w="0" w:type="dxa"/>
        </w:tblCellMar>
      </w:tblPr>
      <w:tblGrid>
        <w:gridCol w:w="154"/>
        <w:gridCol w:w="10051"/>
      </w:tblGrid>
      <w:tr>
        <w:trPr/>
        <w:tc>
          <w:tcPr>
            <w:tcW w:w="15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1005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an illness or accident of the Participant, the Participant’s spouse or the Participant’s dependent (as defined in Code Section 152(a);</w:t>
            </w:r>
          </w:p>
        </w:tc>
      </w:tr>
    </w:tbl>
    <w:p>
      <w:pPr>
        <w:pStyle w:val="Normal"/>
        <w:spacing w:before="0" w:after="0"/>
        <w:rPr>
          <w:sz w:val="4"/>
          <w:szCs w:val="4"/>
        </w:rPr>
      </w:pPr>
      <w:r>
        <w:rPr>
          <w:sz w:val="4"/>
          <w:szCs w:val="4"/>
        </w:rPr>
      </w:r>
      <w:bookmarkStart w:id="1014" w:name="hangingindent13"/>
      <w:bookmarkStart w:id="1015" w:name="hangingindent13"/>
      <w:bookmarkEnd w:id="1015"/>
    </w:p>
    <w:tbl>
      <w:tblPr>
        <w:tblW w:w="5000" w:type="pct"/>
        <w:jc w:val="center"/>
        <w:tblInd w:w="0" w:type="dxa"/>
        <w:tblCellMar>
          <w:top w:w="0" w:type="dxa"/>
          <w:left w:w="0" w:type="dxa"/>
          <w:bottom w:w="0" w:type="dxa"/>
          <w:right w:w="0" w:type="dxa"/>
        </w:tblCellMar>
      </w:tblPr>
      <w:tblGrid>
        <w:gridCol w:w="169"/>
        <w:gridCol w:w="10036"/>
      </w:tblGrid>
      <w:tr>
        <w:trPr/>
        <w:tc>
          <w:tcPr>
            <w:tcW w:w="16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1003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loss of the Participant’s property due to casualty (including the need to rebuild a home following damage to a home not otherwise covered by insurance, for example, as a result of a natural disaster); or</w:t>
            </w:r>
          </w:p>
        </w:tc>
      </w:tr>
    </w:tbl>
    <w:p>
      <w:pPr>
        <w:pStyle w:val="Normal"/>
        <w:spacing w:before="0" w:after="0"/>
        <w:rPr>
          <w:sz w:val="4"/>
          <w:szCs w:val="4"/>
        </w:rPr>
      </w:pPr>
      <w:r>
        <w:rPr>
          <w:sz w:val="4"/>
          <w:szCs w:val="4"/>
        </w:rPr>
      </w:r>
      <w:bookmarkStart w:id="1016" w:name="hangingindent14"/>
      <w:bookmarkStart w:id="1017" w:name="hangingindent14"/>
      <w:bookmarkEnd w:id="1017"/>
    </w:p>
    <w:tbl>
      <w:tblPr>
        <w:tblW w:w="5000" w:type="pct"/>
        <w:jc w:val="center"/>
        <w:tblInd w:w="0" w:type="dxa"/>
        <w:tblCellMar>
          <w:top w:w="0" w:type="dxa"/>
          <w:left w:w="0" w:type="dxa"/>
          <w:bottom w:w="0" w:type="dxa"/>
          <w:right w:w="0" w:type="dxa"/>
        </w:tblCellMar>
      </w:tblPr>
      <w:tblGrid>
        <w:gridCol w:w="154"/>
        <w:gridCol w:w="10051"/>
      </w:tblGrid>
      <w:tr>
        <w:trPr/>
        <w:tc>
          <w:tcPr>
            <w:tcW w:w="15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w:t>
            </w:r>
          </w:p>
        </w:tc>
        <w:tc>
          <w:tcPr>
            <w:tcW w:w="1005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other similar extraordinary and unforeseeable circumstances arising as a result of events beyond the control of the Participant.</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7.9</w:t>
      </w:r>
      <w:bookmarkStart w:id="1018" w:name="TAB2102"/>
      <w:bookmarkEnd w:id="1018"/>
      <w:r>
        <w:rPr>
          <w:color w:val="000000"/>
          <w:spacing w:val="540"/>
        </w:rPr>
        <w:t> </w:t>
      </w:r>
      <w:r>
        <w:rPr>
          <w:rStyle w:val="StrongEmphasis"/>
          <w:rFonts w:ascii="Times New Roman" w:hAnsi="Times New Roman"/>
          <w:sz w:val="20"/>
        </w:rPr>
        <w:t>Taxes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All federal, state and local taxes that the Plan Administrator determines are required to be withheld from any payments made pursuant to this Article 7 shall be withheld.</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7.10</w:t>
      </w:r>
      <w:bookmarkStart w:id="1019" w:name="TAB2103"/>
      <w:bookmarkEnd w:id="1019"/>
      <w:r>
        <w:rPr>
          <w:color w:val="000000"/>
          <w:spacing w:val="540"/>
        </w:rPr>
        <w:t> </w:t>
      </w:r>
      <w:r>
        <w:rPr>
          <w:rStyle w:val="StrongEmphasis"/>
          <w:rFonts w:ascii="Times New Roman" w:hAnsi="Times New Roman"/>
          <w:sz w:val="20"/>
        </w:rPr>
        <w:t>Claims Procedure</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A Claimant may file a claim for benefits with the Plan Administrator, in such form as permitted by the Plan Administrator. The claim will be evaluated and a decision rendered within ninety (90) days, unless special circumstances require an additional ninety (90) day extension of time.</w:t>
      </w:r>
    </w:p>
    <w:p>
      <w:pPr>
        <w:pStyle w:val="TextBody"/>
        <w:spacing w:lineRule="auto" w:line="300" w:before="0" w:after="0"/>
        <w:ind w:left="0" w:right="0" w:hanging="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20" w:name="PGBRK35"/>
      <w:bookmarkStart w:id="1021" w:name="PGBRK35"/>
      <w:bookmarkEnd w:id="10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2" w:name="FTR35"/>
      <w:bookmarkStart w:id="1023" w:name="FTR35"/>
      <w:bookmarkEnd w:id="10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4" w:name="GLFTR35"/>
      <w:bookmarkStart w:id="1025" w:name="GLFTR35"/>
      <w:bookmarkEnd w:id="10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026" w:name="PN35"/>
      <w:bookmarkEnd w:id="1026"/>
      <w:r>
        <w:rPr>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7" w:name="HDR35"/>
      <w:bookmarkStart w:id="1028" w:name="HDR35"/>
      <w:bookmarkEnd w:id="10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9" w:name="GLHDR35"/>
      <w:bookmarkStart w:id="1030" w:name="GLHDR35"/>
      <w:bookmarkEnd w:id="10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A Claimant shall be given written notice of whether the claim is granted or denied, in whole or in part, including (1) specific reasons for the denial, (2) references to pertinent Plan provisions on which the denial is based, (3) a description of any additional material or information necessary to perfect the claim and explanation as to why necessary, and (4) the Claimant’s right to seek review of the denial.</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If denied, in whole or in part, the Claimant may make a written request for review of such denial to the Plan Administrator within 60 days after receipt of the denial, and may include pertinent documents, issues and comments to aid the Plan Administrator. The request will be evaluated and a decision rendered within sixty (60) days, unless special circumstances require an additional sixty (60) day extension of time. The written decision will specify reasons for the decision and references to Plan provisions upon which the decision is based.</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A Claimant who fails to file a claim, or submit a timely request for review of an initial claim shall have no right to review and shall have no right to bring action in any court. The denial of the claim shall be final and binding on all persons for all purposes.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7.11</w:t>
      </w:r>
      <w:bookmarkStart w:id="1031" w:name="TAB2104"/>
      <w:bookmarkEnd w:id="1031"/>
      <w:r>
        <w:rPr>
          <w:color w:val="000000"/>
          <w:spacing w:val="540"/>
        </w:rPr>
        <w:t> </w:t>
      </w:r>
      <w:r>
        <w:rPr>
          <w:rStyle w:val="StrongEmphasis"/>
          <w:rFonts w:ascii="Times New Roman" w:hAnsi="Times New Roman"/>
          <w:sz w:val="20"/>
        </w:rPr>
        <w:t>Section 162(m) Limitations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In the event that any amount to be paid pursuant to Section 7.1, 7.4, 7.5, 7.6, 7.7 or 7.8 would, in the Company’s judgment, result in the non-deductibility, under Section 162(m) of the code, of any portion of such Participant’s income payable by or attributable to the Company for the year in which such amount is to be paid, such amount shall not be paid in such year. Such nondeductible amount shall be payable in the following calendar year, as an addition to the annual installment scheduled to be paid in such following calendar year, if applicable, subject to the provisions of this Section 7.10.</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ARTICLE 8 - PLAN ADMINISTRATOR</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8.1</w:t>
      </w:r>
      <w:bookmarkStart w:id="1032" w:name="TAB2105"/>
      <w:bookmarkEnd w:id="1032"/>
      <w:r>
        <w:rPr>
          <w:color w:val="000000"/>
          <w:spacing w:val="540"/>
        </w:rPr>
        <w:t> </w:t>
      </w:r>
      <w:r>
        <w:rPr>
          <w:rStyle w:val="StrongEmphasis"/>
          <w:rFonts w:ascii="Times New Roman" w:hAnsi="Times New Roman"/>
          <w:sz w:val="20"/>
        </w:rPr>
        <w:t>Plan Administration and Interpretation</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Plan Administrator shall oversee the administration of the Plan. The Plan Administrator shall have complete control and authority to determine the rights and benefits and all claims, demands and actions arising out of the provisions of the Plan of any Participant, beneficiary, deceased Participant, or other person having or claiming to have any interest under the Plan. The Plan Administrator shall have complete discretion to interpret the Plan and to decide all matters under the Plan. Such interpretation and decision shall be final, conclusive and binding on all Participants and any person claiming under or through any Participant, in the absence of clear and convincing evidence that the Plan Administrator acted arbitrarily and capriciously. Any individual(s) serving as Plan Administrator who is a Participant will not vote or act on any matter relating solely to himself or herself. In such case, the Company will appoint an individual to act as Plan Administrator to take such actions. When making a determination or calculation, the Plan Administrator shall be entitled to rely on information furnished by a Participant, a beneficiary or the Company. The Plan Administrator shall have the responsibility for complying with any reporting and disclosure requirements of ERISA.</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8.2.</w:t>
      </w:r>
      <w:bookmarkStart w:id="1033" w:name="TAB2106"/>
      <w:bookmarkEnd w:id="1033"/>
      <w:r>
        <w:rPr>
          <w:color w:val="000000"/>
          <w:spacing w:val="540"/>
        </w:rPr>
        <w:t> </w:t>
      </w:r>
      <w:r>
        <w:rPr>
          <w:rStyle w:val="StrongEmphasis"/>
          <w:rFonts w:ascii="Times New Roman" w:hAnsi="Times New Roman"/>
          <w:sz w:val="20"/>
        </w:rPr>
        <w:t>Powers, Duties, Procedures, Etc.</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Plan Administrator shall have such powers and duties, may adopt such rules and tables, may act in accordance with such procedures, may appoint such officers or agents, may delegate such powers and duties, may receive such reimbursements, and shall follow such claims and appeal procedures with respect to the Plan as it may establish.</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8.3</w:t>
      </w:r>
      <w:bookmarkStart w:id="1034" w:name="TAB2107"/>
      <w:bookmarkEnd w:id="1034"/>
      <w:r>
        <w:rPr>
          <w:color w:val="000000"/>
          <w:spacing w:val="540"/>
        </w:rPr>
        <w:t> </w:t>
      </w:r>
      <w:r>
        <w:rPr>
          <w:rStyle w:val="StrongEmphasis"/>
          <w:rFonts w:ascii="Times New Roman" w:hAnsi="Times New Roman"/>
          <w:sz w:val="20"/>
        </w:rPr>
        <w:t>Information</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To enable the Plan Administrator to perform its functions, the Company shall supply full and timely information to the Plan Administrator on all matters relating to the compensation of Participants, their employment, retirement, death, Separation from Service, and such other pertinent facts as the Plan Administrator may require.</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8.4</w:t>
      </w:r>
      <w:bookmarkStart w:id="1035" w:name="TAB2108"/>
      <w:bookmarkEnd w:id="1035"/>
      <w:r>
        <w:rPr>
          <w:color w:val="000000"/>
          <w:spacing w:val="540"/>
        </w:rPr>
        <w:t> </w:t>
      </w:r>
      <w:r>
        <w:rPr>
          <w:rStyle w:val="StrongEmphasis"/>
          <w:rFonts w:ascii="Times New Roman" w:hAnsi="Times New Roman"/>
          <w:sz w:val="20"/>
        </w:rPr>
        <w:t>Indemnification of Plan Administrator</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Company agrees to indemnify and to defend to the fullest extent permitted by law any officer(s) or employee(s) who serve as Plan Administrator (including any such individual, whether a present or former employee, who formerly served as Plan Administrator) against all liabilities, damages, costs and expenses (including attorneys’ fees and amounts paid in settlement of any claims approved by the Company) occasioned by any act or omission to act in connection with the Plan, if such act or omission is in good faith.</w:t>
      </w:r>
    </w:p>
    <w:p>
      <w:pPr>
        <w:pStyle w:val="TextBody"/>
        <w:spacing w:lineRule="auto" w:line="300" w:before="0" w:after="0"/>
        <w:ind w:left="0" w:right="0" w:hanging="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36" w:name="PGBRK36"/>
      <w:bookmarkStart w:id="1037" w:name="PGBRK36"/>
      <w:bookmarkEnd w:id="10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8" w:name="FTR36"/>
      <w:bookmarkStart w:id="1039" w:name="FTR36"/>
      <w:bookmarkEnd w:id="10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0" w:name="GLFTR36"/>
      <w:bookmarkStart w:id="1041" w:name="GLFTR36"/>
      <w:bookmarkEnd w:id="10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042" w:name="PN36"/>
      <w:bookmarkEnd w:id="1042"/>
      <w:r>
        <w:rPr>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3" w:name="HDR36"/>
      <w:bookmarkStart w:id="1044" w:name="HDR36"/>
      <w:bookmarkEnd w:id="10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5" w:name="GLHDR36"/>
      <w:bookmarkStart w:id="1046" w:name="GLHDR36"/>
      <w:bookmarkEnd w:id="10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rStyle w:val="StrongEmphasis"/>
          <w:rFonts w:ascii="Times New Roman" w:hAnsi="Times New Roman"/>
          <w:sz w:val="20"/>
        </w:rPr>
        <w:t>ARTICLE 9 - AMENDMENT AND TERMINATION</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9.1</w:t>
      </w:r>
      <w:bookmarkStart w:id="1047" w:name="TAB2109"/>
      <w:bookmarkEnd w:id="1047"/>
      <w:r>
        <w:rPr>
          <w:color w:val="000000"/>
          <w:spacing w:val="540"/>
        </w:rPr>
        <w:t> </w:t>
      </w:r>
      <w:r>
        <w:rPr>
          <w:rStyle w:val="StrongEmphasis"/>
          <w:rFonts w:ascii="Times New Roman" w:hAnsi="Times New Roman"/>
          <w:sz w:val="20"/>
        </w:rPr>
        <w:t>Amendments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Company shall have the right to amend the Plan from time to time, subject to Section 9.3, by an instrument in writing which has been executed on the Company’s behalf by its Chief Executive Officer or another executive officer of the Company, with the specific approval of the board of directors or an authorized committee of the board of directors.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9.2</w:t>
      </w:r>
      <w:bookmarkStart w:id="1048" w:name="TAB2110"/>
      <w:bookmarkEnd w:id="1048"/>
      <w:r>
        <w:rPr>
          <w:color w:val="000000"/>
          <w:spacing w:val="540"/>
        </w:rPr>
        <w:t> </w:t>
      </w:r>
      <w:r>
        <w:rPr>
          <w:rStyle w:val="StrongEmphasis"/>
          <w:rFonts w:ascii="Times New Roman" w:hAnsi="Times New Roman"/>
          <w:sz w:val="20"/>
        </w:rPr>
        <w:t>Termination of Plan</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This Plan is strictly a voluntary undertaking on the part of the Company and shall not be deemed to constitute a contract between the Company and any Eligible Employee or Director (or any other employee) or a consideration for or condition of employment or an inducement for the performance of services by an Eligible Employee or Director (or other employee). The Company reserves the right to terminate the Plan at any time, subject to Section 9.3, by an instrument in writing which has been executed on the Company’s behalf by its Chief Executive Officer or another executive officer of the Company, with the specific approval of the board of directors or an authorized committee of the board of directors; provided, however, that distributions upon termination may only occur in accordance with Treasury Regulation §1.409A-3. In addition, the Plan shall terminate upon a Change of Control in accordance with Section 7.3.</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9.3</w:t>
      </w:r>
      <w:bookmarkStart w:id="1049" w:name="TAB2111"/>
      <w:bookmarkEnd w:id="1049"/>
      <w:r>
        <w:rPr>
          <w:color w:val="000000"/>
          <w:spacing w:val="540"/>
        </w:rPr>
        <w:t> </w:t>
      </w:r>
      <w:r>
        <w:rPr>
          <w:rStyle w:val="StrongEmphasis"/>
          <w:rFonts w:ascii="Times New Roman" w:hAnsi="Times New Roman"/>
          <w:sz w:val="20"/>
        </w:rPr>
        <w:t>Existing Rights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No amendment or termination of the Plan shall adversely affect the rights of any Participant with respect to amounts that have been credited to his or her Account prior to the date of such amendment or termination.</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ARTICLE 10 - MISCELLANEOUS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10.1</w:t>
      </w:r>
      <w:bookmarkStart w:id="1050" w:name="TAB2112"/>
      <w:bookmarkEnd w:id="1050"/>
      <w:r>
        <w:rPr>
          <w:color w:val="000000"/>
          <w:spacing w:val="540"/>
        </w:rPr>
        <w:t> </w:t>
      </w:r>
      <w:r>
        <w:rPr>
          <w:rStyle w:val="StrongEmphasis"/>
          <w:rFonts w:ascii="Times New Roman" w:hAnsi="Times New Roman"/>
          <w:sz w:val="20"/>
        </w:rPr>
        <w:t>No Funding</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Plan constitutes a mere promise by the Company to make payments in accordance with the terms of the Plan and Participants and beneficiaries shall have the status of general unsecured creditors of the Company. Nothing in the Plan will be construed to give any employee or any other person rights to any specific assets of the Company or of any other person. In all events, it is the intent of the Company that the Plan be treated as unfunded for tax purposes and for purposes of Title I of ERISA.</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10.2</w:t>
      </w:r>
      <w:bookmarkStart w:id="1051" w:name="TAB2113"/>
      <w:bookmarkEnd w:id="1051"/>
      <w:r>
        <w:rPr>
          <w:color w:val="000000"/>
          <w:spacing w:val="540"/>
        </w:rPr>
        <w:t> </w:t>
      </w:r>
      <w:r>
        <w:rPr>
          <w:rStyle w:val="StrongEmphasis"/>
          <w:rFonts w:ascii="Times New Roman" w:hAnsi="Times New Roman"/>
          <w:sz w:val="20"/>
        </w:rPr>
        <w:t>Non-assignability</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None of the benefits, payments, proceeds or claims of any Participant or beneficiary shall be subject to any claim of any creditor of any Participant or beneficiary, nor shall any Participant or beneficiary have any right to alienate, anticipate, commute, pledge, encumber or assign any of the benefits or payments or proceeds which he or she may expect to receive, contingently or otherwise, under the Plan.</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10.3</w:t>
      </w:r>
      <w:bookmarkStart w:id="1052" w:name="TAB2114"/>
      <w:bookmarkEnd w:id="1052"/>
      <w:r>
        <w:rPr>
          <w:color w:val="000000"/>
          <w:spacing w:val="540"/>
        </w:rPr>
        <w:t> </w:t>
      </w:r>
      <w:r>
        <w:rPr>
          <w:rStyle w:val="StrongEmphasis"/>
          <w:rFonts w:ascii="Times New Roman" w:hAnsi="Times New Roman"/>
          <w:sz w:val="20"/>
        </w:rPr>
        <w:t>Limitation of Participant’s Rights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Nothing contained in the Plan shall confer upon any person a right to be employed or to continue in the employ of an Employer, or interfere in any way with the right of an Employer to terminate the employment of a Participant in the Plan at any time, with or without cause.</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10.4</w:t>
      </w:r>
      <w:bookmarkStart w:id="1053" w:name="TAB2115"/>
      <w:bookmarkEnd w:id="1053"/>
      <w:r>
        <w:rPr>
          <w:color w:val="000000"/>
          <w:spacing w:val="540"/>
        </w:rPr>
        <w:t> </w:t>
      </w:r>
      <w:r>
        <w:rPr>
          <w:rStyle w:val="StrongEmphasis"/>
          <w:rFonts w:ascii="Times New Roman" w:hAnsi="Times New Roman"/>
          <w:sz w:val="20"/>
        </w:rPr>
        <w:t>Participants Bound</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Any action with respect to the Plan taken by the Company or the Plan Administrator or any action authorized by or taken at the direction of the Company or the Plan Administrator shall be conclusive upon all Participants and beneficiaries entitled to benefits under the Plan.</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10.5</w:t>
      </w:r>
      <w:bookmarkStart w:id="1054" w:name="TAB2116"/>
      <w:bookmarkEnd w:id="1054"/>
      <w:r>
        <w:rPr>
          <w:color w:val="000000"/>
          <w:spacing w:val="540"/>
        </w:rPr>
        <w:t> </w:t>
      </w:r>
      <w:r>
        <w:rPr>
          <w:rStyle w:val="StrongEmphasis"/>
          <w:rFonts w:ascii="Times New Roman" w:hAnsi="Times New Roman"/>
          <w:sz w:val="20"/>
        </w:rPr>
        <w:t>Receipt and Release</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Any payment to any Participant or beneficiary in accordance with the provisions of the Plan shall, to the extent thereof, be in satisfaction of claims against the Company and/or the Plan Administrator under the Plan, and the Plan Administrator may require such Participant or beneficiary, as a condition precedent to such payment, to execute a receipt and release to such effect. If any Participant or beneficiary is determined by the Plan Administrator to be incompetent by reason of physical or mental disability, including minority, to give a valid receipt and release, the Plan Administrator may cause payment or payments becoming due to such person to be made to another person for his or her benefit without responsibility on the part of the Plan Administrator or the Company to follow the application of such funds.</w:t>
      </w:r>
    </w:p>
    <w:p>
      <w:pPr>
        <w:pStyle w:val="TextBody"/>
        <w:spacing w:lineRule="auto" w:line="300" w:before="0" w:after="0"/>
        <w:ind w:left="0" w:right="0" w:hanging="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55" w:name="PGBRK37"/>
      <w:bookmarkStart w:id="1056" w:name="PGBRK37"/>
      <w:bookmarkEnd w:id="10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57" w:name="FTR37"/>
      <w:bookmarkStart w:id="1058" w:name="FTR37"/>
      <w:bookmarkEnd w:id="10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59" w:name="GLFTR37"/>
      <w:bookmarkStart w:id="1060" w:name="GLFTR37"/>
      <w:bookmarkEnd w:id="10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061" w:name="PN37"/>
      <w:bookmarkEnd w:id="1061"/>
      <w:r>
        <w:rPr>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62" w:name="HDR37"/>
      <w:bookmarkStart w:id="1063" w:name="HDR37"/>
      <w:bookmarkEnd w:id="10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64" w:name="GLHDR37"/>
      <w:bookmarkStart w:id="1065" w:name="GLHDR37"/>
      <w:bookmarkEnd w:id="10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t> </w:t>
      </w:r>
    </w:p>
    <w:p>
      <w:pPr>
        <w:pStyle w:val="TextBody"/>
        <w:spacing w:lineRule="auto" w:line="300" w:before="0" w:after="0"/>
        <w:ind w:left="0" w:right="0" w:hanging="0"/>
        <w:jc w:val="left"/>
        <w:rPr/>
      </w:pPr>
      <w:r>
        <w:rPr>
          <w:rStyle w:val="StrongEmphasis"/>
          <w:rFonts w:ascii="Times New Roman" w:hAnsi="Times New Roman"/>
          <w:sz w:val="20"/>
        </w:rPr>
        <w:t>10.6</w:t>
      </w:r>
      <w:bookmarkStart w:id="1066" w:name="TAB2117"/>
      <w:bookmarkEnd w:id="1066"/>
      <w:r>
        <w:rPr>
          <w:color w:val="000000"/>
          <w:spacing w:val="540"/>
        </w:rPr>
        <w:t> </w:t>
      </w:r>
      <w:r>
        <w:rPr>
          <w:rStyle w:val="StrongEmphasis"/>
          <w:rFonts w:ascii="Times New Roman" w:hAnsi="Times New Roman"/>
          <w:sz w:val="20"/>
        </w:rPr>
        <w:t>Governing Law</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Plan shall be construed, administered, and governed in all respects under and by the laws of the state of Illinois. If any provision shall be held by a court of competent jurisdiction to be invalid or unenforceable, the remaining provisions hereof shall continue to be fully effective.</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10.7</w:t>
      </w:r>
      <w:bookmarkStart w:id="1067" w:name="TAB2118"/>
      <w:bookmarkEnd w:id="1067"/>
      <w:r>
        <w:rPr>
          <w:color w:val="000000"/>
          <w:spacing w:val="540"/>
        </w:rPr>
        <w:t> </w:t>
      </w:r>
      <w:r>
        <w:rPr>
          <w:rStyle w:val="StrongEmphasis"/>
          <w:rFonts w:ascii="Times New Roman" w:hAnsi="Times New Roman"/>
          <w:sz w:val="20"/>
        </w:rPr>
        <w:t>Headings and Subheadings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Headings and subheadings in this Plan are inserted for convenience only and are not to be considered in the construction of the provisions thereof.</w:t>
      </w:r>
    </w:p>
    <w:p>
      <w:pPr>
        <w:pStyle w:val="TextBody"/>
        <w:spacing w:lineRule="auto" w:line="30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68" w:name="PGBRK38"/>
      <w:bookmarkStart w:id="1069" w:name="PGBRK38"/>
      <w:bookmarkEnd w:id="10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0" w:name="FTR38"/>
      <w:bookmarkStart w:id="1071" w:name="FTR38"/>
      <w:bookmarkEnd w:id="10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2" w:name="GLFTR38"/>
      <w:bookmarkStart w:id="1073" w:name="GLFTR38"/>
      <w:bookmarkEnd w:id="10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074" w:name="PN38"/>
      <w:bookmarkEnd w:id="1074"/>
      <w:r>
        <w:rPr>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5" w:name="HDR38"/>
      <w:bookmarkStart w:id="1076" w:name="HDR38"/>
      <w:bookmarkEnd w:id="10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7" w:name="GLHDR38"/>
      <w:bookmarkStart w:id="1078" w:name="GLHDR38"/>
      <w:bookmarkEnd w:id="10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bookmarkStart w:id="1079" w:name="v105960_ex10-4.htm"/>
      <w:bookmarkStart w:id="1080" w:name="ksv105960_ex104"/>
      <w:bookmarkEnd w:id="1079"/>
      <w:bookmarkEnd w:id="1080"/>
      <w:r>
        <w:rPr>
          <w:rStyle w:val="StrongEmphasis"/>
          <w:rFonts w:ascii="Times New Roman" w:hAnsi="Times New Roman"/>
          <w:sz w:val="20"/>
        </w:rPr>
        <w:t>Exhibit 10.4:</w:t>
      </w:r>
    </w:p>
    <w:p>
      <w:pPr>
        <w:pStyle w:val="TextBody"/>
        <w:spacing w:lineRule="auto" w:line="300" w:before="0" w:after="0"/>
        <w:ind w:left="0" w:right="0" w:hanging="0"/>
        <w:jc w:val="both"/>
        <w:rPr/>
      </w:pPr>
      <w:r>
        <w:rPr/>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Oil-Dri Corporation of America</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Annual Incentive Plan</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(As Amended and Restated Effective January 1, 2008)</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Fonts w:ascii="Times New Roman" w:hAnsi="Times New Roman"/>
          <w:sz w:val="20"/>
        </w:rPr>
        <w:t>I.</w:t>
      </w:r>
      <w:bookmarkStart w:id="1081" w:name="TAB2119"/>
      <w:bookmarkEnd w:id="1081"/>
      <w:r>
        <w:rPr>
          <w:color w:val="000000"/>
          <w:spacing w:val="540"/>
        </w:rPr>
        <w:t> </w:t>
      </w:r>
      <w:r>
        <w:rPr>
          <w:rFonts w:ascii="Times New Roman" w:hAnsi="Times New Roman"/>
          <w:sz w:val="20"/>
          <w:u w:val="single"/>
        </w:rPr>
        <w:t>Purpose</w:t>
      </w:r>
      <w:r>
        <w:rPr>
          <w:rFonts w:ascii="Times New Roman" w:hAnsi="Times New Roman"/>
          <w:sz w:val="20"/>
        </w:rPr>
        <w:t>. To provide eligible Salaried Employees with an annual incentive opportunity based on the potential contribution level of each position and to reward individuals for outstanding Company and individual performance, thereby allowing the Company to attract and retain the high quality of human resources needed to successfully operate its business.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Fonts w:ascii="Times New Roman" w:hAnsi="Times New Roman"/>
          <w:sz w:val="20"/>
        </w:rPr>
        <w:t>II.</w:t>
      </w:r>
      <w:bookmarkStart w:id="1082" w:name="TAB2120"/>
      <w:bookmarkEnd w:id="1082"/>
      <w:r>
        <w:rPr>
          <w:color w:val="000000"/>
          <w:spacing w:val="540"/>
        </w:rPr>
        <w:t> </w:t>
      </w:r>
      <w:r>
        <w:rPr>
          <w:rFonts w:ascii="Times New Roman" w:hAnsi="Times New Roman"/>
          <w:sz w:val="20"/>
          <w:u w:val="single"/>
        </w:rPr>
        <w:t>Definitions</w:t>
      </w:r>
      <w:r>
        <w:rPr>
          <w:rFonts w:ascii="Times New Roman" w:hAnsi="Times New Roman"/>
          <w:sz w:val="20"/>
        </w:rPr>
        <w:t>.</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Fonts w:ascii="Times New Roman" w:hAnsi="Times New Roman"/>
          <w:sz w:val="20"/>
        </w:rPr>
        <w:t>A.</w:t>
      </w:r>
      <w:bookmarkStart w:id="1083" w:name="TAB2121"/>
      <w:bookmarkEnd w:id="1083"/>
      <w:r>
        <w:rPr>
          <w:color w:val="000000"/>
          <w:spacing w:val="540"/>
        </w:rPr>
        <w:t> </w:t>
      </w:r>
      <w:r>
        <w:rPr>
          <w:rFonts w:ascii="Times New Roman" w:hAnsi="Times New Roman"/>
          <w:sz w:val="20"/>
          <w:u w:val="single"/>
        </w:rPr>
        <w:t>Base Salary</w:t>
      </w:r>
      <w:r>
        <w:rPr/>
        <w:t xml:space="preserve"> </w:t>
      </w:r>
      <w:r>
        <w:rPr>
          <w:rFonts w:ascii="Times New Roman" w:hAnsi="Times New Roman"/>
          <w:sz w:val="20"/>
        </w:rPr>
        <w:t>means the regular base salary actually paid by the Company to a participant during the Fiscal Year while the participant was an active employee or on authorized leave of absence, subject to the following:</w:t>
      </w:r>
    </w:p>
    <w:p>
      <w:pPr>
        <w:pStyle w:val="TextBody"/>
        <w:spacing w:lineRule="auto" w:line="300" w:before="0" w:after="0"/>
        <w:ind w:left="0" w:right="0" w:hanging="0"/>
        <w:jc w:val="both"/>
        <w:rPr/>
      </w:pPr>
      <w:r>
        <w:rPr/>
        <w:t> </w:t>
      </w:r>
    </w:p>
    <w:p>
      <w:pPr>
        <w:pStyle w:val="TextBody"/>
        <w:spacing w:lineRule="auto" w:line="300" w:before="0" w:after="0"/>
        <w:ind w:left="720" w:right="0" w:firstLine="720"/>
        <w:jc w:val="both"/>
        <w:rPr/>
      </w:pPr>
      <w:r>
        <w:rPr>
          <w:rFonts w:ascii="Times New Roman" w:hAnsi="Times New Roman"/>
          <w:sz w:val="20"/>
        </w:rPr>
        <w:t>(i)</w:t>
      </w:r>
      <w:bookmarkStart w:id="1084" w:name="TAB2122"/>
      <w:bookmarkEnd w:id="1084"/>
      <w:r>
        <w:rPr>
          <w:color w:val="000000"/>
          <w:spacing w:val="540"/>
        </w:rPr>
        <w:t> </w:t>
      </w:r>
      <w:r>
        <w:rPr>
          <w:rFonts w:ascii="Times New Roman" w:hAnsi="Times New Roman"/>
          <w:sz w:val="20"/>
        </w:rPr>
        <w:t>The base salary for a participant on a military leave of absence granted under the Company’s military leave policy shall be adjusted to include the base salary which the participant would have received during the Fiscal Year had he or she not been on military leave;</w:t>
      </w:r>
    </w:p>
    <w:p>
      <w:pPr>
        <w:pStyle w:val="TextBody"/>
        <w:spacing w:lineRule="auto" w:line="300" w:before="0" w:after="0"/>
        <w:ind w:left="0" w:right="0" w:hanging="0"/>
        <w:jc w:val="both"/>
        <w:rPr/>
      </w:pPr>
      <w:r>
        <w:rPr/>
        <w:t> </w:t>
      </w:r>
    </w:p>
    <w:p>
      <w:pPr>
        <w:pStyle w:val="TextBody"/>
        <w:spacing w:lineRule="auto" w:line="300" w:before="0" w:after="0"/>
        <w:ind w:left="720" w:right="0" w:firstLine="720"/>
        <w:jc w:val="both"/>
        <w:rPr/>
      </w:pPr>
      <w:r>
        <w:rPr>
          <w:rFonts w:ascii="Times New Roman" w:hAnsi="Times New Roman"/>
          <w:sz w:val="20"/>
        </w:rPr>
        <w:t>(ii)</w:t>
      </w:r>
      <w:bookmarkStart w:id="1085" w:name="TAB2123"/>
      <w:bookmarkEnd w:id="1085"/>
      <w:r>
        <w:rPr>
          <w:color w:val="000000"/>
          <w:spacing w:val="540"/>
        </w:rPr>
        <w:t> </w:t>
      </w:r>
      <w:r>
        <w:rPr>
          <w:rFonts w:ascii="Times New Roman" w:hAnsi="Times New Roman"/>
          <w:sz w:val="20"/>
        </w:rPr>
        <w:t>The base salary for a participant on an authorized leave of absence, other than a military leave, who is receiving compensation from a third party on account of such authorized leave of absence (for example, payment from the Company’s workers’ compensation insurance carrier or a state disability insurance program) shall be adjusted to include up to three months, but no more than three months, of the base salary which the participant would have received during the Fiscal Year had he or she not been on authorized leave of absence.</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Base Salary also includes overtime pay received by a participant who is not exempt from the overtime pay requirements of the Fair Labor Standards Act. Base Salary does not include: Plan awards; other incentive awards or bonuses, whether short or long-term in nature; commissions; disability benefit payments or salary paid for a period exceeding three months while a participant is on an authorized leave of absence (or multiple leaves of absence), other than a military leave; imputed income from such programs as life insurance; or nonrecurring payments. Base Salary is determined without regard to any reductions for such items as before-tax contributions under Sections 401(k), 125 and 129 (flexible benefit plan contributions, including FSAs), or 132 (qualified transportation expenses) of the Internal Revenue Code of 1986, as amended, or income deferred under a non-qualified deferred compensation plan sponsored by the Company, or similar reductions under the tax laws of other countries.</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Fonts w:ascii="Times New Roman" w:hAnsi="Times New Roman"/>
          <w:sz w:val="20"/>
        </w:rPr>
        <w:t>B.</w:t>
      </w:r>
      <w:bookmarkStart w:id="1086" w:name="TAB2124"/>
      <w:bookmarkEnd w:id="1086"/>
      <w:r>
        <w:rPr>
          <w:color w:val="000000"/>
          <w:spacing w:val="540"/>
        </w:rPr>
        <w:t> </w:t>
      </w:r>
      <w:r>
        <w:rPr>
          <w:rFonts w:ascii="Times New Roman" w:hAnsi="Times New Roman"/>
          <w:sz w:val="20"/>
          <w:u w:val="single"/>
        </w:rPr>
        <w:t>CEO</w:t>
      </w:r>
      <w:r>
        <w:rPr/>
        <w:t xml:space="preserve"> </w:t>
      </w:r>
      <w:r>
        <w:rPr>
          <w:rFonts w:ascii="Times New Roman" w:hAnsi="Times New Roman"/>
          <w:sz w:val="20"/>
        </w:rPr>
        <w:t>means the Chief Executive Officer of the Company.</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Fonts w:ascii="Times New Roman" w:hAnsi="Times New Roman"/>
          <w:sz w:val="20"/>
        </w:rPr>
        <w:t>C.</w:t>
      </w:r>
      <w:bookmarkStart w:id="1087" w:name="TAB2125"/>
      <w:bookmarkEnd w:id="1087"/>
      <w:r>
        <w:rPr>
          <w:color w:val="000000"/>
          <w:spacing w:val="540"/>
        </w:rPr>
        <w:t> </w:t>
      </w:r>
      <w:r>
        <w:rPr>
          <w:rFonts w:ascii="Times New Roman" w:hAnsi="Times New Roman"/>
          <w:sz w:val="20"/>
          <w:u w:val="single"/>
        </w:rPr>
        <w:t>Compensation Committee</w:t>
      </w:r>
      <w:r>
        <w:rPr/>
        <w:t xml:space="preserve"> </w:t>
      </w:r>
      <w:r>
        <w:rPr>
          <w:rFonts w:ascii="Times New Roman" w:hAnsi="Times New Roman"/>
          <w:sz w:val="20"/>
        </w:rPr>
        <w:t>means the Compensation Committee of the Company’s Board of Directors.</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Fonts w:ascii="Times New Roman" w:hAnsi="Times New Roman"/>
          <w:sz w:val="20"/>
        </w:rPr>
        <w:t>D.</w:t>
      </w:r>
      <w:bookmarkStart w:id="1088" w:name="TAB2126"/>
      <w:bookmarkEnd w:id="1088"/>
      <w:r>
        <w:rPr>
          <w:color w:val="000000"/>
          <w:spacing w:val="540"/>
        </w:rPr>
        <w:t> </w:t>
      </w:r>
      <w:r>
        <w:rPr>
          <w:rFonts w:ascii="Times New Roman" w:hAnsi="Times New Roman"/>
          <w:sz w:val="20"/>
          <w:u w:val="single"/>
        </w:rPr>
        <w:t>Company</w:t>
      </w:r>
      <w:r>
        <w:rPr/>
        <w:t xml:space="preserve"> </w:t>
      </w:r>
      <w:r>
        <w:rPr>
          <w:rFonts w:ascii="Times New Roman" w:hAnsi="Times New Roman"/>
          <w:sz w:val="20"/>
        </w:rPr>
        <w:t>means Oil-Dri Corporation of America and its subsidiaries participating in the Plan, as may be designated by the CEO from time to time, and their respective successors and legal representatives.</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Fonts w:ascii="Times New Roman" w:hAnsi="Times New Roman"/>
          <w:sz w:val="20"/>
        </w:rPr>
        <w:t>E.</w:t>
      </w:r>
      <w:bookmarkStart w:id="1089" w:name="TAB2127"/>
      <w:bookmarkEnd w:id="1089"/>
      <w:r>
        <w:rPr>
          <w:color w:val="000000"/>
          <w:spacing w:val="540"/>
        </w:rPr>
        <w:t> </w:t>
      </w:r>
      <w:r>
        <w:rPr>
          <w:rFonts w:ascii="Times New Roman" w:hAnsi="Times New Roman"/>
          <w:sz w:val="20"/>
          <w:u w:val="single"/>
        </w:rPr>
        <w:t>Corporate Financial Performance</w:t>
      </w:r>
      <w:r>
        <w:rPr/>
        <w:t xml:space="preserve"> </w:t>
      </w:r>
      <w:r>
        <w:rPr>
          <w:rFonts w:ascii="Times New Roman" w:hAnsi="Times New Roman"/>
          <w:sz w:val="20"/>
        </w:rPr>
        <w:t>refers to the relationship between the Company’s designated performance targets and the achievement of, or failure to achieve, those targets.</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Fonts w:ascii="Times New Roman" w:hAnsi="Times New Roman"/>
          <w:sz w:val="20"/>
        </w:rPr>
        <w:t>F.</w:t>
      </w:r>
      <w:bookmarkStart w:id="1090" w:name="TAB2128"/>
      <w:bookmarkEnd w:id="1090"/>
      <w:r>
        <w:rPr>
          <w:color w:val="000000"/>
          <w:spacing w:val="540"/>
        </w:rPr>
        <w:t> </w:t>
      </w:r>
      <w:r>
        <w:rPr>
          <w:rFonts w:ascii="Times New Roman" w:hAnsi="Times New Roman"/>
          <w:sz w:val="20"/>
          <w:u w:val="single"/>
        </w:rPr>
        <w:t>Executive Officers</w:t>
      </w:r>
      <w:r>
        <w:rPr/>
        <w:t xml:space="preserve"> </w:t>
      </w:r>
      <w:r>
        <w:rPr>
          <w:rFonts w:ascii="Times New Roman" w:hAnsi="Times New Roman"/>
          <w:sz w:val="20"/>
        </w:rPr>
        <w:t>means the Company’s executive officers as defined in the Securities Exchange Act of 1934, as amended, and the rules thereunder, as well as the Company’s controller or other principal accounting officer.</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Fonts w:ascii="Times New Roman" w:hAnsi="Times New Roman"/>
          <w:sz w:val="20"/>
        </w:rPr>
        <w:t>G.</w:t>
      </w:r>
      <w:bookmarkStart w:id="1091" w:name="TAB2129"/>
      <w:bookmarkEnd w:id="1091"/>
      <w:r>
        <w:rPr>
          <w:color w:val="000000"/>
          <w:spacing w:val="540"/>
        </w:rPr>
        <w:t> </w:t>
      </w:r>
      <w:r>
        <w:rPr>
          <w:rFonts w:ascii="Times New Roman" w:hAnsi="Times New Roman"/>
          <w:sz w:val="20"/>
          <w:u w:val="single"/>
        </w:rPr>
        <w:t>Fiscal Year</w:t>
      </w:r>
      <w:r>
        <w:rPr/>
        <w:t xml:space="preserve"> </w:t>
      </w:r>
      <w:r>
        <w:rPr>
          <w:rFonts w:ascii="Times New Roman" w:hAnsi="Times New Roman"/>
          <w:sz w:val="20"/>
        </w:rPr>
        <w:t>means the Company’s Fiscal Year beginning August 1 and ending July 31.</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Fonts w:ascii="Times New Roman" w:hAnsi="Times New Roman"/>
          <w:sz w:val="20"/>
        </w:rPr>
        <w:t>H.</w:t>
      </w:r>
      <w:bookmarkStart w:id="1092" w:name="TAB2130"/>
      <w:bookmarkEnd w:id="1092"/>
      <w:r>
        <w:rPr>
          <w:color w:val="000000"/>
          <w:spacing w:val="540"/>
        </w:rPr>
        <w:t> </w:t>
      </w:r>
      <w:r>
        <w:rPr>
          <w:rFonts w:ascii="Times New Roman" w:hAnsi="Times New Roman"/>
          <w:sz w:val="20"/>
          <w:u w:val="single"/>
        </w:rPr>
        <w:t>Plan</w:t>
      </w:r>
      <w:r>
        <w:rPr/>
        <w:t xml:space="preserve"> </w:t>
      </w:r>
      <w:r>
        <w:rPr>
          <w:rFonts w:ascii="Times New Roman" w:hAnsi="Times New Roman"/>
          <w:sz w:val="20"/>
        </w:rPr>
        <w:t>means the Oil-Dri Corporation of America Annual Incentive Plan as amended from time to time.</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Fonts w:ascii="Times New Roman" w:hAnsi="Times New Roman"/>
          <w:sz w:val="20"/>
        </w:rPr>
        <w:t>I.</w:t>
      </w:r>
      <w:bookmarkStart w:id="1093" w:name="TAB2131"/>
      <w:bookmarkEnd w:id="1093"/>
      <w:r>
        <w:rPr>
          <w:color w:val="000000"/>
          <w:spacing w:val="540"/>
        </w:rPr>
        <w:t> </w:t>
      </w:r>
      <w:r>
        <w:rPr>
          <w:rFonts w:ascii="Times New Roman" w:hAnsi="Times New Roman"/>
          <w:sz w:val="20"/>
          <w:u w:val="single"/>
        </w:rPr>
        <w:t>Salaried Employee</w:t>
      </w:r>
      <w:r>
        <w:rPr/>
        <w:t xml:space="preserve"> </w:t>
      </w:r>
      <w:r>
        <w:rPr>
          <w:rFonts w:ascii="Times New Roman" w:hAnsi="Times New Roman"/>
          <w:sz w:val="20"/>
        </w:rPr>
        <w:t>means a regular full- or part-time employee hired by the Company prior to July 1st of the Fiscal Year and paid on a salaried basis or paid on an hourly basis for clerical or professional duties. The term does not include employees paid on an hourly basis for work which is not clerical or professional, temporary employees, interns, and individuals classified by the Company as independent contractors.</w:t>
      </w:r>
    </w:p>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94" w:name="PGBRK39"/>
      <w:bookmarkStart w:id="1095" w:name="PGBRK39"/>
      <w:bookmarkEnd w:id="10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6" w:name="FTR39"/>
      <w:bookmarkStart w:id="1097" w:name="FTR39"/>
      <w:bookmarkEnd w:id="10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98" w:name="GLFTR39"/>
      <w:bookmarkEnd w:id="109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99" w:name="PN39"/>
      <w:bookmarkEnd w:id="1099"/>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0" w:name="HDR39"/>
      <w:bookmarkStart w:id="1101" w:name="HDR39"/>
      <w:bookmarkEnd w:id="1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02" w:name="GLHDR39"/>
      <w:bookmarkEnd w:id="110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Fonts w:ascii="Times New Roman" w:hAnsi="Times New Roman"/>
          <w:sz w:val="20"/>
        </w:rPr>
        <w:t>J.</w:t>
      </w:r>
      <w:bookmarkStart w:id="1103" w:name="TAB2132"/>
      <w:bookmarkEnd w:id="1103"/>
      <w:r>
        <w:rPr>
          <w:color w:val="000000"/>
          <w:spacing w:val="540"/>
        </w:rPr>
        <w:t> </w:t>
      </w:r>
      <w:r>
        <w:rPr>
          <w:rFonts w:ascii="Times New Roman" w:hAnsi="Times New Roman"/>
          <w:sz w:val="20"/>
          <w:u w:val="single"/>
        </w:rPr>
        <w:t>Special Performance</w:t>
      </w:r>
      <w:r>
        <w:rPr/>
        <w:t xml:space="preserve"> </w:t>
      </w:r>
      <w:r>
        <w:rPr>
          <w:rFonts w:ascii="Times New Roman" w:hAnsi="Times New Roman"/>
          <w:sz w:val="20"/>
        </w:rPr>
        <w:t>refers to the relationship between an individual’s, department’s or division’s designated performance targets and the achievement of, or failure to achieve, those targets.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Fonts w:ascii="Times New Roman" w:hAnsi="Times New Roman"/>
          <w:sz w:val="20"/>
        </w:rPr>
        <w:t>III.</w:t>
      </w:r>
      <w:bookmarkStart w:id="1104" w:name="TAB2133"/>
      <w:bookmarkEnd w:id="1104"/>
      <w:r>
        <w:rPr>
          <w:color w:val="000000"/>
          <w:spacing w:val="540"/>
        </w:rPr>
        <w:t> </w:t>
      </w:r>
      <w:r>
        <w:rPr>
          <w:rFonts w:ascii="Times New Roman" w:hAnsi="Times New Roman"/>
          <w:sz w:val="20"/>
          <w:u w:val="single"/>
        </w:rPr>
        <w:t>Employees Covered By This Plan</w:t>
      </w:r>
      <w:r>
        <w:rPr>
          <w:rFonts w:ascii="Times New Roman" w:hAnsi="Times New Roman"/>
          <w:sz w:val="20"/>
        </w:rPr>
        <w:t>. This Plan covers, for any Fiscal Year, those Salaried Employees designated as participants by the CEO. The CEO also shall be a participant in the Plan unless the Compensation Committee, due to its approval of an alternative short-term incentive arrangement or otherwise, determines that the CEO shall not be covered by the Plan for a particular Fiscal Year or particular Fiscal Years.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Fonts w:ascii="Times New Roman" w:hAnsi="Times New Roman"/>
          <w:sz w:val="20"/>
        </w:rPr>
        <w:t>IV.</w:t>
      </w:r>
      <w:bookmarkStart w:id="1105" w:name="TAB2134"/>
      <w:bookmarkEnd w:id="1105"/>
      <w:r>
        <w:rPr>
          <w:color w:val="000000"/>
          <w:spacing w:val="540"/>
        </w:rPr>
        <w:t> </w:t>
      </w:r>
      <w:r>
        <w:rPr>
          <w:rFonts w:ascii="Times New Roman" w:hAnsi="Times New Roman"/>
          <w:sz w:val="20"/>
          <w:u w:val="single"/>
        </w:rPr>
        <w:t>Performance Measures, Targets and Payout Ranges</w:t>
      </w:r>
      <w:r>
        <w:rPr>
          <w:rFonts w:ascii="Times New Roman" w:hAnsi="Times New Roman"/>
          <w:sz w:val="20"/>
        </w:rPr>
        <w:t>. The performance measures, targets and payout ranges used under the Plan for incentive purposes shall be established for each Fiscal Year based on the Company’s annual business plan. The performance measures, targets and payout ranges shall be approved by the CEO.</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Fonts w:ascii="Times New Roman" w:hAnsi="Times New Roman"/>
          <w:sz w:val="20"/>
        </w:rPr>
        <w:t>V.</w:t>
      </w:r>
      <w:bookmarkStart w:id="1106" w:name="TAB2135"/>
      <w:bookmarkEnd w:id="1106"/>
      <w:r>
        <w:rPr>
          <w:color w:val="000000"/>
          <w:spacing w:val="540"/>
        </w:rPr>
        <w:t> </w:t>
      </w:r>
      <w:r>
        <w:rPr>
          <w:rFonts w:ascii="Times New Roman" w:hAnsi="Times New Roman"/>
          <w:sz w:val="20"/>
          <w:u w:val="single"/>
        </w:rPr>
        <w:t>Role of Compensation Committee</w:t>
      </w:r>
      <w:r>
        <w:rPr>
          <w:rFonts w:ascii="Times New Roman" w:hAnsi="Times New Roman"/>
          <w:sz w:val="20"/>
        </w:rPr>
        <w:t>.</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Fonts w:ascii="Times New Roman" w:hAnsi="Times New Roman"/>
          <w:sz w:val="20"/>
        </w:rPr>
        <w:t>A.</w:t>
      </w:r>
      <w:bookmarkStart w:id="1107" w:name="TAB2136"/>
      <w:bookmarkEnd w:id="1107"/>
      <w:r>
        <w:rPr>
          <w:color w:val="000000"/>
          <w:spacing w:val="540"/>
        </w:rPr>
        <w:t> </w:t>
      </w:r>
      <w:r>
        <w:rPr>
          <w:rFonts w:ascii="Times New Roman" w:hAnsi="Times New Roman"/>
          <w:sz w:val="20"/>
        </w:rPr>
        <w:t>The Compensation Committee is responsible to set the compensation payable to the CEO, including compensation payable under the Plan; the CEO shall have no discretion to make adjustments to awards payable to himself under the Plan.</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Fonts w:ascii="Times New Roman" w:hAnsi="Times New Roman"/>
          <w:sz w:val="20"/>
        </w:rPr>
        <w:t>B.</w:t>
      </w:r>
      <w:bookmarkStart w:id="1108" w:name="TAB2137"/>
      <w:bookmarkEnd w:id="1108"/>
      <w:r>
        <w:rPr>
          <w:color w:val="000000"/>
          <w:spacing w:val="540"/>
        </w:rPr>
        <w:t> </w:t>
      </w:r>
      <w:r>
        <w:rPr>
          <w:rFonts w:ascii="Times New Roman" w:hAnsi="Times New Roman"/>
          <w:sz w:val="20"/>
        </w:rPr>
        <w:t>The CEO is responsible to supervise compensation payable under the Plan and to exercise authority and discretion as specified in the Plan for all other employees, including the Executive Officers, except as specified below in sub-section C. and in the second paragraph of Section X.</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Fonts w:ascii="Times New Roman" w:hAnsi="Times New Roman"/>
          <w:sz w:val="20"/>
        </w:rPr>
        <w:t>C.</w:t>
      </w:r>
      <w:bookmarkStart w:id="1109" w:name="TAB2138"/>
      <w:bookmarkEnd w:id="1109"/>
      <w:r>
        <w:rPr>
          <w:color w:val="000000"/>
          <w:spacing w:val="540"/>
        </w:rPr>
        <w:t> </w:t>
      </w:r>
      <w:r>
        <w:rPr>
          <w:rFonts w:ascii="Times New Roman" w:hAnsi="Times New Roman"/>
          <w:sz w:val="20"/>
        </w:rPr>
        <w:t>The Compensation Committee shall have the general authority to review and determine the reasonableness of the Target Bonus as a Percent of Base Salary, performance measures and payout ranges (and any changes thereto) under the Plan, as these relate to the total compensation of the Executive Officers.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Fonts w:ascii="Times New Roman" w:hAnsi="Times New Roman"/>
          <w:sz w:val="20"/>
        </w:rPr>
        <w:t>VI.</w:t>
      </w:r>
      <w:bookmarkStart w:id="1110" w:name="TAB2139"/>
      <w:bookmarkEnd w:id="1110"/>
      <w:r>
        <w:rPr>
          <w:color w:val="000000"/>
          <w:spacing w:val="540"/>
        </w:rPr>
        <w:t> </w:t>
      </w:r>
      <w:r>
        <w:rPr>
          <w:rFonts w:ascii="Times New Roman" w:hAnsi="Times New Roman"/>
          <w:sz w:val="20"/>
          <w:u w:val="single"/>
        </w:rPr>
        <w:t>Corporate Financial Performance Award</w:t>
      </w:r>
      <w:r>
        <w:rPr>
          <w:rFonts w:ascii="Times New Roman" w:hAnsi="Times New Roman"/>
          <w:sz w:val="20"/>
        </w:rPr>
        <w:t>. Up to 100% of a participant’s bonus opportunity may be based upon Corporate Financial Performance.</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A participant in the Plan shall be entitled to a Corporate Financial Performance Award computed in accordance with the following formula:</w:t>
      </w:r>
    </w:p>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837"/>
        <w:gridCol w:w="102"/>
        <w:gridCol w:w="204"/>
        <w:gridCol w:w="102"/>
        <w:gridCol w:w="1837"/>
        <w:gridCol w:w="102"/>
        <w:gridCol w:w="204"/>
        <w:gridCol w:w="102"/>
        <w:gridCol w:w="1838"/>
        <w:gridCol w:w="102"/>
        <w:gridCol w:w="203"/>
        <w:gridCol w:w="102"/>
        <w:gridCol w:w="1020"/>
        <w:gridCol w:w="102"/>
        <w:gridCol w:w="204"/>
        <w:gridCol w:w="102"/>
        <w:gridCol w:w="2042"/>
      </w:tblGrid>
      <w:tr>
        <w:trPr/>
        <w:tc>
          <w:tcPr>
            <w:tcW w:w="1837"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Percent of Target</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Bonus Subject to</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Corporate</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Financial</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Performance</w:t>
            </w:r>
          </w:p>
        </w:tc>
        <w:tc>
          <w:tcPr>
            <w:tcW w:w="102" w:type="dxa"/>
            <w:tcBorders/>
            <w:shd w:fill="auto" w:val="clear"/>
          </w:tcPr>
          <w:p>
            <w:pPr>
              <w:pStyle w:val="TableContents"/>
              <w:spacing w:lineRule="auto" w:line="300" w:before="0" w:after="0"/>
              <w:ind w:left="0" w:right="0" w:hanging="0"/>
              <w:jc w:val="center"/>
              <w:rPr/>
            </w:pPr>
            <w:r>
              <w:rPr/>
              <w:t> </w:t>
            </w:r>
          </w:p>
        </w:tc>
        <w:tc>
          <w:tcPr>
            <w:tcW w:w="204"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x</w:t>
            </w:r>
          </w:p>
        </w:tc>
        <w:tc>
          <w:tcPr>
            <w:tcW w:w="102" w:type="dxa"/>
            <w:tcBorders/>
            <w:shd w:fill="auto" w:val="clear"/>
            <w:vAlign w:val="center"/>
          </w:tcPr>
          <w:p>
            <w:pPr>
              <w:pStyle w:val="TableContents"/>
              <w:spacing w:before="0" w:after="283"/>
              <w:rPr/>
            </w:pPr>
            <w:r>
              <w:rPr/>
              <w:t> </w:t>
            </w:r>
          </w:p>
        </w:tc>
        <w:tc>
          <w:tcPr>
            <w:tcW w:w="1837"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Target Bonus</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as a Percent</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of Base</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Salary</w:t>
            </w:r>
          </w:p>
        </w:tc>
        <w:tc>
          <w:tcPr>
            <w:tcW w:w="102" w:type="dxa"/>
            <w:tcBorders/>
            <w:shd w:fill="auto" w:val="clear"/>
          </w:tcPr>
          <w:p>
            <w:pPr>
              <w:pStyle w:val="TableContents"/>
              <w:spacing w:lineRule="auto" w:line="300" w:before="0" w:after="0"/>
              <w:ind w:left="0" w:right="0" w:hanging="0"/>
              <w:jc w:val="center"/>
              <w:rPr/>
            </w:pPr>
            <w:r>
              <w:rPr/>
              <w:t> </w:t>
            </w:r>
          </w:p>
        </w:tc>
        <w:tc>
          <w:tcPr>
            <w:tcW w:w="204"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x</w:t>
            </w:r>
          </w:p>
        </w:tc>
        <w:tc>
          <w:tcPr>
            <w:tcW w:w="102" w:type="dxa"/>
            <w:tcBorders/>
            <w:shd w:fill="auto" w:val="clear"/>
            <w:vAlign w:val="center"/>
          </w:tcPr>
          <w:p>
            <w:pPr>
              <w:pStyle w:val="TableContents"/>
              <w:spacing w:before="0" w:after="283"/>
              <w:rPr/>
            </w:pPr>
            <w:r>
              <w:rPr/>
              <w:t> </w:t>
            </w:r>
          </w:p>
        </w:tc>
        <w:tc>
          <w:tcPr>
            <w:tcW w:w="1838"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Percent of</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Corporate</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Financial</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Performance</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Bonus Earned</w:t>
            </w:r>
          </w:p>
        </w:tc>
        <w:tc>
          <w:tcPr>
            <w:tcW w:w="102" w:type="dxa"/>
            <w:tcBorders/>
            <w:shd w:fill="auto" w:val="clear"/>
          </w:tcPr>
          <w:p>
            <w:pPr>
              <w:pStyle w:val="TableContents"/>
              <w:spacing w:lineRule="auto" w:line="300" w:before="0" w:after="0"/>
              <w:ind w:left="0" w:right="0" w:hanging="0"/>
              <w:jc w:val="center"/>
              <w:rPr/>
            </w:pPr>
            <w:r>
              <w:rPr/>
              <w:t> </w:t>
            </w:r>
          </w:p>
        </w:tc>
        <w:tc>
          <w:tcPr>
            <w:tcW w:w="203"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x</w:t>
            </w:r>
          </w:p>
        </w:tc>
        <w:tc>
          <w:tcPr>
            <w:tcW w:w="102"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Base</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Salary</w:t>
            </w:r>
          </w:p>
        </w:tc>
        <w:tc>
          <w:tcPr>
            <w:tcW w:w="102" w:type="dxa"/>
            <w:tcBorders/>
            <w:shd w:fill="auto" w:val="clear"/>
          </w:tcPr>
          <w:p>
            <w:pPr>
              <w:pStyle w:val="TableContents"/>
              <w:spacing w:lineRule="auto" w:line="300" w:before="0" w:after="0"/>
              <w:ind w:left="0" w:right="0" w:hanging="0"/>
              <w:jc w:val="center"/>
              <w:rPr/>
            </w:pPr>
            <w:r>
              <w:rPr/>
              <w:t> </w:t>
            </w:r>
          </w:p>
        </w:tc>
        <w:tc>
          <w:tcPr>
            <w:tcW w:w="204"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lineRule="auto" w:line="300" w:before="0" w:after="0"/>
              <w:ind w:left="0" w:right="0" w:hanging="0"/>
              <w:jc w:val="left"/>
              <w:rPr/>
            </w:pPr>
            <w:r>
              <w:rPr/>
              <w:t> </w:t>
            </w:r>
          </w:p>
        </w:tc>
        <w:tc>
          <w:tcPr>
            <w:tcW w:w="2042"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Corporate</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Financial</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Performance</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Award</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Where:</w:t>
      </w:r>
    </w:p>
    <w:p>
      <w:pPr>
        <w:pStyle w:val="Normal"/>
        <w:spacing w:before="0" w:after="0"/>
        <w:rPr>
          <w:sz w:val="4"/>
          <w:szCs w:val="4"/>
        </w:rPr>
      </w:pPr>
      <w:r>
        <w:rPr>
          <w:sz w:val="4"/>
          <w:szCs w:val="4"/>
        </w:rPr>
      </w:r>
      <w:bookmarkStart w:id="1111" w:name="hangingindent15"/>
      <w:bookmarkStart w:id="1112" w:name="hangingindent15"/>
      <w:bookmarkEnd w:id="1112"/>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t>“</w:t>
            </w:r>
            <w:r>
              <w:rPr>
                <w:rFonts w:ascii="Times New Roman" w:hAnsi="Times New Roman"/>
                <w:sz w:val="20"/>
              </w:rPr>
              <w:t>Percent of Target Bonus Subject to Corporate Financial Performance” shall range from 0% to 100% and may vary from Fiscal Year to Fiscal Year.</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13" w:name="hangingindent16"/>
      <w:bookmarkStart w:id="1114" w:name="hangingindent16"/>
      <w:bookmarkEnd w:id="1114"/>
    </w:p>
    <w:tbl>
      <w:tblPr>
        <w:tblW w:w="5000" w:type="pct"/>
        <w:jc w:val="center"/>
        <w:tblInd w:w="0" w:type="dxa"/>
        <w:tblCellMar>
          <w:top w:w="0" w:type="dxa"/>
          <w:left w:w="0" w:type="dxa"/>
          <w:bottom w:w="0" w:type="dxa"/>
          <w:right w:w="0" w:type="dxa"/>
        </w:tblCellMar>
      </w:tblPr>
      <w:tblGrid>
        <w:gridCol w:w="62"/>
        <w:gridCol w:w="98"/>
        <w:gridCol w:w="10045"/>
      </w:tblGrid>
      <w:tr>
        <w:trPr/>
        <w:tc>
          <w:tcPr>
            <w:tcW w:w="62" w:type="dxa"/>
            <w:tcBorders/>
            <w:shd w:fill="auto" w:val="clear"/>
          </w:tcPr>
          <w:p>
            <w:pPr>
              <w:pStyle w:val="TableContents"/>
              <w:spacing w:before="0" w:after="283"/>
              <w:rPr/>
            </w:pPr>
            <w:r>
              <w:rPr/>
              <w:t> </w:t>
            </w:r>
          </w:p>
        </w:tc>
        <w:tc>
          <w:tcPr>
            <w:tcW w:w="98"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45" w:type="dxa"/>
            <w:tcBorders/>
            <w:shd w:fill="auto" w:val="clear"/>
          </w:tcPr>
          <w:p>
            <w:pPr>
              <w:pStyle w:val="TableContents"/>
              <w:spacing w:before="0" w:after="0"/>
              <w:ind w:left="0" w:right="0" w:hanging="0"/>
              <w:jc w:val="both"/>
              <w:rPr/>
            </w:pPr>
            <w:r>
              <w:rPr/>
              <w:t>“</w:t>
            </w:r>
            <w:r>
              <w:rPr>
                <w:rFonts w:ascii="Times New Roman" w:hAnsi="Times New Roman"/>
                <w:sz w:val="20"/>
              </w:rPr>
              <w:t>Target Bonus as a Percent of Base Salary” is determined for the particular position or salary grade for each Fiscal Year.</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15" w:name="hangingindent17"/>
      <w:bookmarkStart w:id="1116" w:name="hangingindent17"/>
      <w:bookmarkEnd w:id="1116"/>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t>“</w:t>
            </w:r>
            <w:r>
              <w:rPr>
                <w:rFonts w:ascii="Times New Roman" w:hAnsi="Times New Roman"/>
                <w:sz w:val="20"/>
              </w:rPr>
              <w:t>Target Bonus” is a participant’s Target Bonus as a Percent of Base Salary multiplied by the participant’s Base Salary. If corporate target(s) and individual and/or departmental or divisional targets are achieved but not exceeded in a Fiscal Year, a participant’s combined Corporate Financial Performance Bonus, Special Performance Bonus and Executive Deferred Bonus will be 100% of Target Bonus, subject to the participant’s satisfaction of all requirements for entitlement and any adjustments made due to extraordinary circumstances or otherwise.</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17" w:name="hangingindent18"/>
      <w:bookmarkStart w:id="1118" w:name="hangingindent18"/>
      <w:bookmarkEnd w:id="1118"/>
    </w:p>
    <w:tbl>
      <w:tblPr>
        <w:tblW w:w="5000" w:type="pct"/>
        <w:jc w:val="center"/>
        <w:tblInd w:w="0" w:type="dxa"/>
        <w:tblCellMar>
          <w:top w:w="0" w:type="dxa"/>
          <w:left w:w="0" w:type="dxa"/>
          <w:bottom w:w="0" w:type="dxa"/>
          <w:right w:w="0" w:type="dxa"/>
        </w:tblCellMar>
      </w:tblPr>
      <w:tblGrid>
        <w:gridCol w:w="179"/>
        <w:gridCol w:w="284"/>
        <w:gridCol w:w="9742"/>
      </w:tblGrid>
      <w:tr>
        <w:trPr/>
        <w:tc>
          <w:tcPr>
            <w:tcW w:w="179" w:type="dxa"/>
            <w:tcBorders/>
            <w:shd w:fill="auto" w:val="clear"/>
          </w:tcPr>
          <w:p>
            <w:pPr>
              <w:pStyle w:val="TableContents"/>
              <w:spacing w:before="0" w:after="283"/>
              <w:rPr/>
            </w:pPr>
            <w:r>
              <w:rPr/>
              <w:t> </w:t>
            </w:r>
          </w:p>
        </w:tc>
        <w:tc>
          <w:tcPr>
            <w:tcW w:w="284"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742" w:type="dxa"/>
            <w:tcBorders/>
            <w:shd w:fill="auto" w:val="clear"/>
          </w:tcPr>
          <w:p>
            <w:pPr>
              <w:pStyle w:val="TableContents"/>
              <w:spacing w:before="0" w:after="0"/>
              <w:ind w:left="0" w:right="0" w:hanging="0"/>
              <w:jc w:val="both"/>
              <w:rPr/>
            </w:pPr>
            <w:r>
              <w:rPr/>
              <w:t>“</w:t>
            </w:r>
            <w:r>
              <w:rPr>
                <w:rFonts w:ascii="Times New Roman" w:hAnsi="Times New Roman"/>
                <w:sz w:val="20"/>
              </w:rPr>
              <w:t>Base Salary” is defined in Section II A.</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19" w:name="hangingindent19"/>
      <w:bookmarkStart w:id="1120" w:name="hangingindent19"/>
      <w:bookmarkEnd w:id="1120"/>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t>“</w:t>
            </w:r>
            <w:r>
              <w:rPr>
                <w:rFonts w:ascii="Times New Roman" w:hAnsi="Times New Roman"/>
                <w:sz w:val="20"/>
              </w:rPr>
              <w:t>Percent of Corporate Financial Performance Bonus Earned” ranges from 0% to 200% and is determined by the relationship of actual achievement to targeted achievement at the corporate level. Actual achievement which is below the range of Corporate Financial Performance established for awards will result in no award based on that particular financial measure or combination of measures. For actual performance within the established range of Corporate Financial Performance, a payout range (which may vary from 0% to 200% of Target Bonus) is established. The relationship of actual achievement to the performance range will be determined based on guidelines established each year.</w:t>
            </w:r>
          </w:p>
        </w:tc>
      </w:tr>
    </w:tbl>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21" w:name="PGBRK40"/>
      <w:bookmarkStart w:id="1122" w:name="PGBRK40"/>
      <w:bookmarkEnd w:id="11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23" w:name="FTR40"/>
      <w:bookmarkStart w:id="1124" w:name="FTR40"/>
      <w:bookmarkEnd w:id="1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25" w:name="GLFTR40"/>
      <w:bookmarkEnd w:id="112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126" w:name="PN40"/>
      <w:bookmarkEnd w:id="1126"/>
      <w:r>
        <w:rPr>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27" w:name="HDR40"/>
      <w:bookmarkStart w:id="1128" w:name="HDR40"/>
      <w:bookmarkEnd w:id="1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29" w:name="GLHDR40"/>
      <w:bookmarkEnd w:id="112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Fonts w:ascii="Times New Roman" w:hAnsi="Times New Roman"/>
          <w:sz w:val="20"/>
        </w:rPr>
        <w:t>VII.</w:t>
      </w:r>
      <w:bookmarkStart w:id="1130" w:name="TAB2140"/>
      <w:bookmarkEnd w:id="1130"/>
      <w:r>
        <w:rPr>
          <w:color w:val="000000"/>
          <w:spacing w:val="540"/>
        </w:rPr>
        <w:t> </w:t>
      </w:r>
      <w:r>
        <w:rPr>
          <w:rFonts w:ascii="Times New Roman" w:hAnsi="Times New Roman"/>
          <w:sz w:val="20"/>
          <w:u w:val="single"/>
        </w:rPr>
        <w:t>Special Performance Award</w:t>
      </w:r>
      <w:r>
        <w:rPr>
          <w:rFonts w:ascii="Times New Roman" w:hAnsi="Times New Roman"/>
          <w:sz w:val="20"/>
        </w:rPr>
        <w:t>. A participant may be eligible for an award dependent on Special Performance which may include or may be exclusively individual, departmental and/or divisional performance. Participant eligibility for a Special Performance Award is determined by the CEO or his or her designee. Up to 100% of a participant’s bonus opportunity may based upon Special Performance.</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For each participant who is eligible for a Special Performance Award, individual, departmental and/or divisional goals shall be established for the Fiscal Year and communicated to the participant. After the end of a Fiscal year, each participant’s achievement of such goals will be evaluated and a Special Objectives Achievement Percentage from 0% to 200% will be recommended, reflecting the achievement of the individual, departmental and/or divisional goals during such Fiscal Year.</w:t>
      </w:r>
    </w:p>
    <w:p>
      <w:pPr>
        <w:pStyle w:val="TextBody"/>
        <w:spacing w:lineRule="auto" w:line="300" w:before="0" w:after="0"/>
        <w:ind w:left="0" w:right="0" w:hanging="0"/>
        <w:jc w:val="both"/>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A participant shall be entitled to a Special Performance Award computed as follows:</w:t>
      </w:r>
    </w:p>
    <w:p>
      <w:pPr>
        <w:pStyle w:val="TextBody"/>
        <w:spacing w:lineRule="auto" w:line="300" w:before="0" w:after="0"/>
        <w:ind w:left="0" w:right="0" w:hanging="0"/>
        <w:jc w:val="left"/>
        <w:rPr/>
      </w:pPr>
      <w:r>
        <w:rPr/>
      </w:r>
    </w:p>
    <w:tbl>
      <w:tblPr>
        <w:tblW w:w="5000" w:type="pct"/>
        <w:jc w:val="left"/>
        <w:tblInd w:w="0" w:type="dxa"/>
        <w:tblCellMar>
          <w:top w:w="0" w:type="dxa"/>
          <w:left w:w="0" w:type="dxa"/>
          <w:bottom w:w="0" w:type="dxa"/>
          <w:right w:w="0" w:type="dxa"/>
        </w:tblCellMar>
      </w:tblPr>
      <w:tblGrid>
        <w:gridCol w:w="1840"/>
        <w:gridCol w:w="101"/>
        <w:gridCol w:w="203"/>
        <w:gridCol w:w="100"/>
        <w:gridCol w:w="1841"/>
        <w:gridCol w:w="100"/>
        <w:gridCol w:w="203"/>
        <w:gridCol w:w="101"/>
        <w:gridCol w:w="1840"/>
        <w:gridCol w:w="101"/>
        <w:gridCol w:w="203"/>
        <w:gridCol w:w="100"/>
        <w:gridCol w:w="1022"/>
        <w:gridCol w:w="101"/>
        <w:gridCol w:w="203"/>
        <w:gridCol w:w="100"/>
        <w:gridCol w:w="2046"/>
      </w:tblGrid>
      <w:tr>
        <w:trPr/>
        <w:tc>
          <w:tcPr>
            <w:tcW w:w="1840"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Percent of Target</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Bonus Subject to</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Special</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Performance</w:t>
            </w:r>
          </w:p>
        </w:tc>
        <w:tc>
          <w:tcPr>
            <w:tcW w:w="101" w:type="dxa"/>
            <w:tcBorders/>
            <w:shd w:fill="auto" w:val="clear"/>
          </w:tcPr>
          <w:p>
            <w:pPr>
              <w:pStyle w:val="TableContents"/>
              <w:spacing w:lineRule="auto" w:line="300" w:before="0" w:after="0"/>
              <w:ind w:left="0" w:right="0" w:hanging="0"/>
              <w:jc w:val="center"/>
              <w:rPr/>
            </w:pPr>
            <w:r>
              <w:rPr/>
              <w:t> </w:t>
            </w:r>
          </w:p>
        </w:tc>
        <w:tc>
          <w:tcPr>
            <w:tcW w:w="203"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x</w:t>
            </w:r>
          </w:p>
        </w:tc>
        <w:tc>
          <w:tcPr>
            <w:tcW w:w="100" w:type="dxa"/>
            <w:tcBorders/>
            <w:shd w:fill="auto" w:val="clear"/>
            <w:vAlign w:val="center"/>
          </w:tcPr>
          <w:p>
            <w:pPr>
              <w:pStyle w:val="TableContents"/>
              <w:spacing w:before="0" w:after="283"/>
              <w:rPr/>
            </w:pPr>
            <w:r>
              <w:rPr/>
              <w:t> </w:t>
            </w:r>
          </w:p>
        </w:tc>
        <w:tc>
          <w:tcPr>
            <w:tcW w:w="1841"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Target Bonus</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as a Percent</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of Base</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Salary</w:t>
            </w:r>
          </w:p>
        </w:tc>
        <w:tc>
          <w:tcPr>
            <w:tcW w:w="100" w:type="dxa"/>
            <w:tcBorders/>
            <w:shd w:fill="auto" w:val="clear"/>
          </w:tcPr>
          <w:p>
            <w:pPr>
              <w:pStyle w:val="TableContents"/>
              <w:spacing w:lineRule="auto" w:line="300" w:before="0" w:after="0"/>
              <w:ind w:left="0" w:right="0" w:hanging="0"/>
              <w:jc w:val="center"/>
              <w:rPr/>
            </w:pPr>
            <w:r>
              <w:rPr/>
              <w:t> </w:t>
            </w:r>
          </w:p>
        </w:tc>
        <w:tc>
          <w:tcPr>
            <w:tcW w:w="203"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x</w:t>
            </w:r>
          </w:p>
        </w:tc>
        <w:tc>
          <w:tcPr>
            <w:tcW w:w="101" w:type="dxa"/>
            <w:tcBorders/>
            <w:shd w:fill="auto" w:val="clear"/>
            <w:vAlign w:val="center"/>
          </w:tcPr>
          <w:p>
            <w:pPr>
              <w:pStyle w:val="TableContents"/>
              <w:spacing w:before="0" w:after="283"/>
              <w:rPr/>
            </w:pPr>
            <w:r>
              <w:rPr/>
              <w:t> </w:t>
            </w:r>
          </w:p>
        </w:tc>
        <w:tc>
          <w:tcPr>
            <w:tcW w:w="1840"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Percent of Special</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Objectives Earned</w:t>
            </w:r>
          </w:p>
        </w:tc>
        <w:tc>
          <w:tcPr>
            <w:tcW w:w="101" w:type="dxa"/>
            <w:tcBorders/>
            <w:shd w:fill="auto" w:val="clear"/>
          </w:tcPr>
          <w:p>
            <w:pPr>
              <w:pStyle w:val="TableContents"/>
              <w:spacing w:lineRule="auto" w:line="300" w:before="0" w:after="0"/>
              <w:ind w:left="0" w:right="0" w:hanging="0"/>
              <w:jc w:val="center"/>
              <w:rPr/>
            </w:pPr>
            <w:r>
              <w:rPr/>
              <w:t> </w:t>
            </w:r>
          </w:p>
        </w:tc>
        <w:tc>
          <w:tcPr>
            <w:tcW w:w="203"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x</w:t>
            </w:r>
          </w:p>
        </w:tc>
        <w:tc>
          <w:tcPr>
            <w:tcW w:w="100" w:type="dxa"/>
            <w:tcBorders/>
            <w:shd w:fill="auto" w:val="clear"/>
            <w:vAlign w:val="center"/>
          </w:tcPr>
          <w:p>
            <w:pPr>
              <w:pStyle w:val="TableContents"/>
              <w:spacing w:before="0" w:after="283"/>
              <w:rPr/>
            </w:pPr>
            <w:r>
              <w:rPr/>
              <w:t> </w:t>
            </w:r>
          </w:p>
        </w:tc>
        <w:tc>
          <w:tcPr>
            <w:tcW w:w="1022"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Base</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Salary</w:t>
            </w:r>
          </w:p>
        </w:tc>
        <w:tc>
          <w:tcPr>
            <w:tcW w:w="101" w:type="dxa"/>
            <w:tcBorders/>
            <w:shd w:fill="auto" w:val="clear"/>
          </w:tcPr>
          <w:p>
            <w:pPr>
              <w:pStyle w:val="TableContents"/>
              <w:spacing w:lineRule="auto" w:line="300" w:before="0" w:after="0"/>
              <w:ind w:left="0" w:right="0" w:hanging="0"/>
              <w:jc w:val="center"/>
              <w:rPr/>
            </w:pPr>
            <w:r>
              <w:rPr/>
              <w:t> </w:t>
            </w:r>
          </w:p>
        </w:tc>
        <w:tc>
          <w:tcPr>
            <w:tcW w:w="203"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lineRule="auto" w:line="300" w:before="0" w:after="0"/>
              <w:ind w:left="0" w:right="0" w:hanging="0"/>
              <w:jc w:val="left"/>
              <w:rPr/>
            </w:pPr>
            <w:r>
              <w:rPr/>
              <w:t> </w:t>
            </w:r>
          </w:p>
        </w:tc>
        <w:tc>
          <w:tcPr>
            <w:tcW w:w="2046"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Special</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Performance</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Award</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Where:</w:t>
      </w:r>
    </w:p>
    <w:p>
      <w:pPr>
        <w:pStyle w:val="Normal"/>
        <w:spacing w:before="0" w:after="0"/>
        <w:rPr>
          <w:sz w:val="4"/>
          <w:szCs w:val="4"/>
        </w:rPr>
      </w:pPr>
      <w:r>
        <w:rPr>
          <w:sz w:val="4"/>
          <w:szCs w:val="4"/>
        </w:rPr>
      </w:r>
      <w:bookmarkStart w:id="1131" w:name="hangingindent20"/>
      <w:bookmarkStart w:id="1132" w:name="hangingindent20"/>
      <w:bookmarkEnd w:id="1132"/>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t>“</w:t>
            </w:r>
            <w:r>
              <w:rPr>
                <w:rFonts w:ascii="Times New Roman" w:hAnsi="Times New Roman"/>
                <w:sz w:val="20"/>
              </w:rPr>
              <w:t>Percent of Bonus Subject to Special Performance” shall range from 0% to 100% and may vary from Fiscal year to Fiscal Year.</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33" w:name="hangingindent21"/>
      <w:bookmarkStart w:id="1134" w:name="hangingindent21"/>
      <w:bookmarkEnd w:id="1134"/>
    </w:p>
    <w:tbl>
      <w:tblPr>
        <w:tblW w:w="5000" w:type="pct"/>
        <w:jc w:val="center"/>
        <w:tblInd w:w="0" w:type="dxa"/>
        <w:tblCellMar>
          <w:top w:w="0" w:type="dxa"/>
          <w:left w:w="0" w:type="dxa"/>
          <w:bottom w:w="0" w:type="dxa"/>
          <w:right w:w="0" w:type="dxa"/>
        </w:tblCellMar>
      </w:tblPr>
      <w:tblGrid>
        <w:gridCol w:w="64"/>
        <w:gridCol w:w="102"/>
        <w:gridCol w:w="10039"/>
      </w:tblGrid>
      <w:tr>
        <w:trPr/>
        <w:tc>
          <w:tcPr>
            <w:tcW w:w="64" w:type="dxa"/>
            <w:tcBorders/>
            <w:shd w:fill="auto" w:val="clear"/>
          </w:tcPr>
          <w:p>
            <w:pPr>
              <w:pStyle w:val="TableContents"/>
              <w:spacing w:before="0" w:after="283"/>
              <w:rPr/>
            </w:pPr>
            <w:r>
              <w:rPr/>
              <w:t> </w:t>
            </w:r>
          </w:p>
        </w:tc>
        <w:tc>
          <w:tcPr>
            <w:tcW w:w="102"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39" w:type="dxa"/>
            <w:tcBorders/>
            <w:shd w:fill="auto" w:val="clear"/>
          </w:tcPr>
          <w:p>
            <w:pPr>
              <w:pStyle w:val="TableContents"/>
              <w:spacing w:before="0" w:after="0"/>
              <w:ind w:left="0" w:right="0" w:hanging="0"/>
              <w:jc w:val="both"/>
              <w:rPr/>
            </w:pPr>
            <w:r>
              <w:rPr/>
              <w:t>“</w:t>
            </w:r>
            <w:r>
              <w:rPr>
                <w:rFonts w:ascii="Times New Roman" w:hAnsi="Times New Roman"/>
                <w:sz w:val="20"/>
              </w:rPr>
              <w:t>Target Bonus as a Percent of Base Salary” is determined for the particular position or salary grade each Fiscal Year</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35" w:name="hangingindent22"/>
      <w:bookmarkStart w:id="1136" w:name="hangingindent22"/>
      <w:bookmarkEnd w:id="1136"/>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t>“</w:t>
            </w:r>
            <w:r>
              <w:rPr>
                <w:rFonts w:ascii="Times New Roman" w:hAnsi="Times New Roman"/>
                <w:sz w:val="20"/>
              </w:rPr>
              <w:t>Target Bonus” is a participant’s Target Bonus as a Percent of Salary multiplied by the participant’s Base Salary. If corporate target(s) and individual and/or departmental or divisional goals are achieved but not exceeded in a Fiscal Year, a participant’s combined Corporate Financial Performance Bonus, Special Performance Bonus and Executive Deferred Bonus will be 100% of Target Bonus, subject to the participant’s satisfaction of all requirements for entitlement and any adjustments made due to extraordinary circumstances or otherwise.</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37" w:name="hangingindent23"/>
      <w:bookmarkStart w:id="1138" w:name="hangingindent23"/>
      <w:bookmarkEnd w:id="1138"/>
    </w:p>
    <w:tbl>
      <w:tblPr>
        <w:tblW w:w="5000" w:type="pct"/>
        <w:jc w:val="center"/>
        <w:tblInd w:w="0" w:type="dxa"/>
        <w:tblCellMar>
          <w:top w:w="0" w:type="dxa"/>
          <w:left w:w="0" w:type="dxa"/>
          <w:bottom w:w="0" w:type="dxa"/>
          <w:right w:w="0" w:type="dxa"/>
        </w:tblCellMar>
      </w:tblPr>
      <w:tblGrid>
        <w:gridCol w:w="179"/>
        <w:gridCol w:w="284"/>
        <w:gridCol w:w="9742"/>
      </w:tblGrid>
      <w:tr>
        <w:trPr/>
        <w:tc>
          <w:tcPr>
            <w:tcW w:w="179" w:type="dxa"/>
            <w:tcBorders/>
            <w:shd w:fill="auto" w:val="clear"/>
          </w:tcPr>
          <w:p>
            <w:pPr>
              <w:pStyle w:val="TableContents"/>
              <w:spacing w:before="0" w:after="283"/>
              <w:rPr/>
            </w:pPr>
            <w:r>
              <w:rPr/>
              <w:t> </w:t>
            </w:r>
          </w:p>
        </w:tc>
        <w:tc>
          <w:tcPr>
            <w:tcW w:w="284"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742" w:type="dxa"/>
            <w:tcBorders/>
            <w:shd w:fill="auto" w:val="clear"/>
          </w:tcPr>
          <w:p>
            <w:pPr>
              <w:pStyle w:val="TableContents"/>
              <w:spacing w:before="0" w:after="0"/>
              <w:ind w:left="0" w:right="0" w:hanging="0"/>
              <w:jc w:val="both"/>
              <w:rPr/>
            </w:pPr>
            <w:r>
              <w:rPr/>
              <w:t>“</w:t>
            </w:r>
            <w:r>
              <w:rPr>
                <w:rFonts w:ascii="Times New Roman" w:hAnsi="Times New Roman"/>
                <w:sz w:val="20"/>
              </w:rPr>
              <w:t>Base Salary” is defined in Section II A.</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39" w:name="hangingindent24"/>
      <w:bookmarkStart w:id="1140" w:name="hangingindent24"/>
      <w:bookmarkEnd w:id="1140"/>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t>“</w:t>
            </w:r>
            <w:r>
              <w:rPr>
                <w:rFonts w:ascii="Times New Roman" w:hAnsi="Times New Roman"/>
                <w:sz w:val="20"/>
              </w:rPr>
              <w:t>Percent of Special Objectives Earned “ is determined by the performance of the individual, department and/or division against established special goals. The percent earned may also be dependent on established levels of Corporate Financial Performance. The Percent of Special Objectives Earned may range from 0% to 200% if the Special Performance Bonus and the Corporate Financial Performance Bonus are independent of one another. If the Special Performance Bonus and the Corporate Financial Performance Bonus are integrated, the Percent of Special Objectives Earned may be negative so that the total bonus earned may be as low as zero.</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Fonts w:ascii="Times New Roman" w:hAnsi="Times New Roman"/>
          <w:sz w:val="20"/>
        </w:rPr>
        <w:t>VIII.</w:t>
      </w:r>
      <w:bookmarkStart w:id="1141" w:name="TAB2141"/>
      <w:bookmarkEnd w:id="1141"/>
      <w:r>
        <w:rPr>
          <w:color w:val="000000"/>
          <w:spacing w:val="540"/>
        </w:rPr>
        <w:t> </w:t>
      </w:r>
      <w:r>
        <w:rPr>
          <w:rFonts w:ascii="Times New Roman" w:hAnsi="Times New Roman"/>
          <w:sz w:val="20"/>
          <w:u w:val="single"/>
        </w:rPr>
        <w:t>Executive Deferred Bonus Award</w:t>
      </w:r>
      <w:r>
        <w:rPr>
          <w:rFonts w:ascii="Times New Roman" w:hAnsi="Times New Roman"/>
          <w:sz w:val="20"/>
        </w:rPr>
        <w:t xml:space="preserve">. Participant eligibility for an Executive Deferred Bonus Award is determined by the CEO or his or her designee. Up to 100% of a participant’s bonus opportunity may be in the form of an Executive Deferred Bonus. Payment of Executive Deferred Bonus Awards is deferred until the vesting date(s) established for each Fiscal Year’s award. </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A participant in the Plan shall be entitled to an Executive Deferred Bonus Award computed in accordance with the following formula:</w:t>
      </w:r>
    </w:p>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849"/>
        <w:gridCol w:w="113"/>
        <w:gridCol w:w="231"/>
        <w:gridCol w:w="113"/>
        <w:gridCol w:w="1634"/>
        <w:gridCol w:w="113"/>
        <w:gridCol w:w="231"/>
        <w:gridCol w:w="113"/>
        <w:gridCol w:w="1836"/>
        <w:gridCol w:w="113"/>
        <w:gridCol w:w="172"/>
        <w:gridCol w:w="172"/>
        <w:gridCol w:w="535"/>
        <w:gridCol w:w="652"/>
        <w:gridCol w:w="172"/>
        <w:gridCol w:w="173"/>
        <w:gridCol w:w="1983"/>
      </w:tblGrid>
      <w:tr>
        <w:trPr/>
        <w:tc>
          <w:tcPr>
            <w:tcW w:w="1849"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Percent of Target</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Bonus Payable as</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Executive Deferred</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Bonus</w:t>
            </w:r>
          </w:p>
        </w:tc>
        <w:tc>
          <w:tcPr>
            <w:tcW w:w="113" w:type="dxa"/>
            <w:tcBorders/>
            <w:shd w:fill="auto" w:val="clear"/>
          </w:tcPr>
          <w:p>
            <w:pPr>
              <w:pStyle w:val="TableContents"/>
              <w:spacing w:lineRule="auto" w:line="300" w:before="0" w:after="0"/>
              <w:ind w:left="0" w:right="0" w:hanging="0"/>
              <w:jc w:val="center"/>
              <w:rPr/>
            </w:pPr>
            <w:r>
              <w:rPr/>
              <w:t> </w:t>
            </w:r>
          </w:p>
        </w:tc>
        <w:tc>
          <w:tcPr>
            <w:tcW w:w="231"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x</w:t>
            </w:r>
          </w:p>
        </w:tc>
        <w:tc>
          <w:tcPr>
            <w:tcW w:w="113" w:type="dxa"/>
            <w:tcBorders/>
            <w:shd w:fill="auto" w:val="clear"/>
            <w:vAlign w:val="center"/>
          </w:tcPr>
          <w:p>
            <w:pPr>
              <w:pStyle w:val="TableContents"/>
              <w:spacing w:before="0" w:after="283"/>
              <w:rPr/>
            </w:pPr>
            <w:r>
              <w:rPr/>
              <w:t> </w:t>
            </w:r>
          </w:p>
        </w:tc>
        <w:tc>
          <w:tcPr>
            <w:tcW w:w="1634"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Target Bonus</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as a Percent</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of Base</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Salary</w:t>
            </w:r>
          </w:p>
        </w:tc>
        <w:tc>
          <w:tcPr>
            <w:tcW w:w="113" w:type="dxa"/>
            <w:tcBorders/>
            <w:shd w:fill="auto" w:val="clear"/>
            <w:vAlign w:val="center"/>
          </w:tcPr>
          <w:p>
            <w:pPr>
              <w:pStyle w:val="TableContents"/>
              <w:spacing w:before="0" w:after="283"/>
              <w:rPr/>
            </w:pPr>
            <w:r>
              <w:rPr/>
              <w:t> </w:t>
            </w:r>
          </w:p>
        </w:tc>
        <w:tc>
          <w:tcPr>
            <w:tcW w:w="231"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x</w:t>
            </w:r>
          </w:p>
        </w:tc>
        <w:tc>
          <w:tcPr>
            <w:tcW w:w="113" w:type="dxa"/>
            <w:tcBorders/>
            <w:shd w:fill="auto" w:val="clear"/>
            <w:vAlign w:val="center"/>
          </w:tcPr>
          <w:p>
            <w:pPr>
              <w:pStyle w:val="TableContents"/>
              <w:spacing w:before="0" w:after="283"/>
              <w:rPr/>
            </w:pPr>
            <w:r>
              <w:rPr/>
              <w:t> </w:t>
            </w:r>
          </w:p>
        </w:tc>
        <w:tc>
          <w:tcPr>
            <w:tcW w:w="1836"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Percent of</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Executive Deferred</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Bonus Earned</w:t>
            </w:r>
          </w:p>
        </w:tc>
        <w:tc>
          <w:tcPr>
            <w:tcW w:w="113" w:type="dxa"/>
            <w:tcBorders/>
            <w:shd w:fill="auto" w:val="clear"/>
          </w:tcPr>
          <w:p>
            <w:pPr>
              <w:pStyle w:val="TableContents"/>
              <w:spacing w:lineRule="auto" w:line="300" w:before="0" w:after="0"/>
              <w:ind w:left="0" w:right="0" w:hanging="0"/>
              <w:jc w:val="center"/>
              <w:rPr/>
            </w:pPr>
            <w:r>
              <w:rPr/>
              <w:t> </w:t>
            </w:r>
          </w:p>
        </w:tc>
        <w:tc>
          <w:tcPr>
            <w:tcW w:w="172"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x</w:t>
            </w:r>
          </w:p>
        </w:tc>
        <w:tc>
          <w:tcPr>
            <w:tcW w:w="172" w:type="dxa"/>
            <w:tcBorders/>
            <w:shd w:fill="auto" w:val="clear"/>
          </w:tcPr>
          <w:p>
            <w:pPr>
              <w:pStyle w:val="TableContents"/>
              <w:spacing w:lineRule="auto" w:line="300" w:before="0" w:after="0"/>
              <w:ind w:left="0" w:right="0" w:hanging="0"/>
              <w:jc w:val="left"/>
              <w:rPr/>
            </w:pPr>
            <w:r>
              <w:rPr/>
              <w:t> </w:t>
            </w:r>
          </w:p>
        </w:tc>
        <w:tc>
          <w:tcPr>
            <w:tcW w:w="535"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Base</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Salary</w:t>
            </w:r>
          </w:p>
        </w:tc>
        <w:tc>
          <w:tcPr>
            <w:tcW w:w="652" w:type="dxa"/>
            <w:tcBorders/>
            <w:shd w:fill="auto" w:val="clear"/>
          </w:tcPr>
          <w:p>
            <w:pPr>
              <w:pStyle w:val="TableContents"/>
              <w:spacing w:lineRule="auto" w:line="300" w:before="0" w:after="0"/>
              <w:ind w:left="0" w:right="0" w:hanging="0"/>
              <w:jc w:val="center"/>
              <w:rPr/>
            </w:pPr>
            <w:r>
              <w:rPr/>
              <w:t> </w:t>
            </w:r>
          </w:p>
        </w:tc>
        <w:tc>
          <w:tcPr>
            <w:tcW w:w="172"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w:t>
            </w:r>
          </w:p>
        </w:tc>
        <w:tc>
          <w:tcPr>
            <w:tcW w:w="173" w:type="dxa"/>
            <w:tcBorders/>
            <w:shd w:fill="auto" w:val="clear"/>
          </w:tcPr>
          <w:p>
            <w:pPr>
              <w:pStyle w:val="TableContents"/>
              <w:spacing w:lineRule="auto" w:line="300" w:before="0" w:after="0"/>
              <w:ind w:left="0" w:right="0" w:hanging="0"/>
              <w:jc w:val="left"/>
              <w:rPr/>
            </w:pPr>
            <w:r>
              <w:rPr/>
              <w:t> </w:t>
            </w:r>
          </w:p>
        </w:tc>
        <w:tc>
          <w:tcPr>
            <w:tcW w:w="1983"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Executive Deferred</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Bonus Award</w:t>
            </w:r>
          </w:p>
        </w:tc>
      </w:tr>
    </w:tbl>
    <w:p>
      <w:pPr>
        <w:pStyle w:val="TextBody"/>
        <w:spacing w:lineRule="auto" w:line="30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42" w:name="PGBRK41"/>
      <w:bookmarkStart w:id="1143" w:name="PGBRK41"/>
      <w:bookmarkEnd w:id="11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44" w:name="FTR41"/>
      <w:bookmarkStart w:id="1145" w:name="FTR41"/>
      <w:bookmarkEnd w:id="11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46" w:name="GLFTR41"/>
      <w:bookmarkEnd w:id="114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147" w:name="PN41"/>
      <w:bookmarkEnd w:id="1147"/>
      <w:r>
        <w:rPr>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48" w:name="HDR41"/>
      <w:bookmarkStart w:id="1149" w:name="HDR41"/>
      <w:bookmarkEnd w:id="11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50" w:name="GLHDR41"/>
      <w:bookmarkEnd w:id="115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Where:</w:t>
      </w:r>
    </w:p>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1151" w:name="hangingindent25"/>
      <w:bookmarkStart w:id="1152" w:name="hangingindent25"/>
      <w:bookmarkEnd w:id="1152"/>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t>“</w:t>
            </w:r>
            <w:r>
              <w:rPr>
                <w:rFonts w:ascii="Times New Roman" w:hAnsi="Times New Roman"/>
                <w:sz w:val="20"/>
              </w:rPr>
              <w:t>Percent of Target Bonus Payable as Executive Deferred Bonus” shall range from 0% to 100% and may vary from Fiscal Year to Fiscal Year.</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53" w:name="hangingindent26"/>
      <w:bookmarkStart w:id="1154" w:name="hangingindent26"/>
      <w:bookmarkEnd w:id="1154"/>
    </w:p>
    <w:tbl>
      <w:tblPr>
        <w:tblW w:w="5000" w:type="pct"/>
        <w:jc w:val="center"/>
        <w:tblInd w:w="0" w:type="dxa"/>
        <w:tblCellMar>
          <w:top w:w="0" w:type="dxa"/>
          <w:left w:w="0" w:type="dxa"/>
          <w:bottom w:w="0" w:type="dxa"/>
          <w:right w:w="0" w:type="dxa"/>
        </w:tblCellMar>
      </w:tblPr>
      <w:tblGrid>
        <w:gridCol w:w="62"/>
        <w:gridCol w:w="98"/>
        <w:gridCol w:w="10045"/>
      </w:tblGrid>
      <w:tr>
        <w:trPr/>
        <w:tc>
          <w:tcPr>
            <w:tcW w:w="62" w:type="dxa"/>
            <w:tcBorders/>
            <w:shd w:fill="auto" w:val="clear"/>
          </w:tcPr>
          <w:p>
            <w:pPr>
              <w:pStyle w:val="TableContents"/>
              <w:spacing w:before="0" w:after="283"/>
              <w:rPr/>
            </w:pPr>
            <w:r>
              <w:rPr/>
              <w:t> </w:t>
            </w:r>
          </w:p>
        </w:tc>
        <w:tc>
          <w:tcPr>
            <w:tcW w:w="98"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45" w:type="dxa"/>
            <w:tcBorders/>
            <w:shd w:fill="auto" w:val="clear"/>
          </w:tcPr>
          <w:p>
            <w:pPr>
              <w:pStyle w:val="TableContents"/>
              <w:spacing w:before="0" w:after="0"/>
              <w:ind w:left="0" w:right="0" w:hanging="0"/>
              <w:jc w:val="both"/>
              <w:rPr/>
            </w:pPr>
            <w:r>
              <w:rPr/>
              <w:t>“</w:t>
            </w:r>
            <w:r>
              <w:rPr>
                <w:rFonts w:ascii="Times New Roman" w:hAnsi="Times New Roman"/>
                <w:sz w:val="20"/>
              </w:rPr>
              <w:t>Target Bonus as a Percent of Base Salary” is determined for the particular position or salary grade for each Fiscal Year.</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55" w:name="hangingindent27"/>
      <w:bookmarkStart w:id="1156" w:name="hangingindent27"/>
      <w:bookmarkEnd w:id="1156"/>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t>“</w:t>
            </w:r>
            <w:r>
              <w:rPr>
                <w:rFonts w:ascii="Times New Roman" w:hAnsi="Times New Roman"/>
                <w:sz w:val="20"/>
              </w:rPr>
              <w:t>Target Bonus” is a participant’s Target Bonus as a Percent of Salary multiplied by the participant’s Base Salary. If corporate target(s) and individual and/or departmental or divisional goals are achieved but not exceeded in a Fiscal Year, a participant’s combined Corporate Financial Performance Bonus, Special Performance Bonus and Executive Deferred Bonus will be 100% of Target Bonus, subject to the participant’s satisfaction of all requirements for entitlement and any adjustments made due to extraordinary circumstances or otherwise.</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57" w:name="hangingindent28"/>
      <w:bookmarkStart w:id="1158" w:name="hangingindent28"/>
      <w:bookmarkEnd w:id="1158"/>
    </w:p>
    <w:tbl>
      <w:tblPr>
        <w:tblW w:w="5000" w:type="pct"/>
        <w:jc w:val="center"/>
        <w:tblInd w:w="0" w:type="dxa"/>
        <w:tblCellMar>
          <w:top w:w="0" w:type="dxa"/>
          <w:left w:w="0" w:type="dxa"/>
          <w:bottom w:w="0" w:type="dxa"/>
          <w:right w:w="0" w:type="dxa"/>
        </w:tblCellMar>
      </w:tblPr>
      <w:tblGrid>
        <w:gridCol w:w="179"/>
        <w:gridCol w:w="284"/>
        <w:gridCol w:w="9742"/>
      </w:tblGrid>
      <w:tr>
        <w:trPr/>
        <w:tc>
          <w:tcPr>
            <w:tcW w:w="179" w:type="dxa"/>
            <w:tcBorders/>
            <w:shd w:fill="auto" w:val="clear"/>
          </w:tcPr>
          <w:p>
            <w:pPr>
              <w:pStyle w:val="TableContents"/>
              <w:spacing w:before="0" w:after="283"/>
              <w:rPr/>
            </w:pPr>
            <w:r>
              <w:rPr/>
              <w:t> </w:t>
            </w:r>
          </w:p>
        </w:tc>
        <w:tc>
          <w:tcPr>
            <w:tcW w:w="284"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742" w:type="dxa"/>
            <w:tcBorders/>
            <w:shd w:fill="auto" w:val="clear"/>
          </w:tcPr>
          <w:p>
            <w:pPr>
              <w:pStyle w:val="TableContents"/>
              <w:spacing w:before="0" w:after="0"/>
              <w:ind w:left="0" w:right="0" w:hanging="0"/>
              <w:jc w:val="both"/>
              <w:rPr/>
            </w:pPr>
            <w:r>
              <w:rPr/>
              <w:t>“</w:t>
            </w:r>
            <w:r>
              <w:rPr>
                <w:rFonts w:ascii="Times New Roman" w:hAnsi="Times New Roman"/>
                <w:sz w:val="20"/>
              </w:rPr>
              <w:t>Base Salary” is defined in Section II A.</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59" w:name="hangingindent29"/>
      <w:bookmarkStart w:id="1160" w:name="hangingindent29"/>
      <w:bookmarkEnd w:id="1160"/>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t>“</w:t>
            </w:r>
            <w:r>
              <w:rPr>
                <w:rFonts w:ascii="Times New Roman" w:hAnsi="Times New Roman"/>
                <w:sz w:val="20"/>
              </w:rPr>
              <w:t>Percent of Executive Deferred Bonus Earned” ranges from 0% to 200% and is determined by the relationship of actual achievement to targeted achievement of established goals. Goals may be Corporate Financial Performance goals, special performance goals for the participant and/or the participant’s department or division or a combination of Corporate Financial Performance and special performance goals. A specific level of Corporate Financial Performance may be required before any Executive Deferred Bonus can be awarded. For actual performance within the established goals, a payout range (which may vary from 0% to 200% of Target Bonus) is established. The CEO has complete discretion to adjust individual awards downward or upward, depending on the participant’s individual performance and/or the performance of the participant’s department or division. The relationship of actual achievement to the performance range will be determined based on guidelines established each year.</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Accounts and Interest:</w:t>
      </w:r>
    </w:p>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1161" w:name="hangingindent30"/>
      <w:bookmarkStart w:id="1162" w:name="hangingindent30"/>
      <w:bookmarkEnd w:id="1162"/>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Company shall establish a bookkeeping account for each participant reflecting Executive Deferred Bonus Awards and any distributions to the participant, together with any adjustments for earnings.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63" w:name="hangingindent31"/>
      <w:bookmarkStart w:id="1164" w:name="hangingindent31"/>
      <w:bookmarkEnd w:id="1164"/>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Until distributed, Executive Deferred Bonus Awards shall earn interest at a rate equal to the Company’s long-term borrowing cost plus one percent.</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65" w:name="hangingindent32"/>
      <w:bookmarkStart w:id="1166" w:name="hangingindent32"/>
      <w:bookmarkEnd w:id="1166"/>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Company shall provide each participant as soon as practicable after the end of each Fiscal Year with a statement of his or her account as of the last business day of the Fiscal Year, reflecting the amounts of Executive Deferred Bonus awarded, interest, and distributions of such account since the prior statement.</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Payout of Executive Deferred Bonus Awards:</w:t>
      </w:r>
    </w:p>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1167" w:name="hangingindent33"/>
      <w:bookmarkStart w:id="1168" w:name="hangingindent33"/>
      <w:bookmarkEnd w:id="1168"/>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Fonts w:ascii="Times New Roman" w:hAnsi="Times New Roman"/>
                <w:sz w:val="20"/>
              </w:rPr>
              <w:t>Executive Deferred Bonus Awards shall vest (become payable) according to the vesting schedule established for each Fiscal Year. Awards shall be paid as soon as administratively practicable after they vest but in no event later than March 15</w:t>
            </w:r>
            <w:r>
              <w:rPr>
                <w:rFonts w:ascii="Times New Roman" w:hAnsi="Times New Roman"/>
                <w:position w:val="7"/>
                <w:sz w:val="16"/>
                <w:sz w:val="20"/>
              </w:rPr>
              <w:t>th</w:t>
            </w:r>
            <w:r>
              <w:rPr/>
              <w:t xml:space="preserve"> </w:t>
            </w:r>
            <w:r>
              <w:rPr>
                <w:rFonts w:ascii="Times New Roman" w:hAnsi="Times New Roman"/>
                <w:sz w:val="20"/>
              </w:rPr>
              <w:t>of the calendar year following the calendar year in which they vest.</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69" w:name="hangingindent34"/>
      <w:bookmarkStart w:id="1170" w:name="hangingindent34"/>
      <w:bookmarkEnd w:id="1170"/>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Except as specified below, no Executive Deferred Bonus Award shall be paid to any participant who is not employed by the Company on the date the award vests. However, awards shall be immediately 100% vested and immediately payable except as otherwise indicated below if the participant:</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71" w:name="hangingindent35"/>
      <w:bookmarkStart w:id="1172" w:name="hangingindent35"/>
      <w:bookmarkEnd w:id="1172"/>
    </w:p>
    <w:tbl>
      <w:tblPr>
        <w:tblW w:w="5000" w:type="pct"/>
        <w:jc w:val="center"/>
        <w:tblInd w:w="0" w:type="dxa"/>
        <w:tblCellMar>
          <w:top w:w="0" w:type="dxa"/>
          <w:left w:w="0" w:type="dxa"/>
          <w:bottom w:w="0" w:type="dxa"/>
          <w:right w:w="0" w:type="dxa"/>
        </w:tblCellMar>
      </w:tblPr>
      <w:tblGrid>
        <w:gridCol w:w="1029"/>
        <w:gridCol w:w="1629"/>
        <w:gridCol w:w="7547"/>
      </w:tblGrid>
      <w:tr>
        <w:trPr/>
        <w:tc>
          <w:tcPr>
            <w:tcW w:w="1029" w:type="dxa"/>
            <w:tcBorders/>
            <w:shd w:fill="auto" w:val="clear"/>
          </w:tcPr>
          <w:p>
            <w:pPr>
              <w:pStyle w:val="TableContents"/>
              <w:spacing w:before="0" w:after="283"/>
              <w:rPr/>
            </w:pPr>
            <w:r>
              <w:rPr/>
              <w:t> </w:t>
            </w:r>
          </w:p>
        </w:tc>
        <w:tc>
          <w:tcPr>
            <w:tcW w:w="1629"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75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Dies;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73" w:name="hangingindent36"/>
      <w:bookmarkStart w:id="1174" w:name="hangingindent36"/>
      <w:bookmarkEnd w:id="1174"/>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Retires and (1) he or she is eligible for an immediate benefit under a Company sponsored defined benefit pension plan and (2) his or her age plus years of service on the date of retirement equals at least 80; provided, however, that such award shall not be payable until six months and one day following the date of such participant’s Separation from Service (defined below). A termination for cause or for poor performance will not be considered a retirement regardless of the age or years of service of the participant;</w:t>
            </w:r>
          </w:p>
        </w:tc>
      </w:tr>
    </w:tbl>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75" w:name="PGBRK42"/>
      <w:bookmarkStart w:id="1176" w:name="PGBRK42"/>
      <w:bookmarkEnd w:id="11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77" w:name="FTR42"/>
      <w:bookmarkStart w:id="1178" w:name="FTR42"/>
      <w:bookmarkEnd w:id="11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79" w:name="GLFTR42"/>
      <w:bookmarkEnd w:id="117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180" w:name="PN42"/>
      <w:bookmarkEnd w:id="1180"/>
      <w:r>
        <w:rPr>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81" w:name="HDR42"/>
      <w:bookmarkStart w:id="1182" w:name="HDR42"/>
      <w:bookmarkEnd w:id="11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83" w:name="GLHDR42"/>
      <w:bookmarkEnd w:id="118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84" w:name="hangingindent37"/>
      <w:bookmarkStart w:id="1185" w:name="hangingindent37"/>
      <w:bookmarkEnd w:id="1185"/>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Becomes permanently disabled as defined under the Company’s long-term disability plan; provided that for any payment that has not otherwise vested in the ordinary course to be made before the participant incurs a Separation from Service (as defined below), the participant’s disability must also constitute a disability within the meaning of Code Section 22(e)(3).</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86" w:name="hangingindent38"/>
      <w:bookmarkStart w:id="1187" w:name="hangingindent38"/>
      <w:bookmarkEnd w:id="1187"/>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t>“</w:t>
            </w:r>
            <w:r>
              <w:rPr>
                <w:rFonts w:ascii="Times New Roman" w:hAnsi="Times New Roman"/>
                <w:sz w:val="20"/>
              </w:rPr>
              <w:t>Separation from Service” means the participant’s death, retirement or other termination of employment with the Company and all affiliates. For purposes of this definition, a “termination of employment” shall occur when the facts and circumstances indicate that the Company and the employee reasonably anticipate that no further services would be performed by the employee for the Company or any affiliate after a certain date or that the level of bona fide services the employee would perform after such date (whether as an employee or as an independent contractor), would permanently decrease to no more than 20% of the average level of bona fide services performed (whether as an employee or as an independent contractor) over the immediately preceding thirty-six (36)-month period (or full period of services to the Company and all affiliates if the employee has been providing services to the Company less than thirty-six (36) months).</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In addition, awards shall be immediately 100% vested and payable upon a change in control of the Company as defined in the Company’s 2006 Long Term Incentive Plan that is also a change in the ownership or effective control of the Company (as defined in Treasury Regulation §1.409A-3(i)(5)).</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Fonts w:ascii="Times New Roman" w:hAnsi="Times New Roman"/>
          <w:sz w:val="20"/>
        </w:rPr>
        <w:t>IX.</w:t>
      </w:r>
      <w:bookmarkStart w:id="1188" w:name="TAB2142"/>
      <w:bookmarkEnd w:id="1188"/>
      <w:r>
        <w:rPr>
          <w:color w:val="000000"/>
          <w:spacing w:val="540"/>
        </w:rPr>
        <w:t> </w:t>
      </w:r>
      <w:r>
        <w:rPr>
          <w:rFonts w:ascii="Times New Roman" w:hAnsi="Times New Roman"/>
          <w:sz w:val="20"/>
          <w:u w:val="single"/>
        </w:rPr>
        <w:t>Individual Discretionary Adjustment</w:t>
      </w:r>
      <w:r>
        <w:rPr>
          <w:rFonts w:ascii="Times New Roman" w:hAnsi="Times New Roman"/>
          <w:sz w:val="20"/>
        </w:rPr>
        <w:t>. The CEO may at his or her sole discretion increase or decrease any participant’s Percent of Corporate Financial Performance Bonus Earned by up to 25 points, provided that: (a) the Company achieves the minimum level of performance necessary to achieve an award for Corporate Financial Performance; (b) the combination of any Corporate Financial Performance, Special Performance and Executive Deferred Bonus Award(s) after giving effect to the individual discretionary adjustment would not exceed 200% of the participant’s Target Bonus; and (c) any such increases or decreases will not increase or decrease the total dollar amount of awards earned under the Plan by all participants. For example, if, per the Corporate Financial Performance measure(s), 75% of the Corporate Financial Performance Bonus has been earned, the CEO may adjust a participant’s Percent of Corporate Financial Performance Bonus Earned to as little as 50% or as much as 100%.</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Fonts w:ascii="Times New Roman" w:hAnsi="Times New Roman"/>
          <w:sz w:val="20"/>
        </w:rPr>
        <w:t>X.</w:t>
      </w:r>
      <w:bookmarkStart w:id="1189" w:name="TAB2143"/>
      <w:bookmarkEnd w:id="1189"/>
      <w:r>
        <w:rPr>
          <w:color w:val="000000"/>
          <w:spacing w:val="540"/>
        </w:rPr>
        <w:t> </w:t>
      </w:r>
      <w:r>
        <w:rPr>
          <w:rFonts w:ascii="Times New Roman" w:hAnsi="Times New Roman"/>
          <w:sz w:val="20"/>
          <w:u w:val="single"/>
        </w:rPr>
        <w:t>Changes to Target and Other Adjustments</w:t>
      </w:r>
      <w:r>
        <w:rPr>
          <w:rFonts w:ascii="Times New Roman" w:hAnsi="Times New Roman"/>
          <w:sz w:val="20"/>
        </w:rPr>
        <w:t>. The CEO may at any time prior to the final determination of awards, change the performance measures, targets and payout ranges used for incentive purposes if, in the judgment of the CEO, such change is desirable in the interest of equitable treatment of the participants and the Company as a result of extraordinary or nonrecurring events, changes in applicable accounting rules or principles, changes in the Company’s methods of accounting, changes in applicable law, changes due to consolidation, acquisitions, reorganization, stock split or stock dividends, combination of shares or other changes in the Company’s corporate structure or shares, significant, unanticipated changes in general economic or market conditions, or any other change in circumstances or event.</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Further, the CEO may at his or her discretion adjust, upward or downward, any award otherwise payable under the Plan, provided that after such adjustment the total of all awards to the participant under the Plan would not exceed 200% of the participant’s Target Bonus and further provided that any such adjustment of an award to the CEO shall be determined by the Compensation Committee and any such adjustment of an award to an Executive Officer shall be reviewed for reasonableness by the Compensation Committee.</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Further, the Compensation Committee may, for a specific Fiscal Year or Fiscal Years, grant to the CEO discretionary authority to make adjustments, including adjustments in addition to those stated in the Plan, to the performance measure(s), targets and payout ranges, or awards to individual participants including the Executive Officers, provided that in no event will the CEO be granted authority to make total awards under the Plan to any participant which exceed 200% of the participant’s Target Bonus.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Fonts w:ascii="Times New Roman" w:hAnsi="Times New Roman"/>
          <w:sz w:val="20"/>
        </w:rPr>
        <w:t>XI.</w:t>
      </w:r>
      <w:bookmarkStart w:id="1190" w:name="TAB2144"/>
      <w:bookmarkEnd w:id="1190"/>
      <w:r>
        <w:rPr>
          <w:color w:val="000000"/>
          <w:spacing w:val="540"/>
        </w:rPr>
        <w:t> </w:t>
      </w:r>
      <w:r>
        <w:rPr>
          <w:rFonts w:ascii="Times New Roman" w:hAnsi="Times New Roman"/>
          <w:sz w:val="20"/>
          <w:u w:val="single"/>
        </w:rPr>
        <w:t>Computation and Disbursement of Awards</w:t>
      </w:r>
      <w:r>
        <w:rPr>
          <w:rFonts w:ascii="Times New Roman" w:hAnsi="Times New Roman"/>
          <w:sz w:val="20"/>
        </w:rPr>
        <w:t>. As soon as administratively practicable after the close of a Fiscal Year, the CEO or his or her designee will review and approve for each participant a final Corporate Financial Performance Award; a Special Objectives Achievement Percentage and Special Performance Award, if any; an Executive Deferred Bonus Award, if any; and an Individual Discretionary Award, if any. Payment of the awards shall be made thereafter. All payments of awards shall be subject to applicable payroll taxes and withholding.</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Fonts w:ascii="Times New Roman" w:hAnsi="Times New Roman"/>
          <w:sz w:val="20"/>
        </w:rPr>
        <w:t>XII.</w:t>
      </w:r>
      <w:bookmarkStart w:id="1191" w:name="TAB2145"/>
      <w:bookmarkEnd w:id="1191"/>
      <w:r>
        <w:rPr>
          <w:color w:val="000000"/>
          <w:spacing w:val="540"/>
        </w:rPr>
        <w:t> </w:t>
      </w:r>
      <w:r>
        <w:rPr>
          <w:rFonts w:ascii="Times New Roman" w:hAnsi="Times New Roman"/>
          <w:sz w:val="20"/>
          <w:u w:val="single"/>
        </w:rPr>
        <w:t>Partial Awards</w:t>
      </w:r>
      <w:r>
        <w:rPr>
          <w:rFonts w:ascii="Times New Roman" w:hAnsi="Times New Roman"/>
          <w:sz w:val="20"/>
        </w:rPr>
        <w:t>. A participant who is not an active employee for the entire Fiscal Year shall be entitled to payment of a partial award computed in accordance with Sections VI, VII, VIII and IX and based on Base Salary for the Fiscal Year if, prior to the end of such Fiscal Year, the participant:</w:t>
      </w:r>
    </w:p>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92" w:name="PGBRK43"/>
      <w:bookmarkStart w:id="1193" w:name="PGBRK43"/>
      <w:bookmarkEnd w:id="11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94" w:name="FTR43"/>
      <w:bookmarkStart w:id="1195" w:name="FTR43"/>
      <w:bookmarkEnd w:id="1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96" w:name="GLFTR43"/>
      <w:bookmarkEnd w:id="119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197" w:name="PN43"/>
      <w:bookmarkEnd w:id="1197"/>
      <w:r>
        <w:rPr>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98" w:name="HDR43"/>
      <w:bookmarkStart w:id="1199" w:name="HDR43"/>
      <w:bookmarkEnd w:id="11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00" w:name="GLHDR43"/>
      <w:bookmarkEnd w:id="120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201" w:name="hangingindent39"/>
      <w:bookmarkStart w:id="1202" w:name="hangingindent39"/>
      <w:bookmarkEnd w:id="1202"/>
    </w:p>
    <w:tbl>
      <w:tblPr>
        <w:tblW w:w="5000" w:type="pct"/>
        <w:jc w:val="center"/>
        <w:tblInd w:w="0" w:type="dxa"/>
        <w:tblCellMar>
          <w:top w:w="0" w:type="dxa"/>
          <w:left w:w="0" w:type="dxa"/>
          <w:bottom w:w="0" w:type="dxa"/>
          <w:right w:w="0" w:type="dxa"/>
        </w:tblCellMar>
      </w:tblPr>
      <w:tblGrid>
        <w:gridCol w:w="1029"/>
        <w:gridCol w:w="1629"/>
        <w:gridCol w:w="7547"/>
      </w:tblGrid>
      <w:tr>
        <w:trPr/>
        <w:tc>
          <w:tcPr>
            <w:tcW w:w="1029" w:type="dxa"/>
            <w:tcBorders/>
            <w:shd w:fill="auto" w:val="clear"/>
          </w:tcPr>
          <w:p>
            <w:pPr>
              <w:pStyle w:val="TableContents"/>
              <w:spacing w:before="0" w:after="283"/>
              <w:rPr/>
            </w:pPr>
            <w:r>
              <w:rPr/>
              <w:t> </w:t>
            </w:r>
          </w:p>
        </w:tc>
        <w:tc>
          <w:tcPr>
            <w:tcW w:w="1629"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75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Dies;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203" w:name="hangingindent40"/>
      <w:bookmarkStart w:id="1204" w:name="hangingindent40"/>
      <w:bookmarkEnd w:id="1204"/>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Retires at or after age 55 with at least 10 years of service or at or after age 60 with at least five years of service. A termination for cause or for poor performance will not be considered a retirement regardless of the age or years of service of the participant;</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205" w:name="hangingindent41"/>
      <w:bookmarkStart w:id="1206" w:name="hangingindent41"/>
      <w:bookmarkEnd w:id="1206"/>
    </w:p>
    <w:tbl>
      <w:tblPr>
        <w:tblW w:w="5000" w:type="pct"/>
        <w:jc w:val="center"/>
        <w:tblInd w:w="0" w:type="dxa"/>
        <w:tblCellMar>
          <w:top w:w="0" w:type="dxa"/>
          <w:left w:w="0" w:type="dxa"/>
          <w:bottom w:w="0" w:type="dxa"/>
          <w:right w:w="0" w:type="dxa"/>
        </w:tblCellMar>
      </w:tblPr>
      <w:tblGrid>
        <w:gridCol w:w="81"/>
        <w:gridCol w:w="129"/>
        <w:gridCol w:w="9995"/>
      </w:tblGrid>
      <w:tr>
        <w:trPr/>
        <w:tc>
          <w:tcPr>
            <w:tcW w:w="81" w:type="dxa"/>
            <w:tcBorders/>
            <w:shd w:fill="auto" w:val="clear"/>
          </w:tcPr>
          <w:p>
            <w:pPr>
              <w:pStyle w:val="TableContents"/>
              <w:spacing w:before="0" w:after="283"/>
              <w:rPr/>
            </w:pPr>
            <w:r>
              <w:rPr/>
              <w:t> </w:t>
            </w:r>
          </w:p>
        </w:tc>
        <w:tc>
          <w:tcPr>
            <w:tcW w:w="129"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Becomes permanently disabled as defined under the Company’s long-term disability plan;</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207" w:name="hangingindent42"/>
      <w:bookmarkStart w:id="1208" w:name="hangingindent42"/>
      <w:bookmarkEnd w:id="1208"/>
    </w:p>
    <w:tbl>
      <w:tblPr>
        <w:tblW w:w="5000" w:type="pct"/>
        <w:jc w:val="center"/>
        <w:tblInd w:w="0" w:type="dxa"/>
        <w:tblCellMar>
          <w:top w:w="0" w:type="dxa"/>
          <w:left w:w="0" w:type="dxa"/>
          <w:bottom w:w="0" w:type="dxa"/>
          <w:right w:w="0" w:type="dxa"/>
        </w:tblCellMar>
      </w:tblPr>
      <w:tblGrid>
        <w:gridCol w:w="115"/>
        <w:gridCol w:w="183"/>
        <w:gridCol w:w="9907"/>
      </w:tblGrid>
      <w:tr>
        <w:trPr/>
        <w:tc>
          <w:tcPr>
            <w:tcW w:w="115" w:type="dxa"/>
            <w:tcBorders/>
            <w:shd w:fill="auto" w:val="clear"/>
          </w:tcPr>
          <w:p>
            <w:pPr>
              <w:pStyle w:val="TableContents"/>
              <w:spacing w:before="0" w:after="283"/>
              <w:rPr/>
            </w:pPr>
            <w:r>
              <w:rPr/>
              <w:t> </w:t>
            </w:r>
          </w:p>
        </w:tc>
        <w:tc>
          <w:tcPr>
            <w:tcW w:w="183"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0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Transfers to a position not eligible for participation in the Plan;</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209" w:name="hangingindent43"/>
      <w:bookmarkStart w:id="1210" w:name="hangingindent43"/>
      <w:bookmarkEnd w:id="1210"/>
    </w:p>
    <w:tbl>
      <w:tblPr>
        <w:tblW w:w="5000" w:type="pct"/>
        <w:jc w:val="center"/>
        <w:tblInd w:w="0" w:type="dxa"/>
        <w:tblCellMar>
          <w:top w:w="0" w:type="dxa"/>
          <w:left w:w="0" w:type="dxa"/>
          <w:bottom w:w="0" w:type="dxa"/>
          <w:right w:w="0" w:type="dxa"/>
        </w:tblCellMar>
      </w:tblPr>
      <w:tblGrid>
        <w:gridCol w:w="97"/>
        <w:gridCol w:w="153"/>
        <w:gridCol w:w="9955"/>
      </w:tblGrid>
      <w:tr>
        <w:trPr/>
        <w:tc>
          <w:tcPr>
            <w:tcW w:w="97" w:type="dxa"/>
            <w:tcBorders/>
            <w:shd w:fill="auto" w:val="clear"/>
          </w:tcPr>
          <w:p>
            <w:pPr>
              <w:pStyle w:val="TableContents"/>
              <w:spacing w:before="0" w:after="283"/>
              <w:rPr/>
            </w:pPr>
            <w:r>
              <w:rPr/>
              <w:t> </w:t>
            </w:r>
          </w:p>
        </w:tc>
        <w:tc>
          <w:tcPr>
            <w:tcW w:w="153"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5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Enters active duty military service in the Armed Forces of the United States;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211" w:name="hangingindent44"/>
      <w:bookmarkStart w:id="1212" w:name="hangingindent44"/>
      <w:bookmarkEnd w:id="1212"/>
    </w:p>
    <w:tbl>
      <w:tblPr>
        <w:tblW w:w="5000" w:type="pct"/>
        <w:jc w:val="center"/>
        <w:tblInd w:w="0" w:type="dxa"/>
        <w:tblCellMar>
          <w:top w:w="0" w:type="dxa"/>
          <w:left w:w="0" w:type="dxa"/>
          <w:bottom w:w="0" w:type="dxa"/>
          <w:right w:w="0" w:type="dxa"/>
        </w:tblCellMar>
      </w:tblPr>
      <w:tblGrid>
        <w:gridCol w:w="195"/>
        <w:gridCol w:w="310"/>
        <w:gridCol w:w="9700"/>
      </w:tblGrid>
      <w:tr>
        <w:trPr/>
        <w:tc>
          <w:tcPr>
            <w:tcW w:w="195" w:type="dxa"/>
            <w:tcBorders/>
            <w:shd w:fill="auto" w:val="clear"/>
          </w:tcPr>
          <w:p>
            <w:pPr>
              <w:pStyle w:val="TableContents"/>
              <w:spacing w:before="0" w:after="283"/>
              <w:rPr/>
            </w:pPr>
            <w:r>
              <w:rPr/>
              <w:t> </w:t>
            </w:r>
          </w:p>
        </w:tc>
        <w:tc>
          <w:tcPr>
            <w:tcW w:w="310"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70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Takes an approved leave of absence,</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provided that the participant was an active employee for a minimum of three consecutive calendar months during such Fiscal Year. Such partial awards shall be paid when payments of awards for such Fiscal Year are made, or such earlier date as may be approved by the CEO.</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An employee who is hired as a Salaried Employee during the first eleven months of a Fiscal Year, who is designated as eligible to participate, and who is employed through the end of such Fiscal Year shall be eligible for an award based on his or her Base Salary during such Fiscal Year while eligible to participate. An employee who is transferred during a Fiscal Year to a position as a Salaried Employee eligible to participant in the Plan from another position with the Company or its subsidiaries and who is employed through the end of such Fiscal Year shall be eligible for an award based on his or her Base Salary during such Fiscal Year while eligible to participate, regardless of when the transfer takes place.</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No partial award shall be payable under any circumstances other than those described in this Section, except with the express approval of the CEO.</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Fonts w:ascii="Times New Roman" w:hAnsi="Times New Roman"/>
          <w:sz w:val="20"/>
        </w:rPr>
        <w:t>XIII.</w:t>
      </w:r>
      <w:bookmarkStart w:id="1213" w:name="TAB2146"/>
      <w:bookmarkEnd w:id="1213"/>
      <w:r>
        <w:rPr>
          <w:color w:val="000000"/>
          <w:spacing w:val="540"/>
        </w:rPr>
        <w:t> </w:t>
      </w:r>
      <w:r>
        <w:rPr>
          <w:rFonts w:ascii="Times New Roman" w:hAnsi="Times New Roman"/>
          <w:sz w:val="20"/>
          <w:u w:val="single"/>
        </w:rPr>
        <w:t>Employment on Payment Date Requirement</w:t>
      </w:r>
      <w:r>
        <w:rPr>
          <w:rFonts w:ascii="Times New Roman" w:hAnsi="Times New Roman"/>
          <w:sz w:val="20"/>
        </w:rPr>
        <w:t>. Except as specified in Sections VIII and XII above, no award shall be payable to any participant who is not employed by the Company on the date payment of awards for the Fiscal Year being paid is made, except with the express approval of the CEO.</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Fonts w:ascii="Times New Roman" w:hAnsi="Times New Roman"/>
          <w:sz w:val="20"/>
        </w:rPr>
        <w:t>XIV.</w:t>
      </w:r>
      <w:bookmarkStart w:id="1214" w:name="TAB2147"/>
      <w:bookmarkEnd w:id="1214"/>
      <w:r>
        <w:rPr>
          <w:color w:val="000000"/>
          <w:spacing w:val="540"/>
        </w:rPr>
        <w:t> </w:t>
      </w:r>
      <w:r>
        <w:rPr>
          <w:rFonts w:ascii="Times New Roman" w:hAnsi="Times New Roman"/>
          <w:sz w:val="20"/>
          <w:u w:val="single"/>
        </w:rPr>
        <w:t>Administration</w:t>
      </w:r>
      <w:r>
        <w:rPr>
          <w:rFonts w:ascii="Times New Roman" w:hAnsi="Times New Roman"/>
          <w:sz w:val="20"/>
        </w:rPr>
        <w:t>. This Plan shall be administered by the Human Resources Department of the Company, subject to the control and supervision of the CEO. The CEO shall have discretionary authority to construe and interpret the Plan and decide all cases of eligibility and entitlement to benefits. Such determinations shall be final and binding.</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Fonts w:ascii="Times New Roman" w:hAnsi="Times New Roman"/>
          <w:sz w:val="20"/>
        </w:rPr>
        <w:t>XV.</w:t>
      </w:r>
      <w:bookmarkStart w:id="1215" w:name="TAB2148"/>
      <w:bookmarkEnd w:id="1215"/>
      <w:r>
        <w:rPr>
          <w:color w:val="000000"/>
          <w:spacing w:val="540"/>
        </w:rPr>
        <w:t> </w:t>
      </w:r>
      <w:r>
        <w:rPr>
          <w:rFonts w:ascii="Times New Roman" w:hAnsi="Times New Roman"/>
          <w:sz w:val="20"/>
          <w:u w:val="single"/>
        </w:rPr>
        <w:t>No Employment Contract or Obligation to Continue Plan</w:t>
      </w:r>
      <w:r>
        <w:rPr>
          <w:rFonts w:ascii="Times New Roman" w:hAnsi="Times New Roman"/>
          <w:sz w:val="20"/>
        </w:rPr>
        <w:t>. Participation in this Plan shall not confer upon any participant any right to continue in the employ of the Company nor interfere in any way with the right of the Company to terminate any participant’s employment at any time. The Company is under no obligation to continue the Plan in future Fiscal Years.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Fonts w:ascii="Times New Roman" w:hAnsi="Times New Roman"/>
          <w:sz w:val="20"/>
        </w:rPr>
        <w:t>XVI.</w:t>
      </w:r>
      <w:bookmarkStart w:id="1216" w:name="TAB2149"/>
      <w:bookmarkEnd w:id="1216"/>
      <w:r>
        <w:rPr>
          <w:color w:val="000000"/>
          <w:spacing w:val="540"/>
        </w:rPr>
        <w:t> </w:t>
      </w:r>
      <w:r>
        <w:rPr>
          <w:rFonts w:ascii="Times New Roman" w:hAnsi="Times New Roman"/>
          <w:sz w:val="20"/>
          <w:u w:val="single"/>
        </w:rPr>
        <w:t>Amendment or Termination</w:t>
      </w:r>
      <w:r>
        <w:rPr>
          <w:rFonts w:ascii="Times New Roman" w:hAnsi="Times New Roman"/>
          <w:sz w:val="20"/>
        </w:rPr>
        <w:t>. The Company may at any time (a) amend, alter or modify the provisions of this Plan, (b) terminate this Plan, or (c) terminate the participation of a group of employees in this Plan provided, however, that in the event of termination of this Plan or a termination of the participation of a group of employees without cause, the Company shall provide partial awards to the affected participants for the portion of the Fiscal Year during which such employees were participants in this Plan, in a manner which the Company, in its sole judgment, determines to be equitable to such participants and the Company.</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Fonts w:ascii="Times New Roman" w:hAnsi="Times New Roman"/>
          <w:sz w:val="20"/>
        </w:rPr>
        <w:t>XVII.</w:t>
      </w:r>
      <w:bookmarkStart w:id="1217" w:name="TAB2150"/>
      <w:bookmarkEnd w:id="1217"/>
      <w:r>
        <w:rPr>
          <w:color w:val="000000"/>
          <w:spacing w:val="540"/>
        </w:rPr>
        <w:t> </w:t>
      </w:r>
      <w:r>
        <w:rPr>
          <w:rFonts w:ascii="Times New Roman" w:hAnsi="Times New Roman"/>
          <w:sz w:val="20"/>
          <w:u w:val="single"/>
        </w:rPr>
        <w:t>General Provisions</w:t>
      </w:r>
      <w:r>
        <w:rPr>
          <w:rFonts w:ascii="Times New Roman" w:hAnsi="Times New Roman"/>
          <w:sz w:val="20"/>
        </w:rPr>
        <w:t>.</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Fonts w:ascii="Times New Roman" w:hAnsi="Times New Roman"/>
          <w:sz w:val="20"/>
        </w:rPr>
        <w:t>A.</w:t>
      </w:r>
      <w:bookmarkStart w:id="1218" w:name="TAB2151"/>
      <w:bookmarkEnd w:id="1218"/>
      <w:r>
        <w:rPr>
          <w:color w:val="000000"/>
          <w:spacing w:val="540"/>
        </w:rPr>
        <w:t> </w:t>
      </w:r>
      <w:r>
        <w:rPr>
          <w:rFonts w:ascii="Times New Roman" w:hAnsi="Times New Roman"/>
          <w:sz w:val="20"/>
        </w:rPr>
        <w:t>No rights under this Plan shall be assignable, either voluntarily or involuntarily by way of encumbrance, pledge, attachment, levy or charge of any nature (except as may be required by state or federal law).</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Fonts w:ascii="Times New Roman" w:hAnsi="Times New Roman"/>
          <w:sz w:val="20"/>
        </w:rPr>
        <w:t>B.</w:t>
      </w:r>
      <w:bookmarkStart w:id="1219" w:name="TAB2152"/>
      <w:bookmarkEnd w:id="1219"/>
      <w:r>
        <w:rPr>
          <w:color w:val="000000"/>
          <w:spacing w:val="540"/>
        </w:rPr>
        <w:t> </w:t>
      </w:r>
      <w:r>
        <w:rPr>
          <w:rFonts w:ascii="Times New Roman" w:hAnsi="Times New Roman"/>
          <w:sz w:val="20"/>
        </w:rPr>
        <w:t>Nothing in this Plan shall require the Company to segregate or set aside any funds or other property for the purpose of paying any portion of an award. No participant, beneficiary or other person shall have any right, title or interest in any amount awarded under the Plan prior to the payment of such award, or in any property of the Company or its affiliates.</w:t>
      </w:r>
    </w:p>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20" w:name="PGBRK44"/>
      <w:bookmarkStart w:id="1221" w:name="PGBRK44"/>
      <w:bookmarkEnd w:id="12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2" w:name="FTR44"/>
      <w:bookmarkStart w:id="1223" w:name="FTR44"/>
      <w:bookmarkEnd w:id="12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24" w:name="GLFTR44"/>
      <w:bookmarkEnd w:id="122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225" w:name="PN44"/>
      <w:bookmarkEnd w:id="1225"/>
      <w:r>
        <w:rPr>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6" w:name="HDR44"/>
      <w:bookmarkStart w:id="1227" w:name="HDR44"/>
      <w:bookmarkEnd w:id="12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28" w:name="GLHDR44"/>
      <w:bookmarkEnd w:id="122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bookmarkStart w:id="1229" w:name="page_1"/>
      <w:bookmarkStart w:id="1230" w:name="v105960_ex10-5.htm"/>
      <w:bookmarkStart w:id="1231" w:name="ksv105960_ex105"/>
      <w:bookmarkEnd w:id="1229"/>
      <w:bookmarkEnd w:id="1230"/>
      <w:bookmarkEnd w:id="1231"/>
      <w:r>
        <w:rPr/>
        <w:drawing>
          <wp:inline distT="0" distB="0" distL="0" distR="0">
            <wp:extent cx="7753350" cy="10239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53350" cy="10239375"/>
                    </a:xfrm>
                    <a:prstGeom prst="rect">
                      <a:avLst/>
                    </a:prstGeom>
                  </pic:spPr>
                </pic:pic>
              </a:graphicData>
            </a:graphic>
          </wp:inline>
        </w:drawing>
      </w:r>
      <w:r>
        <w:rPr/>
        <w:t xml:space="preserve"> </w:t>
      </w:r>
    </w:p>
    <w:p>
      <w:pPr>
        <w:pStyle w:val="HorizontalLine"/>
        <w:pBdr>
          <w:bottom w:val="single" w:sz="12" w:space="0" w:color="808080"/>
        </w:pBdr>
        <w:rPr/>
      </w:pPr>
      <w:r>
        <w:rPr/>
      </w:r>
    </w:p>
    <w:p>
      <w:pPr>
        <w:pStyle w:val="TextBody"/>
        <w:spacing w:before="0" w:after="0"/>
        <w:rPr/>
      </w:pPr>
      <w:bookmarkStart w:id="1232" w:name="page_2"/>
      <w:bookmarkEnd w:id="1232"/>
      <w:r>
        <w:rPr/>
        <w:drawing>
          <wp:inline distT="0" distB="0" distL="0" distR="0">
            <wp:extent cx="7753350" cy="10258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53350" cy="10258425"/>
                    </a:xfrm>
                    <a:prstGeom prst="rect">
                      <a:avLst/>
                    </a:prstGeom>
                  </pic:spPr>
                </pic:pic>
              </a:graphicData>
            </a:graphic>
          </wp:inline>
        </w:drawing>
      </w:r>
      <w:r>
        <w:rPr/>
        <w:t xml:space="preserve"> </w:t>
      </w:r>
    </w:p>
    <w:p>
      <w:pPr>
        <w:pStyle w:val="HorizontalLine"/>
        <w:pBdr>
          <w:bottom w:val="single" w:sz="12" w:space="0" w:color="808080"/>
        </w:pBdr>
        <w:rPr/>
      </w:pPr>
      <w:r>
        <w:rPr/>
      </w:r>
      <w:r>
        <w:br w:type="page"/>
      </w:r>
    </w:p>
    <w:p>
      <w:pPr>
        <w:pStyle w:val="TextBody"/>
        <w:spacing w:lineRule="auto" w:line="300" w:before="0" w:after="0"/>
        <w:ind w:left="0" w:right="0" w:hanging="0"/>
        <w:jc w:val="left"/>
        <w:rPr/>
      </w:pPr>
      <w:bookmarkStart w:id="1233" w:name="v105960_ex11.htm"/>
      <w:bookmarkStart w:id="1234" w:name="ksv105960_ex11"/>
      <w:bookmarkEnd w:id="1233"/>
      <w:bookmarkEnd w:id="1234"/>
      <w:r>
        <w:rPr>
          <w:rStyle w:val="StrongEmphasis"/>
          <w:rFonts w:ascii="Times New Roman" w:hAnsi="Times New Roman"/>
          <w:sz w:val="20"/>
        </w:rPr>
        <w:t>Exhibit 11:</w:t>
      </w:r>
    </w:p>
    <w:p>
      <w:pPr>
        <w:pStyle w:val="TextBody"/>
        <w:spacing w:lineRule="auto" w:line="300" w:before="0" w:after="0"/>
        <w:ind w:left="2160" w:right="0" w:hanging="0"/>
        <w:jc w:val="right"/>
        <w:rPr/>
      </w:pPr>
      <w:r>
        <w:rPr/>
      </w:r>
    </w:p>
    <w:p>
      <w:pPr>
        <w:pStyle w:val="TextBody"/>
        <w:spacing w:lineRule="auto" w:line="300" w:before="0" w:after="0"/>
        <w:ind w:left="0" w:right="0" w:hanging="0"/>
        <w:jc w:val="center"/>
        <w:rPr/>
      </w:pPr>
      <w:r>
        <w:rPr/>
        <w:t> </w:t>
      </w:r>
      <w:r>
        <w:rPr>
          <w:rStyle w:val="StrongEmphasis"/>
          <w:rFonts w:ascii="Times New Roman" w:hAnsi="Times New Roman"/>
          <w:sz w:val="20"/>
        </w:rPr>
        <w:t>OIL-DRI CORPORATION OF AMERICA AND SUBSIDIARIES</w:t>
      </w:r>
    </w:p>
    <w:p>
      <w:pPr>
        <w:pStyle w:val="TextBody"/>
        <w:spacing w:lineRule="auto" w:line="300" w:before="0" w:after="0"/>
        <w:ind w:left="0" w:right="0" w:hanging="0"/>
        <w:jc w:val="center"/>
        <w:rPr/>
      </w:pPr>
      <w:r>
        <w:rPr>
          <w:rStyle w:val="StrongEmphasis"/>
          <w:rFonts w:ascii="Times New Roman" w:hAnsi="Times New Roman"/>
          <w:sz w:val="20"/>
        </w:rPr>
        <w:t>Computation of Earnings Per Share</w:t>
      </w:r>
    </w:p>
    <w:p>
      <w:pPr>
        <w:pStyle w:val="TextBody"/>
        <w:spacing w:lineRule="auto" w:line="300" w:before="0" w:after="0"/>
        <w:ind w:left="0" w:right="0" w:hanging="0"/>
        <w:jc w:val="center"/>
        <w:rPr/>
      </w:pPr>
      <w:r>
        <w:rPr>
          <w:rStyle w:val="StrongEmphasis"/>
          <w:rFonts w:ascii="Times New Roman" w:hAnsi="Times New Roman"/>
          <w:sz w:val="20"/>
        </w:rPr>
        <w:t>(in thousands except for per share amounts)</w:t>
      </w:r>
    </w:p>
    <w:p>
      <w:pPr>
        <w:pStyle w:val="TextBody"/>
        <w:spacing w:lineRule="auto" w:line="300" w:before="0" w:after="0"/>
        <w:ind w:left="0" w:right="0" w:hanging="0"/>
        <w:jc w:val="center"/>
        <w:rPr/>
      </w:pPr>
      <w:r>
        <w:rPr/>
      </w:r>
    </w:p>
    <w:p>
      <w:pPr>
        <w:pStyle w:val="Normal"/>
        <w:spacing w:before="0" w:after="0"/>
        <w:rPr>
          <w:sz w:val="4"/>
          <w:szCs w:val="4"/>
        </w:rPr>
      </w:pPr>
      <w:r>
        <w:rPr>
          <w:sz w:val="4"/>
          <w:szCs w:val="4"/>
        </w:rPr>
      </w:r>
      <w:bookmarkStart w:id="1235" w:name="ftable21"/>
      <w:bookmarkStart w:id="1236" w:name="ftable21"/>
      <w:bookmarkEnd w:id="1236"/>
    </w:p>
    <w:tbl>
      <w:tblPr>
        <w:tblW w:w="5000" w:type="pct"/>
        <w:jc w:val="left"/>
        <w:tblInd w:w="0" w:type="dxa"/>
        <w:tblCellMar>
          <w:top w:w="0" w:type="dxa"/>
          <w:left w:w="0" w:type="dxa"/>
          <w:bottom w:w="0" w:type="dxa"/>
          <w:right w:w="0" w:type="dxa"/>
        </w:tblCellMar>
      </w:tblPr>
      <w:tblGrid>
        <w:gridCol w:w="6885"/>
        <w:gridCol w:w="205"/>
        <w:gridCol w:w="152"/>
        <w:gridCol w:w="1237"/>
        <w:gridCol w:w="210"/>
        <w:gridCol w:w="152"/>
        <w:gridCol w:w="1238"/>
        <w:gridCol w:w="126"/>
      </w:tblGrid>
      <w:tr>
        <w:trPr/>
        <w:tc>
          <w:tcPr>
            <w:tcW w:w="6885" w:type="dxa"/>
            <w:tcBorders/>
            <w:shd w:fill="auto" w:val="clear"/>
            <w:vAlign w:val="bottom"/>
          </w:tcPr>
          <w:p>
            <w:pPr>
              <w:pStyle w:val="TableContents"/>
              <w:spacing w:before="0" w:after="283"/>
              <w:jc w:val="left"/>
              <w:rPr/>
            </w:pPr>
            <w:r>
              <w:rPr/>
              <w:t> </w:t>
            </w:r>
          </w:p>
        </w:tc>
        <w:tc>
          <w:tcPr>
            <w:tcW w:w="205" w:type="dxa"/>
            <w:tcBorders/>
            <w:shd w:fill="auto" w:val="clear"/>
            <w:vAlign w:val="center"/>
          </w:tcPr>
          <w:p>
            <w:pPr>
              <w:pStyle w:val="TableContents"/>
              <w:spacing w:before="0" w:after="283"/>
              <w:rPr/>
            </w:pPr>
            <w:r>
              <w:rPr/>
              <w:t> </w:t>
            </w:r>
          </w:p>
        </w:tc>
        <w:tc>
          <w:tcPr>
            <w:tcW w:w="2989" w:type="dxa"/>
            <w:gridSpan w:val="5"/>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Six months Ended</w:t>
            </w:r>
          </w:p>
          <w:p>
            <w:pPr>
              <w:pStyle w:val="TableContents"/>
              <w:spacing w:lineRule="auto" w:line="300" w:before="0" w:after="0"/>
              <w:ind w:left="0" w:right="0" w:hanging="0"/>
              <w:jc w:val="center"/>
              <w:rPr/>
            </w:pPr>
            <w:r>
              <w:rPr>
                <w:rStyle w:val="StrongEmphasis"/>
                <w:rFonts w:ascii="Times New Roman" w:hAnsi="Times New Roman"/>
                <w:sz w:val="20"/>
              </w:rPr>
              <w:t>January 31</w:t>
            </w:r>
          </w:p>
        </w:tc>
        <w:tc>
          <w:tcPr>
            <w:tcW w:w="126" w:type="dxa"/>
            <w:tcBorders/>
            <w:shd w:fill="auto" w:val="clear"/>
            <w:vAlign w:val="bottom"/>
          </w:tcPr>
          <w:p>
            <w:pPr>
              <w:pStyle w:val="TableContents"/>
              <w:spacing w:before="0" w:after="283"/>
              <w:jc w:val="left"/>
              <w:rPr/>
            </w:pPr>
            <w:r>
              <w:rPr/>
              <w:t> </w:t>
            </w:r>
          </w:p>
        </w:tc>
      </w:tr>
      <w:tr>
        <w:trPr/>
        <w:tc>
          <w:tcPr>
            <w:tcW w:w="6885"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205" w:type="dxa"/>
            <w:tcBorders>
              <w:bottom w:val="single" w:sz="2" w:space="0" w:color="FFFFFF"/>
            </w:tcBorders>
            <w:shd w:fill="auto" w:val="clear"/>
            <w:tcMar>
              <w:bottom w:w="28" w:type="dxa"/>
            </w:tcMar>
            <w:vAlign w:val="center"/>
          </w:tcPr>
          <w:p>
            <w:pPr>
              <w:pStyle w:val="TableContents"/>
              <w:spacing w:before="0" w:after="283"/>
              <w:rPr/>
            </w:pPr>
            <w:r>
              <w:rPr/>
              <w:t> </w:t>
            </w:r>
          </w:p>
        </w:tc>
        <w:tc>
          <w:tcPr>
            <w:tcW w:w="1389" w:type="dxa"/>
            <w:gridSpan w:val="2"/>
            <w:tcBorders>
              <w:bottom w:val="single" w:sz="2" w:space="0" w:color="000000"/>
            </w:tcBorders>
            <w:shd w:fill="auto" w:val="clear"/>
            <w:tcMar>
              <w:bottom w:w="28" w:type="dxa"/>
            </w:tcMar>
            <w:vAlign w:val="bottom"/>
          </w:tcPr>
          <w:p>
            <w:pPr>
              <w:pStyle w:val="TableContents"/>
              <w:spacing w:lineRule="auto" w:line="300" w:before="0" w:after="0"/>
              <w:ind w:left="0" w:right="0" w:hanging="0"/>
              <w:jc w:val="center"/>
              <w:rPr/>
            </w:pPr>
            <w:r>
              <w:rPr>
                <w:rStyle w:val="StrongEmphasis"/>
                <w:rFonts w:ascii="Times New Roman" w:hAnsi="Times New Roman"/>
                <w:sz w:val="20"/>
              </w:rPr>
              <w:t>2008</w:t>
            </w:r>
          </w:p>
        </w:tc>
        <w:tc>
          <w:tcPr>
            <w:tcW w:w="210" w:type="dxa"/>
            <w:tcBorders>
              <w:bottom w:val="single" w:sz="2" w:space="0" w:color="FFFFFF"/>
            </w:tcBorders>
            <w:shd w:fill="auto" w:val="clear"/>
            <w:tcMar>
              <w:bottom w:w="28" w:type="dxa"/>
            </w:tcMar>
            <w:vAlign w:val="bottom"/>
          </w:tcPr>
          <w:p>
            <w:pPr>
              <w:pStyle w:val="TableContents"/>
              <w:spacing w:before="0" w:after="283"/>
              <w:jc w:val="left"/>
              <w:rPr/>
            </w:pPr>
            <w:r>
              <w:rPr/>
              <w:t> </w:t>
            </w:r>
          </w:p>
        </w:tc>
        <w:tc>
          <w:tcPr>
            <w:tcW w:w="1390" w:type="dxa"/>
            <w:gridSpan w:val="2"/>
            <w:tcBorders>
              <w:bottom w:val="single" w:sz="2" w:space="0" w:color="000000"/>
            </w:tcBorders>
            <w:shd w:fill="auto" w:val="clear"/>
            <w:tcMar>
              <w:bottom w:w="28"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2007</w:t>
            </w:r>
          </w:p>
        </w:tc>
        <w:tc>
          <w:tcPr>
            <w:tcW w:w="126" w:type="dxa"/>
            <w:tcBorders>
              <w:bottom w:val="single" w:sz="2" w:space="0" w:color="FFFFFF"/>
            </w:tcBorders>
            <w:shd w:fill="auto" w:val="clear"/>
            <w:tcMar>
              <w:bottom w:w="28" w:type="dxa"/>
            </w:tcMar>
            <w:vAlign w:val="bottom"/>
          </w:tcPr>
          <w:p>
            <w:pPr>
              <w:pStyle w:val="TableContents"/>
              <w:spacing w:before="0" w:after="283"/>
              <w:jc w:val="left"/>
              <w:rPr/>
            </w:pPr>
            <w:r>
              <w:rPr/>
              <w:t> </w:t>
            </w:r>
          </w:p>
        </w:tc>
      </w:tr>
      <w:tr>
        <w:trPr/>
        <w:tc>
          <w:tcPr>
            <w:tcW w:w="6885" w:type="dxa"/>
            <w:tcBorders/>
            <w:shd w:fill="auto" w:val="clear"/>
            <w:vAlign w:val="bottom"/>
          </w:tcPr>
          <w:p>
            <w:pPr>
              <w:pStyle w:val="TableContents"/>
              <w:spacing w:before="0" w:after="283"/>
              <w:jc w:val="left"/>
              <w:rPr/>
            </w:pPr>
            <w:r>
              <w:rPr/>
              <w:t> </w:t>
            </w:r>
          </w:p>
        </w:tc>
        <w:tc>
          <w:tcPr>
            <w:tcW w:w="205" w:type="dxa"/>
            <w:tcBorders/>
            <w:shd w:fill="auto" w:val="clear"/>
            <w:vAlign w:val="center"/>
          </w:tcPr>
          <w:p>
            <w:pPr>
              <w:pStyle w:val="TableContents"/>
              <w:spacing w:before="0" w:after="283"/>
              <w:rPr/>
            </w:pPr>
            <w:r>
              <w:rPr/>
              <w:t> </w:t>
            </w:r>
          </w:p>
        </w:tc>
        <w:tc>
          <w:tcPr>
            <w:tcW w:w="1389" w:type="dxa"/>
            <w:gridSpan w:val="2"/>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 </w:t>
            </w:r>
          </w:p>
        </w:tc>
        <w:tc>
          <w:tcPr>
            <w:tcW w:w="1390" w:type="dxa"/>
            <w:gridSpan w:val="2"/>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r>
      <w:tr>
        <w:trPr/>
        <w:tc>
          <w:tcPr>
            <w:tcW w:w="6885" w:type="dxa"/>
            <w:tcBorders>
              <w:bottom w:val="single" w:sz="4" w:space="0" w:color="CCFFCC"/>
            </w:tcBorders>
            <w:shd w:fill="CCFFCC"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income available to stockholders</w:t>
            </w:r>
          </w:p>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(numerator)</w:t>
            </w:r>
          </w:p>
        </w:tc>
        <w:tc>
          <w:tcPr>
            <w:tcW w:w="205" w:type="dxa"/>
            <w:tcBorders>
              <w:bottom w:val="single" w:sz="2" w:space="0" w:color="CCFFCC"/>
            </w:tcBorders>
            <w:shd w:fill="CCFFCC" w:val="clear"/>
            <w:tcMar>
              <w:bottom w:w="28" w:type="dxa"/>
            </w:tcMar>
            <w:vAlign w:val="center"/>
          </w:tcPr>
          <w:p>
            <w:pPr>
              <w:pStyle w:val="TableContents"/>
              <w:spacing w:before="0" w:after="283"/>
              <w:rPr/>
            </w:pPr>
            <w:r>
              <w:rPr/>
              <w:t> </w:t>
            </w:r>
          </w:p>
        </w:tc>
        <w:tc>
          <w:tcPr>
            <w:tcW w:w="152" w:type="dxa"/>
            <w:tcBorders>
              <w:bottom w:val="double" w:sz="2" w:space="0" w:color="000000"/>
            </w:tcBorders>
            <w:shd w:fill="CCFFCC" w:val="clear"/>
            <w:tcMar>
              <w:bottom w:w="28"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237" w:type="dxa"/>
            <w:tcBorders>
              <w:bottom w:val="double" w:sz="2" w:space="0" w:color="000000"/>
            </w:tcBorders>
            <w:shd w:fill="CCFFCC" w:val="clear"/>
            <w:tcMar>
              <w:bottom w:w="28"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4,573</w:t>
            </w:r>
          </w:p>
        </w:tc>
        <w:tc>
          <w:tcPr>
            <w:tcW w:w="210" w:type="dxa"/>
            <w:tcBorders>
              <w:bottom w:val="single" w:sz="4" w:space="0" w:color="CCFFCC"/>
            </w:tcBorders>
            <w:shd w:fill="CCFFCC" w:val="clear"/>
            <w:tcMar>
              <w:bottom w:w="28" w:type="dxa"/>
            </w:tcMar>
            <w:vAlign w:val="bottom"/>
          </w:tcPr>
          <w:p>
            <w:pPr>
              <w:pStyle w:val="TableContents"/>
              <w:spacing w:before="0" w:after="283"/>
              <w:jc w:val="left"/>
              <w:rPr/>
            </w:pPr>
            <w:r>
              <w:rPr/>
              <w:t> </w:t>
            </w:r>
          </w:p>
        </w:tc>
        <w:tc>
          <w:tcPr>
            <w:tcW w:w="152" w:type="dxa"/>
            <w:tcBorders>
              <w:bottom w:val="double" w:sz="2" w:space="0" w:color="000000"/>
            </w:tcBorders>
            <w:shd w:fill="CCFFCC"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38" w:type="dxa"/>
            <w:tcBorders>
              <w:bottom w:val="double" w:sz="2" w:space="0" w:color="000000"/>
            </w:tcBorders>
            <w:shd w:fill="CCFFCC"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3,610</w:t>
            </w:r>
          </w:p>
        </w:tc>
        <w:tc>
          <w:tcPr>
            <w:tcW w:w="126" w:type="dxa"/>
            <w:tcBorders>
              <w:bottom w:val="single" w:sz="4" w:space="0" w:color="CCFFCC"/>
            </w:tcBorders>
            <w:shd w:fill="CCFFCC" w:val="clear"/>
            <w:tcMar>
              <w:bottom w:w="28" w:type="dxa"/>
            </w:tcMar>
            <w:vAlign w:val="bottom"/>
          </w:tcPr>
          <w:p>
            <w:pPr>
              <w:pStyle w:val="TableContents"/>
              <w:spacing w:before="0" w:after="283"/>
              <w:jc w:val="left"/>
              <w:rPr/>
            </w:pPr>
            <w:r>
              <w:rPr/>
              <w:t> </w:t>
            </w:r>
          </w:p>
        </w:tc>
      </w:tr>
      <w:tr>
        <w:trPr/>
        <w:tc>
          <w:tcPr>
            <w:tcW w:w="6885" w:type="dxa"/>
            <w:tcBorders/>
            <w:shd w:fill="FFFFFF" w:val="clear"/>
            <w:vAlign w:val="bottom"/>
          </w:tcPr>
          <w:p>
            <w:pPr>
              <w:pStyle w:val="TableContents"/>
              <w:spacing w:before="0" w:after="283"/>
              <w:jc w:val="left"/>
              <w:rPr/>
            </w:pPr>
            <w:r>
              <w:rPr/>
              <w:t> </w:t>
            </w:r>
          </w:p>
        </w:tc>
        <w:tc>
          <w:tcPr>
            <w:tcW w:w="205" w:type="dxa"/>
            <w:tcBorders/>
            <w:shd w:fill="FFFFFF" w:val="clear"/>
            <w:vAlign w:val="center"/>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1237"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before="0" w:after="283"/>
              <w:jc w:val="left"/>
              <w:rPr/>
            </w:pPr>
            <w:r>
              <w:rPr/>
              <w:t> </w:t>
            </w:r>
          </w:p>
        </w:tc>
        <w:tc>
          <w:tcPr>
            <w:tcW w:w="123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6885" w:type="dxa"/>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Shares Calculation</w:t>
            </w:r>
          </w:p>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(denominator)</w:t>
            </w:r>
          </w:p>
        </w:tc>
        <w:tc>
          <w:tcPr>
            <w:tcW w:w="205" w:type="dxa"/>
            <w:tcBorders/>
            <w:shd w:fill="CCFFCC" w:val="clear"/>
            <w:vAlign w:val="center"/>
          </w:tcPr>
          <w:p>
            <w:pPr>
              <w:pStyle w:val="TableContents"/>
              <w:spacing w:before="0" w:after="283"/>
              <w:rPr/>
            </w:pPr>
            <w:r>
              <w:rPr/>
              <w:t> </w:t>
            </w:r>
          </w:p>
        </w:tc>
        <w:tc>
          <w:tcPr>
            <w:tcW w:w="152" w:type="dxa"/>
            <w:tcBorders/>
            <w:shd w:fill="CCFFCC" w:val="clear"/>
            <w:vAlign w:val="bottom"/>
          </w:tcPr>
          <w:p>
            <w:pPr>
              <w:pStyle w:val="TableContents"/>
              <w:spacing w:before="0" w:after="283"/>
              <w:jc w:val="left"/>
              <w:rPr/>
            </w:pPr>
            <w:r>
              <w:rPr/>
              <w:t> </w:t>
            </w:r>
          </w:p>
        </w:tc>
        <w:tc>
          <w:tcPr>
            <w:tcW w:w="1237" w:type="dxa"/>
            <w:tcBorders/>
            <w:shd w:fill="CCFFCC" w:val="clear"/>
            <w:vAlign w:val="bottom"/>
          </w:tcPr>
          <w:p>
            <w:pPr>
              <w:pStyle w:val="TableContents"/>
              <w:spacing w:before="0" w:after="283"/>
              <w:jc w:val="right"/>
              <w:rPr/>
            </w:pPr>
            <w:r>
              <w:rPr/>
              <w:t> </w:t>
            </w:r>
          </w:p>
        </w:tc>
        <w:tc>
          <w:tcPr>
            <w:tcW w:w="210" w:type="dxa"/>
            <w:tcBorders/>
            <w:shd w:fill="CCFFCC" w:val="clear"/>
            <w:vAlign w:val="bottom"/>
          </w:tcPr>
          <w:p>
            <w:pPr>
              <w:pStyle w:val="TableContents"/>
              <w:spacing w:before="0" w:after="283"/>
              <w:jc w:val="left"/>
              <w:rPr/>
            </w:pPr>
            <w:r>
              <w:rPr/>
              <w:t> </w:t>
            </w:r>
          </w:p>
        </w:tc>
        <w:tc>
          <w:tcPr>
            <w:tcW w:w="152" w:type="dxa"/>
            <w:tcBorders/>
            <w:shd w:fill="CCFFCC" w:val="clear"/>
            <w:vAlign w:val="bottom"/>
          </w:tcPr>
          <w:p>
            <w:pPr>
              <w:pStyle w:val="TableContents"/>
              <w:spacing w:before="0" w:after="283"/>
              <w:jc w:val="left"/>
              <w:rPr/>
            </w:pPr>
            <w:r>
              <w:rPr/>
              <w:t> </w:t>
            </w:r>
          </w:p>
        </w:tc>
        <w:tc>
          <w:tcPr>
            <w:tcW w:w="1238" w:type="dxa"/>
            <w:tcBorders/>
            <w:shd w:fill="CCFFCC" w:val="clear"/>
            <w:vAlign w:val="bottom"/>
          </w:tcPr>
          <w:p>
            <w:pPr>
              <w:pStyle w:val="TableContents"/>
              <w:spacing w:before="0" w:after="283"/>
              <w:jc w:val="right"/>
              <w:rPr/>
            </w:pPr>
            <w:r>
              <w:rPr/>
              <w:t> </w:t>
            </w:r>
          </w:p>
        </w:tc>
        <w:tc>
          <w:tcPr>
            <w:tcW w:w="126" w:type="dxa"/>
            <w:tcBorders/>
            <w:shd w:fill="CCFFCC" w:val="clear"/>
            <w:vAlign w:val="bottom"/>
          </w:tcPr>
          <w:p>
            <w:pPr>
              <w:pStyle w:val="TableContents"/>
              <w:spacing w:before="0" w:after="283"/>
              <w:jc w:val="left"/>
              <w:rPr/>
            </w:pPr>
            <w:r>
              <w:rPr/>
              <w:t> </w:t>
            </w:r>
          </w:p>
        </w:tc>
      </w:tr>
      <w:tr>
        <w:trPr/>
        <w:tc>
          <w:tcPr>
            <w:tcW w:w="6885" w:type="dxa"/>
            <w:tcBorders/>
            <w:shd w:fill="FFFFFF" w:val="clear"/>
            <w:vAlign w:val="bottom"/>
          </w:tcPr>
          <w:p>
            <w:pPr>
              <w:pStyle w:val="TableContents"/>
              <w:spacing w:before="0" w:after="283"/>
              <w:jc w:val="left"/>
              <w:rPr/>
            </w:pPr>
            <w:r>
              <w:rPr/>
              <w:t> </w:t>
            </w:r>
          </w:p>
        </w:tc>
        <w:tc>
          <w:tcPr>
            <w:tcW w:w="205" w:type="dxa"/>
            <w:tcBorders/>
            <w:shd w:fill="FFFFFF" w:val="clear"/>
            <w:vAlign w:val="center"/>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1237"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before="0" w:after="283"/>
              <w:jc w:val="left"/>
              <w:rPr/>
            </w:pPr>
            <w:r>
              <w:rPr/>
              <w:t> </w:t>
            </w:r>
          </w:p>
        </w:tc>
        <w:tc>
          <w:tcPr>
            <w:tcW w:w="123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6885" w:type="dxa"/>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Average shares outstanding -</w:t>
            </w:r>
          </w:p>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Basic Common</w:t>
            </w:r>
          </w:p>
        </w:tc>
        <w:tc>
          <w:tcPr>
            <w:tcW w:w="205" w:type="dxa"/>
            <w:tcBorders/>
            <w:shd w:fill="CCFFCC" w:val="clear"/>
            <w:vAlign w:val="center"/>
          </w:tcPr>
          <w:p>
            <w:pPr>
              <w:pStyle w:val="TableContents"/>
              <w:spacing w:before="0" w:after="283"/>
              <w:rPr/>
            </w:pPr>
            <w:r>
              <w:rPr/>
              <w:t> </w:t>
            </w:r>
          </w:p>
        </w:tc>
        <w:tc>
          <w:tcPr>
            <w:tcW w:w="152" w:type="dxa"/>
            <w:tcBorders/>
            <w:shd w:fill="CCFFCC" w:val="clear"/>
            <w:vAlign w:val="bottom"/>
          </w:tcPr>
          <w:p>
            <w:pPr>
              <w:pStyle w:val="TableContents"/>
              <w:spacing w:before="0" w:after="283"/>
              <w:jc w:val="left"/>
              <w:rPr/>
            </w:pPr>
            <w:r>
              <w:rPr/>
              <w:t> </w:t>
            </w:r>
          </w:p>
        </w:tc>
        <w:tc>
          <w:tcPr>
            <w:tcW w:w="1237" w:type="dxa"/>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5,033</w:t>
            </w:r>
          </w:p>
        </w:tc>
        <w:tc>
          <w:tcPr>
            <w:tcW w:w="210" w:type="dxa"/>
            <w:tcBorders/>
            <w:shd w:fill="CCFFCC" w:val="clear"/>
            <w:vAlign w:val="bottom"/>
          </w:tcPr>
          <w:p>
            <w:pPr>
              <w:pStyle w:val="TableContents"/>
              <w:spacing w:before="0" w:after="283"/>
              <w:jc w:val="left"/>
              <w:rPr/>
            </w:pPr>
            <w:r>
              <w:rPr/>
              <w:t> </w:t>
            </w:r>
          </w:p>
        </w:tc>
        <w:tc>
          <w:tcPr>
            <w:tcW w:w="152" w:type="dxa"/>
            <w:tcBorders/>
            <w:shd w:fill="CCFFCC" w:val="clear"/>
            <w:vAlign w:val="bottom"/>
          </w:tcPr>
          <w:p>
            <w:pPr>
              <w:pStyle w:val="TableContents"/>
              <w:spacing w:before="0" w:after="283"/>
              <w:jc w:val="left"/>
              <w:rPr/>
            </w:pPr>
            <w:r>
              <w:rPr/>
              <w:t> </w:t>
            </w:r>
          </w:p>
        </w:tc>
        <w:tc>
          <w:tcPr>
            <w:tcW w:w="1238" w:type="dxa"/>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4,861</w:t>
            </w:r>
          </w:p>
        </w:tc>
        <w:tc>
          <w:tcPr>
            <w:tcW w:w="126" w:type="dxa"/>
            <w:tcBorders/>
            <w:shd w:fill="CCFFCC" w:val="clear"/>
            <w:vAlign w:val="bottom"/>
          </w:tcPr>
          <w:p>
            <w:pPr>
              <w:pStyle w:val="TableContents"/>
              <w:spacing w:before="0" w:after="283"/>
              <w:jc w:val="left"/>
              <w:rPr/>
            </w:pPr>
            <w:r>
              <w:rPr/>
              <w:t> </w:t>
            </w:r>
          </w:p>
        </w:tc>
      </w:tr>
      <w:tr>
        <w:trPr/>
        <w:tc>
          <w:tcPr>
            <w:tcW w:w="6885" w:type="dxa"/>
            <w:tcBorders/>
            <w:shd w:fill="FFFFFF" w:val="clear"/>
            <w:vAlign w:val="bottom"/>
          </w:tcPr>
          <w:p>
            <w:pPr>
              <w:pStyle w:val="TableContents"/>
              <w:spacing w:before="0" w:after="283"/>
              <w:jc w:val="left"/>
              <w:rPr/>
            </w:pPr>
            <w:r>
              <w:rPr/>
              <w:t> </w:t>
            </w:r>
          </w:p>
        </w:tc>
        <w:tc>
          <w:tcPr>
            <w:tcW w:w="205" w:type="dxa"/>
            <w:tcBorders/>
            <w:shd w:fill="FFFFFF" w:val="clear"/>
            <w:vAlign w:val="center"/>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1237"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before="0" w:after="283"/>
              <w:jc w:val="left"/>
              <w:rPr/>
            </w:pPr>
            <w:r>
              <w:rPr/>
              <w:t> </w:t>
            </w:r>
          </w:p>
        </w:tc>
        <w:tc>
          <w:tcPr>
            <w:tcW w:w="123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6885" w:type="dxa"/>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Average shares outstanding -</w:t>
            </w:r>
          </w:p>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Basic Class B Common</w:t>
            </w:r>
          </w:p>
        </w:tc>
        <w:tc>
          <w:tcPr>
            <w:tcW w:w="205" w:type="dxa"/>
            <w:tcBorders/>
            <w:shd w:fill="CCFFCC" w:val="clear"/>
            <w:vAlign w:val="center"/>
          </w:tcPr>
          <w:p>
            <w:pPr>
              <w:pStyle w:val="TableContents"/>
              <w:spacing w:before="0" w:after="283"/>
              <w:rPr/>
            </w:pPr>
            <w:r>
              <w:rPr/>
              <w:t> </w:t>
            </w:r>
          </w:p>
        </w:tc>
        <w:tc>
          <w:tcPr>
            <w:tcW w:w="152" w:type="dxa"/>
            <w:tcBorders/>
            <w:shd w:fill="CCFFCC" w:val="clear"/>
            <w:vAlign w:val="bottom"/>
          </w:tcPr>
          <w:p>
            <w:pPr>
              <w:pStyle w:val="TableContents"/>
              <w:spacing w:before="0" w:after="283"/>
              <w:jc w:val="left"/>
              <w:rPr/>
            </w:pPr>
            <w:r>
              <w:rPr/>
              <w:t> </w:t>
            </w:r>
          </w:p>
        </w:tc>
        <w:tc>
          <w:tcPr>
            <w:tcW w:w="1237" w:type="dxa"/>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1,846</w:t>
            </w:r>
          </w:p>
        </w:tc>
        <w:tc>
          <w:tcPr>
            <w:tcW w:w="210" w:type="dxa"/>
            <w:tcBorders/>
            <w:shd w:fill="CCFFCC" w:val="clear"/>
            <w:vAlign w:val="bottom"/>
          </w:tcPr>
          <w:p>
            <w:pPr>
              <w:pStyle w:val="TableContents"/>
              <w:spacing w:before="0" w:after="283"/>
              <w:jc w:val="left"/>
              <w:rPr/>
            </w:pPr>
            <w:r>
              <w:rPr/>
              <w:t> </w:t>
            </w:r>
          </w:p>
        </w:tc>
        <w:tc>
          <w:tcPr>
            <w:tcW w:w="152" w:type="dxa"/>
            <w:tcBorders/>
            <w:shd w:fill="CCFFCC" w:val="clear"/>
            <w:vAlign w:val="bottom"/>
          </w:tcPr>
          <w:p>
            <w:pPr>
              <w:pStyle w:val="TableContents"/>
              <w:spacing w:before="0" w:after="283"/>
              <w:jc w:val="left"/>
              <w:rPr/>
            </w:pPr>
            <w:r>
              <w:rPr/>
              <w:t> </w:t>
            </w:r>
          </w:p>
        </w:tc>
        <w:tc>
          <w:tcPr>
            <w:tcW w:w="1238" w:type="dxa"/>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1,810</w:t>
            </w:r>
          </w:p>
        </w:tc>
        <w:tc>
          <w:tcPr>
            <w:tcW w:w="126" w:type="dxa"/>
            <w:tcBorders/>
            <w:shd w:fill="CCFFCC" w:val="clear"/>
            <w:vAlign w:val="bottom"/>
          </w:tcPr>
          <w:p>
            <w:pPr>
              <w:pStyle w:val="TableContents"/>
              <w:spacing w:before="0" w:after="283"/>
              <w:jc w:val="left"/>
              <w:rPr/>
            </w:pPr>
            <w:r>
              <w:rPr/>
              <w:t> </w:t>
            </w:r>
          </w:p>
        </w:tc>
      </w:tr>
      <w:tr>
        <w:trPr/>
        <w:tc>
          <w:tcPr>
            <w:tcW w:w="6885" w:type="dxa"/>
            <w:tcBorders/>
            <w:shd w:fill="FFFFFF" w:val="clear"/>
            <w:vAlign w:val="bottom"/>
          </w:tcPr>
          <w:p>
            <w:pPr>
              <w:pStyle w:val="TableContents"/>
              <w:spacing w:before="0" w:after="283"/>
              <w:jc w:val="left"/>
              <w:rPr/>
            </w:pPr>
            <w:r>
              <w:rPr/>
              <w:t> </w:t>
            </w:r>
          </w:p>
        </w:tc>
        <w:tc>
          <w:tcPr>
            <w:tcW w:w="205" w:type="dxa"/>
            <w:tcBorders/>
            <w:shd w:fill="FFFFFF" w:val="clear"/>
            <w:vAlign w:val="center"/>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1237"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before="0" w:after="283"/>
              <w:jc w:val="left"/>
              <w:rPr/>
            </w:pPr>
            <w:r>
              <w:rPr/>
              <w:t> </w:t>
            </w:r>
          </w:p>
        </w:tc>
        <w:tc>
          <w:tcPr>
            <w:tcW w:w="123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6885" w:type="dxa"/>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Effect of Dilutive Securities:</w:t>
            </w:r>
          </w:p>
        </w:tc>
        <w:tc>
          <w:tcPr>
            <w:tcW w:w="205" w:type="dxa"/>
            <w:tcBorders/>
            <w:shd w:fill="CCFFCC" w:val="clear"/>
            <w:vAlign w:val="center"/>
          </w:tcPr>
          <w:p>
            <w:pPr>
              <w:pStyle w:val="TableContents"/>
              <w:spacing w:before="0" w:after="283"/>
              <w:rPr/>
            </w:pPr>
            <w:r>
              <w:rPr/>
              <w:t> </w:t>
            </w:r>
          </w:p>
        </w:tc>
        <w:tc>
          <w:tcPr>
            <w:tcW w:w="152" w:type="dxa"/>
            <w:tcBorders/>
            <w:shd w:fill="CCFFCC" w:val="clear"/>
            <w:vAlign w:val="bottom"/>
          </w:tcPr>
          <w:p>
            <w:pPr>
              <w:pStyle w:val="TableContents"/>
              <w:spacing w:before="0" w:after="283"/>
              <w:jc w:val="left"/>
              <w:rPr/>
            </w:pPr>
            <w:r>
              <w:rPr/>
              <w:t> </w:t>
            </w:r>
          </w:p>
        </w:tc>
        <w:tc>
          <w:tcPr>
            <w:tcW w:w="1237" w:type="dxa"/>
            <w:tcBorders/>
            <w:shd w:fill="CCFFCC" w:val="clear"/>
            <w:vAlign w:val="bottom"/>
          </w:tcPr>
          <w:p>
            <w:pPr>
              <w:pStyle w:val="TableContents"/>
              <w:spacing w:before="0" w:after="283"/>
              <w:jc w:val="right"/>
              <w:rPr/>
            </w:pPr>
            <w:r>
              <w:rPr/>
              <w:t> </w:t>
            </w:r>
          </w:p>
        </w:tc>
        <w:tc>
          <w:tcPr>
            <w:tcW w:w="210" w:type="dxa"/>
            <w:tcBorders/>
            <w:shd w:fill="CCFFCC" w:val="clear"/>
            <w:vAlign w:val="bottom"/>
          </w:tcPr>
          <w:p>
            <w:pPr>
              <w:pStyle w:val="TableContents"/>
              <w:spacing w:before="0" w:after="283"/>
              <w:jc w:val="left"/>
              <w:rPr/>
            </w:pPr>
            <w:r>
              <w:rPr/>
              <w:t> </w:t>
            </w:r>
          </w:p>
        </w:tc>
        <w:tc>
          <w:tcPr>
            <w:tcW w:w="152" w:type="dxa"/>
            <w:tcBorders/>
            <w:shd w:fill="CCFFCC" w:val="clear"/>
            <w:vAlign w:val="bottom"/>
          </w:tcPr>
          <w:p>
            <w:pPr>
              <w:pStyle w:val="TableContents"/>
              <w:spacing w:before="0" w:after="283"/>
              <w:jc w:val="left"/>
              <w:rPr/>
            </w:pPr>
            <w:r>
              <w:rPr/>
              <w:t> </w:t>
            </w:r>
          </w:p>
        </w:tc>
        <w:tc>
          <w:tcPr>
            <w:tcW w:w="1238" w:type="dxa"/>
            <w:tcBorders/>
            <w:shd w:fill="CCFFCC" w:val="clear"/>
            <w:vAlign w:val="bottom"/>
          </w:tcPr>
          <w:p>
            <w:pPr>
              <w:pStyle w:val="TableContents"/>
              <w:spacing w:before="0" w:after="283"/>
              <w:jc w:val="right"/>
              <w:rPr/>
            </w:pPr>
            <w:r>
              <w:rPr/>
              <w:t> </w:t>
            </w:r>
          </w:p>
        </w:tc>
        <w:tc>
          <w:tcPr>
            <w:tcW w:w="126" w:type="dxa"/>
            <w:tcBorders/>
            <w:shd w:fill="CCFFCC" w:val="clear"/>
            <w:vAlign w:val="bottom"/>
          </w:tcPr>
          <w:p>
            <w:pPr>
              <w:pStyle w:val="TableContents"/>
              <w:spacing w:before="0" w:after="283"/>
              <w:jc w:val="left"/>
              <w:rPr/>
            </w:pPr>
            <w:r>
              <w:rPr/>
              <w:t> </w:t>
            </w:r>
          </w:p>
        </w:tc>
      </w:tr>
      <w:tr>
        <w:trPr/>
        <w:tc>
          <w:tcPr>
            <w:tcW w:w="6885" w:type="dxa"/>
            <w:tcBorders/>
            <w:shd w:fill="FFFFFF" w:val="clear"/>
            <w:vAlign w:val="bottom"/>
          </w:tcPr>
          <w:p>
            <w:pPr>
              <w:pStyle w:val="TableContents"/>
              <w:spacing w:before="0" w:after="283"/>
              <w:jc w:val="left"/>
              <w:rPr/>
            </w:pPr>
            <w:r>
              <w:rPr/>
              <w:t> </w:t>
            </w:r>
          </w:p>
        </w:tc>
        <w:tc>
          <w:tcPr>
            <w:tcW w:w="205" w:type="dxa"/>
            <w:tcBorders/>
            <w:shd w:fill="FFFFFF" w:val="clear"/>
            <w:vAlign w:val="center"/>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1237"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before="0" w:after="283"/>
              <w:jc w:val="left"/>
              <w:rPr/>
            </w:pPr>
            <w:r>
              <w:rPr/>
              <w:t> </w:t>
            </w:r>
          </w:p>
        </w:tc>
        <w:tc>
          <w:tcPr>
            <w:tcW w:w="123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6885" w:type="dxa"/>
            <w:tcBorders>
              <w:bottom w:val="single" w:sz="4" w:space="0" w:color="CCFFCC"/>
            </w:tcBorders>
            <w:shd w:fill="CCFFCC" w:val="clear"/>
            <w:tcMar>
              <w:bottom w:w="28"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Potential Common Stock relating to stock options</w:t>
            </w:r>
          </w:p>
        </w:tc>
        <w:tc>
          <w:tcPr>
            <w:tcW w:w="205" w:type="dxa"/>
            <w:tcBorders>
              <w:bottom w:val="single" w:sz="2" w:space="0" w:color="CCFFCC"/>
            </w:tcBorders>
            <w:shd w:fill="CCFFCC" w:val="clear"/>
            <w:tcMar>
              <w:bottom w:w="28" w:type="dxa"/>
            </w:tcMar>
            <w:vAlign w:val="center"/>
          </w:tcPr>
          <w:p>
            <w:pPr>
              <w:pStyle w:val="TableContents"/>
              <w:spacing w:before="0" w:after="283"/>
              <w:rPr/>
            </w:pPr>
            <w:r>
              <w:rPr/>
              <w:t> </w:t>
            </w:r>
          </w:p>
        </w:tc>
        <w:tc>
          <w:tcPr>
            <w:tcW w:w="152" w:type="dxa"/>
            <w:tcBorders>
              <w:bottom w:val="single" w:sz="2" w:space="0" w:color="000000"/>
            </w:tcBorders>
            <w:shd w:fill="CCFFCC" w:val="clear"/>
            <w:tcMar>
              <w:bottom w:w="28" w:type="dxa"/>
            </w:tcMar>
            <w:vAlign w:val="bottom"/>
          </w:tcPr>
          <w:p>
            <w:pPr>
              <w:pStyle w:val="TableContents"/>
              <w:spacing w:before="0" w:after="283"/>
              <w:jc w:val="left"/>
              <w:rPr/>
            </w:pPr>
            <w:r>
              <w:rPr/>
              <w:t> </w:t>
            </w:r>
          </w:p>
        </w:tc>
        <w:tc>
          <w:tcPr>
            <w:tcW w:w="1237" w:type="dxa"/>
            <w:tcBorders>
              <w:bottom w:val="single" w:sz="2" w:space="0" w:color="000000"/>
            </w:tcBorders>
            <w:shd w:fill="CCFFCC" w:val="clear"/>
            <w:tcMar>
              <w:bottom w:w="28"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317</w:t>
            </w:r>
          </w:p>
        </w:tc>
        <w:tc>
          <w:tcPr>
            <w:tcW w:w="210" w:type="dxa"/>
            <w:tcBorders>
              <w:bottom w:val="single" w:sz="2" w:space="0" w:color="CCFFCC"/>
            </w:tcBorders>
            <w:shd w:fill="CCFFCC" w:val="clear"/>
            <w:tcMar>
              <w:bottom w:w="28" w:type="dxa"/>
            </w:tcMar>
            <w:vAlign w:val="bottom"/>
          </w:tcPr>
          <w:p>
            <w:pPr>
              <w:pStyle w:val="TableContents"/>
              <w:spacing w:before="0" w:after="283"/>
              <w:jc w:val="left"/>
              <w:rPr/>
            </w:pPr>
            <w:r>
              <w:rPr/>
              <w:t> </w:t>
            </w:r>
          </w:p>
        </w:tc>
        <w:tc>
          <w:tcPr>
            <w:tcW w:w="152" w:type="dxa"/>
            <w:tcBorders>
              <w:bottom w:val="single" w:sz="2" w:space="0" w:color="000000"/>
            </w:tcBorders>
            <w:shd w:fill="CCFFCC" w:val="clear"/>
            <w:tcMar>
              <w:bottom w:w="28" w:type="dxa"/>
            </w:tcMar>
            <w:vAlign w:val="bottom"/>
          </w:tcPr>
          <w:p>
            <w:pPr>
              <w:pStyle w:val="TableContents"/>
              <w:spacing w:before="0" w:after="283"/>
              <w:jc w:val="left"/>
              <w:rPr/>
            </w:pPr>
            <w:r>
              <w:rPr/>
              <w:t> </w:t>
            </w:r>
          </w:p>
        </w:tc>
        <w:tc>
          <w:tcPr>
            <w:tcW w:w="1238" w:type="dxa"/>
            <w:tcBorders>
              <w:bottom w:val="single" w:sz="2" w:space="0" w:color="000000"/>
            </w:tcBorders>
            <w:shd w:fill="CCFFCC"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281</w:t>
            </w:r>
          </w:p>
        </w:tc>
        <w:tc>
          <w:tcPr>
            <w:tcW w:w="126" w:type="dxa"/>
            <w:tcBorders>
              <w:bottom w:val="single" w:sz="2" w:space="0" w:color="CCFFCC"/>
            </w:tcBorders>
            <w:shd w:fill="CCFFCC" w:val="clear"/>
            <w:tcMar>
              <w:bottom w:w="28" w:type="dxa"/>
            </w:tcMar>
            <w:vAlign w:val="bottom"/>
          </w:tcPr>
          <w:p>
            <w:pPr>
              <w:pStyle w:val="TableContents"/>
              <w:spacing w:before="0" w:after="283"/>
              <w:jc w:val="left"/>
              <w:rPr/>
            </w:pPr>
            <w:r>
              <w:rPr/>
              <w:t> </w:t>
            </w:r>
          </w:p>
        </w:tc>
      </w:tr>
      <w:tr>
        <w:trPr/>
        <w:tc>
          <w:tcPr>
            <w:tcW w:w="6885" w:type="dxa"/>
            <w:tcBorders/>
            <w:shd w:fill="FFFFFF" w:val="clear"/>
            <w:vAlign w:val="bottom"/>
          </w:tcPr>
          <w:p>
            <w:pPr>
              <w:pStyle w:val="TableContents"/>
              <w:spacing w:before="0" w:after="283"/>
              <w:jc w:val="left"/>
              <w:rPr/>
            </w:pPr>
            <w:r>
              <w:rPr/>
              <w:t> </w:t>
            </w:r>
          </w:p>
        </w:tc>
        <w:tc>
          <w:tcPr>
            <w:tcW w:w="205" w:type="dxa"/>
            <w:tcBorders/>
            <w:shd w:fill="FFFFFF" w:val="clear"/>
            <w:vAlign w:val="center"/>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1237"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before="0" w:after="283"/>
              <w:jc w:val="left"/>
              <w:rPr/>
            </w:pPr>
            <w:r>
              <w:rPr/>
              <w:t> </w:t>
            </w:r>
          </w:p>
        </w:tc>
        <w:tc>
          <w:tcPr>
            <w:tcW w:w="123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6885" w:type="dxa"/>
            <w:tcBorders>
              <w:bottom w:val="single" w:sz="4" w:space="0" w:color="CCFFCC"/>
            </w:tcBorders>
            <w:shd w:fill="CCFFCC"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Average shares outstanding -</w:t>
            </w:r>
          </w:p>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Assuming dilution</w:t>
            </w:r>
          </w:p>
        </w:tc>
        <w:tc>
          <w:tcPr>
            <w:tcW w:w="205" w:type="dxa"/>
            <w:tcBorders>
              <w:bottom w:val="single" w:sz="2" w:space="0" w:color="CCFFCC"/>
            </w:tcBorders>
            <w:shd w:fill="CCFFCC" w:val="clear"/>
            <w:tcMar>
              <w:bottom w:w="28" w:type="dxa"/>
            </w:tcMar>
            <w:vAlign w:val="center"/>
          </w:tcPr>
          <w:p>
            <w:pPr>
              <w:pStyle w:val="TableContents"/>
              <w:spacing w:before="0" w:after="283"/>
              <w:rPr/>
            </w:pPr>
            <w:r>
              <w:rPr/>
              <w:t> </w:t>
            </w:r>
          </w:p>
        </w:tc>
        <w:tc>
          <w:tcPr>
            <w:tcW w:w="152" w:type="dxa"/>
            <w:tcBorders>
              <w:bottom w:val="double" w:sz="2" w:space="0" w:color="000000"/>
            </w:tcBorders>
            <w:shd w:fill="CCFFCC" w:val="clear"/>
            <w:tcMar>
              <w:bottom w:w="28" w:type="dxa"/>
            </w:tcMar>
            <w:vAlign w:val="bottom"/>
          </w:tcPr>
          <w:p>
            <w:pPr>
              <w:pStyle w:val="TableContents"/>
              <w:spacing w:before="0" w:after="283"/>
              <w:jc w:val="left"/>
              <w:rPr/>
            </w:pPr>
            <w:r>
              <w:rPr/>
              <w:t> </w:t>
            </w:r>
          </w:p>
        </w:tc>
        <w:tc>
          <w:tcPr>
            <w:tcW w:w="1237" w:type="dxa"/>
            <w:tcBorders>
              <w:bottom w:val="double" w:sz="2" w:space="0" w:color="000000"/>
            </w:tcBorders>
            <w:shd w:fill="CCFFCC" w:val="clear"/>
            <w:tcMar>
              <w:bottom w:w="28"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7,196</w:t>
            </w:r>
          </w:p>
        </w:tc>
        <w:tc>
          <w:tcPr>
            <w:tcW w:w="210" w:type="dxa"/>
            <w:tcBorders>
              <w:bottom w:val="single" w:sz="4" w:space="0" w:color="CCFFCC"/>
            </w:tcBorders>
            <w:shd w:fill="CCFFCC" w:val="clear"/>
            <w:tcMar>
              <w:bottom w:w="28" w:type="dxa"/>
            </w:tcMar>
            <w:vAlign w:val="bottom"/>
          </w:tcPr>
          <w:p>
            <w:pPr>
              <w:pStyle w:val="TableContents"/>
              <w:spacing w:before="0" w:after="283"/>
              <w:jc w:val="left"/>
              <w:rPr/>
            </w:pPr>
            <w:r>
              <w:rPr/>
              <w:t> </w:t>
            </w:r>
          </w:p>
        </w:tc>
        <w:tc>
          <w:tcPr>
            <w:tcW w:w="152" w:type="dxa"/>
            <w:tcBorders>
              <w:bottom w:val="double" w:sz="2" w:space="0" w:color="000000"/>
            </w:tcBorders>
            <w:shd w:fill="CCFFCC" w:val="clear"/>
            <w:tcMar>
              <w:bottom w:w="28" w:type="dxa"/>
            </w:tcMar>
            <w:vAlign w:val="bottom"/>
          </w:tcPr>
          <w:p>
            <w:pPr>
              <w:pStyle w:val="TableContents"/>
              <w:spacing w:before="0" w:after="283"/>
              <w:jc w:val="left"/>
              <w:rPr/>
            </w:pPr>
            <w:r>
              <w:rPr/>
              <w:t> </w:t>
            </w:r>
          </w:p>
        </w:tc>
        <w:tc>
          <w:tcPr>
            <w:tcW w:w="1238" w:type="dxa"/>
            <w:tcBorders>
              <w:bottom w:val="double" w:sz="2" w:space="0" w:color="000000"/>
            </w:tcBorders>
            <w:shd w:fill="CCFFCC"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6,952</w:t>
            </w:r>
          </w:p>
        </w:tc>
        <w:tc>
          <w:tcPr>
            <w:tcW w:w="126" w:type="dxa"/>
            <w:tcBorders>
              <w:bottom w:val="single" w:sz="4" w:space="0" w:color="CCFFCC"/>
            </w:tcBorders>
            <w:shd w:fill="CCFFCC" w:val="clear"/>
            <w:tcMar>
              <w:bottom w:w="28" w:type="dxa"/>
            </w:tcMar>
            <w:vAlign w:val="bottom"/>
          </w:tcPr>
          <w:p>
            <w:pPr>
              <w:pStyle w:val="TableContents"/>
              <w:spacing w:before="0" w:after="283"/>
              <w:jc w:val="left"/>
              <w:rPr/>
            </w:pPr>
            <w:r>
              <w:rPr/>
              <w:t> </w:t>
            </w:r>
          </w:p>
        </w:tc>
      </w:tr>
      <w:tr>
        <w:trPr/>
        <w:tc>
          <w:tcPr>
            <w:tcW w:w="6885" w:type="dxa"/>
            <w:tcBorders/>
            <w:shd w:fill="FFFFFF" w:val="clear"/>
            <w:vAlign w:val="bottom"/>
          </w:tcPr>
          <w:p>
            <w:pPr>
              <w:pStyle w:val="TableContents"/>
              <w:spacing w:before="0" w:after="283"/>
              <w:jc w:val="left"/>
              <w:rPr/>
            </w:pPr>
            <w:r>
              <w:rPr/>
              <w:t> </w:t>
            </w:r>
          </w:p>
        </w:tc>
        <w:tc>
          <w:tcPr>
            <w:tcW w:w="205" w:type="dxa"/>
            <w:tcBorders/>
            <w:shd w:fill="FFFFFF" w:val="clear"/>
            <w:vAlign w:val="center"/>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1237"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before="0" w:after="283"/>
              <w:jc w:val="left"/>
              <w:rPr/>
            </w:pPr>
            <w:r>
              <w:rPr/>
              <w:t> </w:t>
            </w:r>
          </w:p>
        </w:tc>
        <w:tc>
          <w:tcPr>
            <w:tcW w:w="123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6885" w:type="dxa"/>
            <w:tcBorders>
              <w:bottom w:val="single" w:sz="4" w:space="0" w:color="CCFFCC"/>
            </w:tcBorders>
            <w:shd w:fill="CCFFCC"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Income Per Share:</w:t>
            </w:r>
          </w:p>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Basic Common</w:t>
            </w:r>
          </w:p>
        </w:tc>
        <w:tc>
          <w:tcPr>
            <w:tcW w:w="205" w:type="dxa"/>
            <w:tcBorders>
              <w:bottom w:val="single" w:sz="2" w:space="0" w:color="CCFFCC"/>
            </w:tcBorders>
            <w:shd w:fill="CCFFCC" w:val="clear"/>
            <w:tcMar>
              <w:bottom w:w="28" w:type="dxa"/>
            </w:tcMar>
            <w:vAlign w:val="center"/>
          </w:tcPr>
          <w:p>
            <w:pPr>
              <w:pStyle w:val="TableContents"/>
              <w:spacing w:before="0" w:after="283"/>
              <w:rPr/>
            </w:pPr>
            <w:r>
              <w:rPr/>
              <w:t> </w:t>
            </w:r>
          </w:p>
        </w:tc>
        <w:tc>
          <w:tcPr>
            <w:tcW w:w="152" w:type="dxa"/>
            <w:tcBorders>
              <w:bottom w:val="double" w:sz="2" w:space="0" w:color="000000"/>
            </w:tcBorders>
            <w:shd w:fill="CCFFCC" w:val="clear"/>
            <w:tcMar>
              <w:bottom w:w="28"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237" w:type="dxa"/>
            <w:tcBorders>
              <w:bottom w:val="double" w:sz="2" w:space="0" w:color="000000"/>
            </w:tcBorders>
            <w:shd w:fill="CCFFCC" w:val="clear"/>
            <w:tcMar>
              <w:bottom w:w="28"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0.70</w:t>
            </w:r>
          </w:p>
        </w:tc>
        <w:tc>
          <w:tcPr>
            <w:tcW w:w="210" w:type="dxa"/>
            <w:tcBorders>
              <w:bottom w:val="single" w:sz="4" w:space="0" w:color="CCFFCC"/>
            </w:tcBorders>
            <w:shd w:fill="CCFFCC" w:val="clear"/>
            <w:tcMar>
              <w:bottom w:w="28" w:type="dxa"/>
            </w:tcMar>
            <w:vAlign w:val="bottom"/>
          </w:tcPr>
          <w:p>
            <w:pPr>
              <w:pStyle w:val="TableContents"/>
              <w:spacing w:before="0" w:after="283"/>
              <w:jc w:val="left"/>
              <w:rPr/>
            </w:pPr>
            <w:r>
              <w:rPr/>
              <w:t> </w:t>
            </w:r>
          </w:p>
        </w:tc>
        <w:tc>
          <w:tcPr>
            <w:tcW w:w="152" w:type="dxa"/>
            <w:tcBorders>
              <w:bottom w:val="double" w:sz="2" w:space="0" w:color="000000"/>
            </w:tcBorders>
            <w:shd w:fill="CCFFCC"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38" w:type="dxa"/>
            <w:tcBorders>
              <w:bottom w:val="double" w:sz="2" w:space="0" w:color="000000"/>
            </w:tcBorders>
            <w:shd w:fill="CCFFCC"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0.58</w:t>
            </w:r>
          </w:p>
        </w:tc>
        <w:tc>
          <w:tcPr>
            <w:tcW w:w="126" w:type="dxa"/>
            <w:tcBorders>
              <w:bottom w:val="single" w:sz="4" w:space="0" w:color="CCFFCC"/>
            </w:tcBorders>
            <w:shd w:fill="CCFFCC" w:val="clear"/>
            <w:tcMar>
              <w:bottom w:w="28" w:type="dxa"/>
            </w:tcMar>
            <w:vAlign w:val="bottom"/>
          </w:tcPr>
          <w:p>
            <w:pPr>
              <w:pStyle w:val="TableContents"/>
              <w:spacing w:before="0" w:after="283"/>
              <w:jc w:val="left"/>
              <w:rPr/>
            </w:pPr>
            <w:r>
              <w:rPr/>
              <w:t> </w:t>
            </w:r>
          </w:p>
        </w:tc>
      </w:tr>
      <w:tr>
        <w:trPr/>
        <w:tc>
          <w:tcPr>
            <w:tcW w:w="6885" w:type="dxa"/>
            <w:tcBorders>
              <w:bottom w:val="single" w:sz="4" w:space="0" w:color="FFFFFF"/>
            </w:tcBorders>
            <w:shd w:fill="FFFFFF"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Income Per Share:</w:t>
            </w:r>
          </w:p>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Basic Class B Common</w:t>
            </w:r>
          </w:p>
        </w:tc>
        <w:tc>
          <w:tcPr>
            <w:tcW w:w="205" w:type="dxa"/>
            <w:tcBorders>
              <w:bottom w:val="single" w:sz="2" w:space="0" w:color="FFFFFF"/>
            </w:tcBorders>
            <w:shd w:fill="FFFFFF" w:val="clear"/>
            <w:tcMar>
              <w:bottom w:w="28" w:type="dxa"/>
            </w:tcMar>
            <w:vAlign w:val="center"/>
          </w:tcPr>
          <w:p>
            <w:pPr>
              <w:pStyle w:val="TableContents"/>
              <w:spacing w:before="0" w:after="283"/>
              <w:rPr/>
            </w:pPr>
            <w:r>
              <w:rPr/>
              <w:t> </w:t>
            </w:r>
          </w:p>
        </w:tc>
        <w:tc>
          <w:tcPr>
            <w:tcW w:w="152"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237"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0.57</w:t>
            </w:r>
          </w:p>
        </w:tc>
        <w:tc>
          <w:tcPr>
            <w:tcW w:w="210"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152"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38"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0.43</w:t>
            </w:r>
          </w:p>
        </w:tc>
        <w:tc>
          <w:tcPr>
            <w:tcW w:w="126" w:type="dxa"/>
            <w:tcBorders>
              <w:bottom w:val="single" w:sz="4" w:space="0" w:color="FFFFFF"/>
            </w:tcBorders>
            <w:shd w:fill="FFFFFF" w:val="clear"/>
            <w:tcMar>
              <w:bottom w:w="28" w:type="dxa"/>
            </w:tcMar>
            <w:vAlign w:val="bottom"/>
          </w:tcPr>
          <w:p>
            <w:pPr>
              <w:pStyle w:val="TableContents"/>
              <w:spacing w:before="0" w:after="283"/>
              <w:jc w:val="left"/>
              <w:rPr/>
            </w:pPr>
            <w:r>
              <w:rPr/>
              <w:t> </w:t>
            </w:r>
          </w:p>
        </w:tc>
      </w:tr>
      <w:tr>
        <w:trPr/>
        <w:tc>
          <w:tcPr>
            <w:tcW w:w="6885" w:type="dxa"/>
            <w:tcBorders/>
            <w:shd w:fill="CCFFCC" w:val="clear"/>
            <w:vAlign w:val="bottom"/>
          </w:tcPr>
          <w:p>
            <w:pPr>
              <w:pStyle w:val="TableContents"/>
              <w:spacing w:before="0" w:after="283"/>
              <w:jc w:val="left"/>
              <w:rPr/>
            </w:pPr>
            <w:r>
              <w:rPr/>
              <w:t> </w:t>
            </w:r>
          </w:p>
        </w:tc>
        <w:tc>
          <w:tcPr>
            <w:tcW w:w="205" w:type="dxa"/>
            <w:tcBorders/>
            <w:shd w:fill="CCFFCC" w:val="clear"/>
            <w:vAlign w:val="center"/>
          </w:tcPr>
          <w:p>
            <w:pPr>
              <w:pStyle w:val="TableContents"/>
              <w:spacing w:before="0" w:after="283"/>
              <w:rPr/>
            </w:pPr>
            <w:r>
              <w:rPr/>
              <w:t> </w:t>
            </w:r>
          </w:p>
        </w:tc>
        <w:tc>
          <w:tcPr>
            <w:tcW w:w="152" w:type="dxa"/>
            <w:tcBorders/>
            <w:shd w:fill="CCFFCC" w:val="clear"/>
            <w:vAlign w:val="bottom"/>
          </w:tcPr>
          <w:p>
            <w:pPr>
              <w:pStyle w:val="TableContents"/>
              <w:spacing w:before="0" w:after="283"/>
              <w:jc w:val="left"/>
              <w:rPr/>
            </w:pPr>
            <w:r>
              <w:rPr/>
              <w:t> </w:t>
            </w:r>
          </w:p>
        </w:tc>
        <w:tc>
          <w:tcPr>
            <w:tcW w:w="1237" w:type="dxa"/>
            <w:tcBorders/>
            <w:shd w:fill="CCFFCC" w:val="clear"/>
            <w:vAlign w:val="bottom"/>
          </w:tcPr>
          <w:p>
            <w:pPr>
              <w:pStyle w:val="TableContents"/>
              <w:spacing w:before="0" w:after="283"/>
              <w:jc w:val="right"/>
              <w:rPr/>
            </w:pPr>
            <w:r>
              <w:rPr/>
              <w:t> </w:t>
            </w:r>
          </w:p>
        </w:tc>
        <w:tc>
          <w:tcPr>
            <w:tcW w:w="210" w:type="dxa"/>
            <w:tcBorders/>
            <w:shd w:fill="CCFFCC" w:val="clear"/>
            <w:vAlign w:val="bottom"/>
          </w:tcPr>
          <w:p>
            <w:pPr>
              <w:pStyle w:val="TableContents"/>
              <w:spacing w:before="0" w:after="283"/>
              <w:jc w:val="left"/>
              <w:rPr/>
            </w:pPr>
            <w:r>
              <w:rPr/>
              <w:t> </w:t>
            </w:r>
          </w:p>
        </w:tc>
        <w:tc>
          <w:tcPr>
            <w:tcW w:w="152" w:type="dxa"/>
            <w:tcBorders/>
            <w:shd w:fill="CCFFCC" w:val="clear"/>
            <w:vAlign w:val="bottom"/>
          </w:tcPr>
          <w:p>
            <w:pPr>
              <w:pStyle w:val="TableContents"/>
              <w:spacing w:before="0" w:after="283"/>
              <w:jc w:val="left"/>
              <w:rPr/>
            </w:pPr>
            <w:r>
              <w:rPr/>
              <w:t> </w:t>
            </w:r>
          </w:p>
        </w:tc>
        <w:tc>
          <w:tcPr>
            <w:tcW w:w="1238" w:type="dxa"/>
            <w:tcBorders/>
            <w:shd w:fill="CCFFCC" w:val="clear"/>
            <w:vAlign w:val="bottom"/>
          </w:tcPr>
          <w:p>
            <w:pPr>
              <w:pStyle w:val="TableContents"/>
              <w:spacing w:before="0" w:after="283"/>
              <w:jc w:val="right"/>
              <w:rPr/>
            </w:pPr>
            <w:r>
              <w:rPr/>
              <w:t> </w:t>
            </w:r>
          </w:p>
        </w:tc>
        <w:tc>
          <w:tcPr>
            <w:tcW w:w="126" w:type="dxa"/>
            <w:tcBorders/>
            <w:shd w:fill="CCFFCC" w:val="clear"/>
            <w:vAlign w:val="bottom"/>
          </w:tcPr>
          <w:p>
            <w:pPr>
              <w:pStyle w:val="TableContents"/>
              <w:spacing w:before="0" w:after="283"/>
              <w:jc w:val="left"/>
              <w:rPr/>
            </w:pPr>
            <w:r>
              <w:rPr/>
              <w:t> </w:t>
            </w:r>
          </w:p>
        </w:tc>
      </w:tr>
      <w:tr>
        <w:trPr/>
        <w:tc>
          <w:tcPr>
            <w:tcW w:w="6885" w:type="dxa"/>
            <w:tcBorders>
              <w:bottom w:val="single" w:sz="4" w:space="0" w:color="FFFFFF"/>
            </w:tcBorders>
            <w:shd w:fill="FFFFFF"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Diluted</w:t>
            </w:r>
          </w:p>
        </w:tc>
        <w:tc>
          <w:tcPr>
            <w:tcW w:w="205" w:type="dxa"/>
            <w:tcBorders>
              <w:bottom w:val="single" w:sz="2" w:space="0" w:color="FFFFFF"/>
            </w:tcBorders>
            <w:shd w:fill="FFFFFF" w:val="clear"/>
            <w:tcMar>
              <w:bottom w:w="28" w:type="dxa"/>
            </w:tcMar>
            <w:vAlign w:val="center"/>
          </w:tcPr>
          <w:p>
            <w:pPr>
              <w:pStyle w:val="TableContents"/>
              <w:spacing w:before="0" w:after="283"/>
              <w:rPr/>
            </w:pPr>
            <w:r>
              <w:rPr/>
              <w:t> </w:t>
            </w:r>
          </w:p>
        </w:tc>
        <w:tc>
          <w:tcPr>
            <w:tcW w:w="152"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237"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0.64</w:t>
            </w:r>
          </w:p>
        </w:tc>
        <w:tc>
          <w:tcPr>
            <w:tcW w:w="210"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152"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38"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0.52</w:t>
            </w:r>
          </w:p>
        </w:tc>
        <w:tc>
          <w:tcPr>
            <w:tcW w:w="126" w:type="dxa"/>
            <w:tcBorders>
              <w:bottom w:val="single" w:sz="4" w:space="0" w:color="FFFFFF"/>
            </w:tcBorders>
            <w:shd w:fill="FFFFFF" w:val="clear"/>
            <w:tcMar>
              <w:bottom w:w="28" w:type="dxa"/>
            </w:tcMar>
            <w:vAlign w:val="bottom"/>
          </w:tcPr>
          <w:p>
            <w:pPr>
              <w:pStyle w:val="TableContents"/>
              <w:spacing w:before="0" w:after="283"/>
              <w:jc w:val="left"/>
              <w:rPr/>
            </w:pPr>
            <w:r>
              <w:rPr/>
              <w:t> </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37" w:name="PGBRK45"/>
      <w:bookmarkStart w:id="1238" w:name="PGBRK45"/>
      <w:bookmarkEnd w:id="12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39" w:name="FTR45"/>
      <w:bookmarkStart w:id="1240" w:name="FTR45"/>
      <w:bookmarkEnd w:id="12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41" w:name="GLFTR45"/>
      <w:bookmarkEnd w:id="124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42" w:name="PN45"/>
      <w:bookmarkEnd w:id="1242"/>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43" w:name="HDR45"/>
      <w:bookmarkStart w:id="1244" w:name="HDR45"/>
      <w:bookmarkEnd w:id="12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45" w:name="GLHDR45"/>
      <w:bookmarkEnd w:id="124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bookmarkStart w:id="1246" w:name="v105960_ex31.htm"/>
      <w:bookmarkStart w:id="1247" w:name="ksv105960_ex31"/>
      <w:bookmarkEnd w:id="1246"/>
      <w:bookmarkEnd w:id="1247"/>
      <w:r>
        <w:rPr>
          <w:rStyle w:val="StrongEmphasis"/>
          <w:rFonts w:ascii="Times New Roman" w:hAnsi="Times New Roman"/>
          <w:sz w:val="20"/>
        </w:rPr>
        <w:t>Exhibit 31:</w:t>
      </w:r>
    </w:p>
    <w:p>
      <w:pPr>
        <w:pStyle w:val="TextBody"/>
        <w:spacing w:lineRule="auto" w:line="300" w:before="0" w:after="0"/>
        <w:ind w:left="0" w:right="0" w:hanging="0"/>
        <w:jc w:val="left"/>
        <w:rPr/>
      </w:pPr>
      <w:r>
        <w:rPr/>
      </w:r>
    </w:p>
    <w:p>
      <w:pPr>
        <w:pStyle w:val="TextBody"/>
        <w:spacing w:lineRule="auto" w:line="300" w:before="0" w:after="0"/>
        <w:ind w:left="0" w:right="0" w:hanging="0"/>
        <w:jc w:val="center"/>
        <w:rPr/>
      </w:pPr>
      <w:r>
        <w:rPr>
          <w:rStyle w:val="StrongEmphasis"/>
          <w:rFonts w:ascii="Times New Roman" w:hAnsi="Times New Roman"/>
          <w:sz w:val="20"/>
        </w:rPr>
        <w:t>CERTIFICATIONS PURSUANT TO RULE 13A -14(A) UNDER THE SECURITIES EXCHANGE ACT OF 1934, AS AMENDED</w:t>
      </w:r>
    </w:p>
    <w:p>
      <w:pPr>
        <w:pStyle w:val="TextBody"/>
        <w:spacing w:lineRule="auto" w:line="300" w:before="0" w:after="0"/>
        <w:ind w:left="360" w:right="0" w:hanging="0"/>
        <w:jc w:val="center"/>
        <w:rPr/>
      </w:pPr>
      <w:r>
        <w:rPr>
          <w:rStyle w:val="StrongEmphasis"/>
          <w:rFonts w:ascii="Times New Roman" w:hAnsi="Times New Roman"/>
          <w:sz w:val="20"/>
        </w:rPr>
        <w:t>Certification of Principal Executive Officer</w:t>
      </w:r>
    </w:p>
    <w:p>
      <w:pPr>
        <w:pStyle w:val="TextBody"/>
        <w:spacing w:lineRule="auto" w:line="300" w:before="0" w:after="0"/>
        <w:ind w:left="360" w:right="0" w:hanging="0"/>
        <w:jc w:val="center"/>
        <w:rPr/>
      </w:pPr>
      <w:r>
        <w:rPr>
          <w:rStyle w:val="StrongEmphasis"/>
          <w:rFonts w:ascii="Times New Roman" w:hAnsi="Times New Roman"/>
          <w:sz w:val="20"/>
        </w:rPr>
        <w:t>(Section 302 of the Sarbanes-Oxley Act of 2002)</w:t>
      </w:r>
    </w:p>
    <w:p>
      <w:pPr>
        <w:pStyle w:val="TextBody"/>
        <w:spacing w:lineRule="auto" w:line="300" w:before="0" w:after="0"/>
        <w:ind w:left="360" w:right="0" w:hanging="0"/>
        <w:jc w:val="center"/>
        <w:rPr/>
      </w:pPr>
      <w:r>
        <w:rPr/>
      </w:r>
    </w:p>
    <w:p>
      <w:pPr>
        <w:pStyle w:val="TextBody"/>
        <w:spacing w:lineRule="auto" w:line="300" w:before="0" w:after="0"/>
        <w:ind w:left="360" w:right="0" w:hanging="0"/>
        <w:jc w:val="both"/>
        <w:rPr/>
      </w:pPr>
      <w:r>
        <w:rPr>
          <w:rFonts w:ascii="Times New Roman" w:hAnsi="Times New Roman"/>
          <w:sz w:val="20"/>
        </w:rPr>
        <w:t>I.</w:t>
      </w:r>
      <w:bookmarkStart w:id="1248" w:name="TAB2153"/>
      <w:bookmarkEnd w:id="1248"/>
      <w:r>
        <w:rPr>
          <w:color w:val="000000"/>
          <w:spacing w:val="360"/>
        </w:rPr>
        <w:t> </w:t>
      </w:r>
      <w:r>
        <w:rPr>
          <w:rFonts w:ascii="Times New Roman" w:hAnsi="Times New Roman"/>
          <w:sz w:val="20"/>
        </w:rPr>
        <w:t>I, Daniel S. Jaffee, certify that:</w:t>
      </w:r>
    </w:p>
    <w:p>
      <w:pPr>
        <w:pStyle w:val="TextBody"/>
        <w:spacing w:lineRule="auto" w:line="300" w:before="0" w:after="0"/>
        <w:ind w:left="360" w:right="0" w:hanging="0"/>
        <w:jc w:val="both"/>
        <w:rPr/>
      </w:pPr>
      <w:r>
        <w:rPr/>
      </w:r>
    </w:p>
    <w:p>
      <w:pPr>
        <w:pStyle w:val="Normal"/>
        <w:spacing w:before="0" w:after="0"/>
        <w:rPr>
          <w:sz w:val="4"/>
          <w:szCs w:val="4"/>
        </w:rPr>
      </w:pPr>
      <w:r>
        <w:rPr>
          <w:sz w:val="4"/>
          <w:szCs w:val="4"/>
        </w:rPr>
      </w:r>
      <w:bookmarkStart w:id="1249" w:name="hangingindent45"/>
      <w:bookmarkStart w:id="1250" w:name="hangingindent45"/>
      <w:bookmarkEnd w:id="1250"/>
    </w:p>
    <w:tbl>
      <w:tblPr>
        <w:tblW w:w="5000" w:type="pct"/>
        <w:jc w:val="center"/>
        <w:tblInd w:w="0" w:type="dxa"/>
        <w:tblCellMar>
          <w:top w:w="0" w:type="dxa"/>
          <w:left w:w="0" w:type="dxa"/>
          <w:bottom w:w="0" w:type="dxa"/>
          <w:right w:w="0" w:type="dxa"/>
        </w:tblCellMar>
      </w:tblPr>
      <w:tblGrid>
        <w:gridCol w:w="70"/>
        <w:gridCol w:w="71"/>
        <w:gridCol w:w="200"/>
        <w:gridCol w:w="9864"/>
      </w:tblGrid>
      <w:tr>
        <w:trPr/>
        <w:tc>
          <w:tcPr>
            <w:tcW w:w="70"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20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w:t>
            </w:r>
          </w:p>
        </w:tc>
        <w:tc>
          <w:tcPr>
            <w:tcW w:w="986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have reviewed this quarterly report on Form 10-Q of Oil-Dri Corporation of America (the “registrant”);</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1251" w:name="hangingindent46"/>
      <w:bookmarkStart w:id="1252" w:name="hangingindent46"/>
      <w:bookmarkEnd w:id="1252"/>
    </w:p>
    <w:tbl>
      <w:tblPr>
        <w:tblW w:w="5000" w:type="pct"/>
        <w:jc w:val="center"/>
        <w:tblInd w:w="0" w:type="dxa"/>
        <w:tblCellMar>
          <w:top w:w="0" w:type="dxa"/>
          <w:left w:w="0" w:type="dxa"/>
          <w:bottom w:w="0" w:type="dxa"/>
          <w:right w:w="0" w:type="dxa"/>
        </w:tblCellMar>
      </w:tblPr>
      <w:tblGrid>
        <w:gridCol w:w="59"/>
        <w:gridCol w:w="60"/>
        <w:gridCol w:w="142"/>
        <w:gridCol w:w="9944"/>
      </w:tblGrid>
      <w:tr>
        <w:trPr/>
        <w:tc>
          <w:tcPr>
            <w:tcW w:w="59"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4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w:t>
            </w:r>
          </w:p>
        </w:tc>
        <w:tc>
          <w:tcPr>
            <w:tcW w:w="99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1253" w:name="hangingindent47"/>
      <w:bookmarkStart w:id="1254" w:name="hangingindent47"/>
      <w:bookmarkEnd w:id="1254"/>
    </w:p>
    <w:tbl>
      <w:tblPr>
        <w:tblW w:w="5000" w:type="pct"/>
        <w:jc w:val="center"/>
        <w:tblInd w:w="0" w:type="dxa"/>
        <w:tblCellMar>
          <w:top w:w="0" w:type="dxa"/>
          <w:left w:w="0" w:type="dxa"/>
          <w:bottom w:w="0" w:type="dxa"/>
          <w:right w:w="0" w:type="dxa"/>
        </w:tblCellMar>
      </w:tblPr>
      <w:tblGrid>
        <w:gridCol w:w="59"/>
        <w:gridCol w:w="144"/>
        <w:gridCol w:w="10002"/>
      </w:tblGrid>
      <w:tr>
        <w:trPr/>
        <w:tc>
          <w:tcPr>
            <w:tcW w:w="59" w:type="dxa"/>
            <w:tcBorders/>
            <w:shd w:fill="auto" w:val="clear"/>
          </w:tcPr>
          <w:p>
            <w:pPr>
              <w:pStyle w:val="TableContents"/>
              <w:spacing w:before="0" w:after="283"/>
              <w:rPr/>
            </w:pPr>
            <w:r>
              <w:rPr/>
              <w:t> </w:t>
            </w:r>
          </w:p>
        </w:tc>
        <w:tc>
          <w:tcPr>
            <w:tcW w:w="1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w:t>
            </w:r>
          </w:p>
        </w:tc>
        <w:tc>
          <w:tcPr>
            <w:tcW w:w="1000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1255" w:name="hangingindent48"/>
      <w:bookmarkStart w:id="1256" w:name="hangingindent48"/>
      <w:bookmarkEnd w:id="1256"/>
    </w:p>
    <w:tbl>
      <w:tblPr>
        <w:tblW w:w="5000" w:type="pct"/>
        <w:jc w:val="center"/>
        <w:tblInd w:w="0" w:type="dxa"/>
        <w:tblCellMar>
          <w:top w:w="0" w:type="dxa"/>
          <w:left w:w="0" w:type="dxa"/>
          <w:bottom w:w="0" w:type="dxa"/>
          <w:right w:w="0" w:type="dxa"/>
        </w:tblCellMar>
      </w:tblPr>
      <w:tblGrid>
        <w:gridCol w:w="59"/>
        <w:gridCol w:w="141"/>
        <w:gridCol w:w="10005"/>
      </w:tblGrid>
      <w:tr>
        <w:trPr/>
        <w:tc>
          <w:tcPr>
            <w:tcW w:w="59" w:type="dxa"/>
            <w:tcBorders/>
            <w:shd w:fill="auto" w:val="clear"/>
          </w:tcPr>
          <w:p>
            <w:pPr>
              <w:pStyle w:val="TableContents"/>
              <w:spacing w:before="0" w:after="283"/>
              <w:rPr/>
            </w:pPr>
            <w:r>
              <w:rPr/>
              <w:t> </w:t>
            </w:r>
          </w:p>
        </w:tc>
        <w:tc>
          <w:tcPr>
            <w:tcW w:w="14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4.</w:t>
            </w:r>
          </w:p>
        </w:tc>
        <w:tc>
          <w:tcPr>
            <w:tcW w:w="1000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1257" w:name="hangingindent49"/>
      <w:bookmarkStart w:id="1258" w:name="hangingindent49"/>
      <w:bookmarkEnd w:id="1258"/>
    </w:p>
    <w:tbl>
      <w:tblPr>
        <w:tblW w:w="5000" w:type="pct"/>
        <w:jc w:val="center"/>
        <w:tblInd w:w="0" w:type="dxa"/>
        <w:tblCellMar>
          <w:top w:w="0" w:type="dxa"/>
          <w:left w:w="0" w:type="dxa"/>
          <w:bottom w:w="0" w:type="dxa"/>
          <w:right w:w="0" w:type="dxa"/>
        </w:tblCellMar>
      </w:tblPr>
      <w:tblGrid>
        <w:gridCol w:w="59"/>
        <w:gridCol w:w="155"/>
        <w:gridCol w:w="9991"/>
      </w:tblGrid>
      <w:tr>
        <w:trPr/>
        <w:tc>
          <w:tcPr>
            <w:tcW w:w="59" w:type="dxa"/>
            <w:tcBorders/>
            <w:shd w:fill="auto" w:val="clear"/>
          </w:tcPr>
          <w:p>
            <w:pPr>
              <w:pStyle w:val="TableContents"/>
              <w:spacing w:before="0" w:after="283"/>
              <w:rPr/>
            </w:pPr>
            <w:r>
              <w:rPr/>
              <w:t> </w:t>
            </w:r>
          </w:p>
        </w:tc>
        <w:tc>
          <w:tcPr>
            <w:tcW w:w="15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w:t>
            </w:r>
          </w:p>
        </w:tc>
        <w:tc>
          <w:tcPr>
            <w:tcW w:w="99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spacing w:lineRule="auto" w:line="300" w:before="0" w:after="0"/>
        <w:ind w:left="360" w:right="0" w:hanging="0"/>
        <w:jc w:val="both"/>
        <w:rPr/>
      </w:pPr>
      <w:r>
        <w:rPr/>
      </w:r>
    </w:p>
    <w:p>
      <w:pPr>
        <w:pStyle w:val="Normal"/>
        <w:spacing w:before="0" w:after="0"/>
        <w:rPr>
          <w:sz w:val="4"/>
          <w:szCs w:val="4"/>
        </w:rPr>
      </w:pPr>
      <w:r>
        <w:rPr>
          <w:sz w:val="4"/>
          <w:szCs w:val="4"/>
        </w:rPr>
      </w:r>
      <w:bookmarkStart w:id="1259" w:name="hangingindent50"/>
      <w:bookmarkStart w:id="1260" w:name="hangingindent50"/>
      <w:bookmarkEnd w:id="1260"/>
    </w:p>
    <w:tbl>
      <w:tblPr>
        <w:tblW w:w="5000" w:type="pct"/>
        <w:jc w:val="center"/>
        <w:tblInd w:w="0" w:type="dxa"/>
        <w:tblCellMar>
          <w:top w:w="0" w:type="dxa"/>
          <w:left w:w="0" w:type="dxa"/>
          <w:bottom w:w="0" w:type="dxa"/>
          <w:right w:w="0" w:type="dxa"/>
        </w:tblCellMar>
      </w:tblPr>
      <w:tblGrid>
        <w:gridCol w:w="59"/>
        <w:gridCol w:w="170"/>
        <w:gridCol w:w="9976"/>
      </w:tblGrid>
      <w:tr>
        <w:trPr/>
        <w:tc>
          <w:tcPr>
            <w:tcW w:w="59" w:type="dxa"/>
            <w:tcBorders/>
            <w:shd w:fill="auto" w:val="clear"/>
          </w:tcPr>
          <w:p>
            <w:pPr>
              <w:pStyle w:val="TableContents"/>
              <w:spacing w:before="0" w:after="283"/>
              <w:rPr/>
            </w:pPr>
            <w:r>
              <w:rPr/>
              <w:t> </w:t>
            </w:r>
          </w:p>
        </w:tc>
        <w:tc>
          <w:tcPr>
            <w:tcW w:w="17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lineRule="auto" w:line="300" w:before="0" w:after="0"/>
        <w:ind w:left="180" w:right="0" w:hanging="0"/>
        <w:jc w:val="both"/>
        <w:rPr/>
      </w:pPr>
      <w:r>
        <w:rPr/>
      </w:r>
    </w:p>
    <w:p>
      <w:pPr>
        <w:pStyle w:val="Normal"/>
        <w:spacing w:before="0" w:after="0"/>
        <w:rPr>
          <w:sz w:val="4"/>
          <w:szCs w:val="4"/>
        </w:rPr>
      </w:pPr>
      <w:r>
        <w:rPr>
          <w:sz w:val="4"/>
          <w:szCs w:val="4"/>
        </w:rPr>
      </w:r>
      <w:bookmarkStart w:id="1261" w:name="hangingindent51"/>
      <w:bookmarkStart w:id="1262" w:name="hangingindent51"/>
      <w:bookmarkEnd w:id="1262"/>
    </w:p>
    <w:tbl>
      <w:tblPr>
        <w:tblW w:w="5000" w:type="pct"/>
        <w:jc w:val="center"/>
        <w:tblInd w:w="0" w:type="dxa"/>
        <w:tblCellMar>
          <w:top w:w="0" w:type="dxa"/>
          <w:left w:w="0" w:type="dxa"/>
          <w:bottom w:w="0" w:type="dxa"/>
          <w:right w:w="0" w:type="dxa"/>
        </w:tblCellMar>
      </w:tblPr>
      <w:tblGrid>
        <w:gridCol w:w="59"/>
        <w:gridCol w:w="155"/>
        <w:gridCol w:w="9991"/>
      </w:tblGrid>
      <w:tr>
        <w:trPr/>
        <w:tc>
          <w:tcPr>
            <w:tcW w:w="59" w:type="dxa"/>
            <w:tcBorders/>
            <w:shd w:fill="auto" w:val="clear"/>
          </w:tcPr>
          <w:p>
            <w:pPr>
              <w:pStyle w:val="TableContents"/>
              <w:spacing w:before="0" w:after="283"/>
              <w:rPr/>
            </w:pPr>
            <w:r>
              <w:rPr/>
              <w:t> </w:t>
            </w:r>
          </w:p>
        </w:tc>
        <w:tc>
          <w:tcPr>
            <w:tcW w:w="15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w:t>
            </w:r>
          </w:p>
        </w:tc>
        <w:tc>
          <w:tcPr>
            <w:tcW w:w="99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1263" w:name="hangingindent52"/>
      <w:bookmarkStart w:id="1264" w:name="hangingindent52"/>
      <w:bookmarkEnd w:id="1264"/>
    </w:p>
    <w:tbl>
      <w:tblPr>
        <w:tblW w:w="5000" w:type="pct"/>
        <w:jc w:val="center"/>
        <w:tblInd w:w="0" w:type="dxa"/>
        <w:tblCellMar>
          <w:top w:w="0" w:type="dxa"/>
          <w:left w:w="0" w:type="dxa"/>
          <w:bottom w:w="0" w:type="dxa"/>
          <w:right w:w="0" w:type="dxa"/>
        </w:tblCellMar>
      </w:tblPr>
      <w:tblGrid>
        <w:gridCol w:w="59"/>
        <w:gridCol w:w="170"/>
        <w:gridCol w:w="9976"/>
      </w:tblGrid>
      <w:tr>
        <w:trPr/>
        <w:tc>
          <w:tcPr>
            <w:tcW w:w="59" w:type="dxa"/>
            <w:tcBorders/>
            <w:shd w:fill="auto" w:val="clear"/>
          </w:tcPr>
          <w:p>
            <w:pPr>
              <w:pStyle w:val="TableContents"/>
              <w:spacing w:before="0" w:after="283"/>
              <w:rPr/>
            </w:pPr>
            <w:r>
              <w:rPr/>
              <w:t> </w:t>
            </w:r>
          </w:p>
        </w:tc>
        <w:tc>
          <w:tcPr>
            <w:tcW w:w="17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lineRule="auto" w:line="300" w:before="0" w:after="0"/>
        <w:ind w:left="1080" w:right="0" w:hanging="1080"/>
        <w:jc w:val="both"/>
        <w:rPr/>
      </w:pPr>
      <w:r>
        <w:rPr/>
      </w:r>
    </w:p>
    <w:p>
      <w:pPr>
        <w:pStyle w:val="Normal"/>
        <w:spacing w:before="0" w:after="0"/>
        <w:rPr>
          <w:sz w:val="4"/>
          <w:szCs w:val="4"/>
        </w:rPr>
      </w:pPr>
      <w:r>
        <w:rPr>
          <w:sz w:val="4"/>
          <w:szCs w:val="4"/>
        </w:rPr>
      </w:r>
      <w:bookmarkStart w:id="1265" w:name="hangingindent53"/>
      <w:bookmarkStart w:id="1266" w:name="hangingindent53"/>
      <w:bookmarkEnd w:id="1266"/>
    </w:p>
    <w:tbl>
      <w:tblPr>
        <w:tblW w:w="5000" w:type="pct"/>
        <w:jc w:val="center"/>
        <w:tblInd w:w="0" w:type="dxa"/>
        <w:tblCellMar>
          <w:top w:w="0" w:type="dxa"/>
          <w:left w:w="0" w:type="dxa"/>
          <w:bottom w:w="0" w:type="dxa"/>
          <w:right w:w="0" w:type="dxa"/>
        </w:tblCellMar>
      </w:tblPr>
      <w:tblGrid>
        <w:gridCol w:w="59"/>
        <w:gridCol w:w="143"/>
        <w:gridCol w:w="10003"/>
      </w:tblGrid>
      <w:tr>
        <w:trPr/>
        <w:tc>
          <w:tcPr>
            <w:tcW w:w="59" w:type="dxa"/>
            <w:tcBorders/>
            <w:shd w:fill="auto" w:val="clear"/>
          </w:tcPr>
          <w:p>
            <w:pPr>
              <w:pStyle w:val="TableContents"/>
              <w:spacing w:before="0" w:after="283"/>
              <w:rPr/>
            </w:pPr>
            <w:r>
              <w:rPr/>
              <w:t> </w:t>
            </w:r>
          </w:p>
        </w:tc>
        <w:tc>
          <w:tcPr>
            <w:tcW w:w="1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5.</w:t>
            </w:r>
          </w:p>
        </w:tc>
        <w:tc>
          <w:tcPr>
            <w:tcW w:w="100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1267" w:name="hangingindent54"/>
      <w:bookmarkStart w:id="1268" w:name="hangingindent54"/>
      <w:bookmarkEnd w:id="1268"/>
    </w:p>
    <w:tbl>
      <w:tblPr>
        <w:tblW w:w="5000" w:type="pct"/>
        <w:jc w:val="center"/>
        <w:tblInd w:w="0" w:type="dxa"/>
        <w:tblCellMar>
          <w:top w:w="0" w:type="dxa"/>
          <w:left w:w="0" w:type="dxa"/>
          <w:bottom w:w="0" w:type="dxa"/>
          <w:right w:w="0" w:type="dxa"/>
        </w:tblCellMar>
      </w:tblPr>
      <w:tblGrid>
        <w:gridCol w:w="22"/>
        <w:gridCol w:w="155"/>
        <w:gridCol w:w="10028"/>
      </w:tblGrid>
      <w:tr>
        <w:trPr/>
        <w:tc>
          <w:tcPr>
            <w:tcW w:w="22" w:type="dxa"/>
            <w:tcBorders/>
            <w:shd w:fill="auto" w:val="clear"/>
          </w:tcPr>
          <w:p>
            <w:pPr>
              <w:pStyle w:val="TableContents"/>
              <w:spacing w:before="0" w:after="283"/>
              <w:rPr>
                <w:sz w:val="4"/>
                <w:szCs w:val="4"/>
              </w:rPr>
            </w:pPr>
            <w:r>
              <w:rPr>
                <w:sz w:val="4"/>
                <w:szCs w:val="4"/>
              </w:rPr>
            </w:r>
          </w:p>
        </w:tc>
        <w:tc>
          <w:tcPr>
            <w:tcW w:w="15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1002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lineRule="auto" w:line="300" w:before="0" w:after="0"/>
        <w:ind w:left="1080" w:right="0" w:hanging="1080"/>
        <w:jc w:val="both"/>
        <w:rPr/>
      </w:pPr>
      <w:r>
        <w:rPr/>
      </w:r>
    </w:p>
    <w:p>
      <w:pPr>
        <w:pStyle w:val="Normal"/>
        <w:spacing w:before="0" w:after="0"/>
        <w:rPr>
          <w:sz w:val="4"/>
          <w:szCs w:val="4"/>
        </w:rPr>
      </w:pPr>
      <w:r>
        <w:rPr>
          <w:sz w:val="4"/>
          <w:szCs w:val="4"/>
        </w:rPr>
      </w:r>
      <w:bookmarkStart w:id="1269" w:name="hangingindent55"/>
      <w:bookmarkStart w:id="1270" w:name="hangingindent55"/>
      <w:bookmarkEnd w:id="1270"/>
    </w:p>
    <w:tbl>
      <w:tblPr>
        <w:tblW w:w="5000" w:type="pct"/>
        <w:jc w:val="center"/>
        <w:tblInd w:w="0" w:type="dxa"/>
        <w:tblCellMar>
          <w:top w:w="0" w:type="dxa"/>
          <w:left w:w="0" w:type="dxa"/>
          <w:bottom w:w="0" w:type="dxa"/>
          <w:right w:w="0" w:type="dxa"/>
        </w:tblCellMar>
      </w:tblPr>
      <w:tblGrid>
        <w:gridCol w:w="22"/>
        <w:gridCol w:w="170"/>
        <w:gridCol w:w="10013"/>
      </w:tblGrid>
      <w:tr>
        <w:trPr/>
        <w:tc>
          <w:tcPr>
            <w:tcW w:w="22" w:type="dxa"/>
            <w:tcBorders/>
            <w:shd w:fill="auto" w:val="clear"/>
          </w:tcPr>
          <w:p>
            <w:pPr>
              <w:pStyle w:val="TableContents"/>
              <w:spacing w:before="0" w:after="283"/>
              <w:rPr>
                <w:sz w:val="4"/>
                <w:szCs w:val="4"/>
              </w:rPr>
            </w:pPr>
            <w:r>
              <w:rPr>
                <w:sz w:val="4"/>
                <w:szCs w:val="4"/>
              </w:rPr>
            </w:r>
          </w:p>
        </w:tc>
        <w:tc>
          <w:tcPr>
            <w:tcW w:w="17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1001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lineRule="auto" w:line="300" w:before="0" w:after="0"/>
        <w:ind w:left="1440" w:right="0" w:hanging="1080"/>
        <w:jc w:val="both"/>
        <w:rPr/>
      </w:pPr>
      <w:r>
        <w:rPr/>
      </w:r>
    </w:p>
    <w:tbl>
      <w:tblPr>
        <w:tblW w:w="5000" w:type="pct"/>
        <w:jc w:val="left"/>
        <w:tblInd w:w="0" w:type="dxa"/>
        <w:tblCellMar>
          <w:top w:w="0" w:type="dxa"/>
          <w:left w:w="0" w:type="dxa"/>
          <w:bottom w:w="0" w:type="dxa"/>
          <w:right w:w="0" w:type="dxa"/>
        </w:tblCellMar>
      </w:tblPr>
      <w:tblGrid>
        <w:gridCol w:w="918"/>
        <w:gridCol w:w="100"/>
        <w:gridCol w:w="4083"/>
        <w:gridCol w:w="5104"/>
      </w:tblGrid>
      <w:tr>
        <w:trPr/>
        <w:tc>
          <w:tcPr>
            <w:tcW w:w="918" w:type="dxa"/>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Date:</w:t>
            </w:r>
          </w:p>
        </w:tc>
        <w:tc>
          <w:tcPr>
            <w:tcW w:w="100" w:type="dxa"/>
            <w:tcBorders/>
            <w:shd w:fill="auto" w:val="clear"/>
          </w:tcPr>
          <w:p>
            <w:pPr>
              <w:pStyle w:val="TableContents"/>
              <w:spacing w:before="0" w:after="283"/>
              <w:jc w:val="both"/>
              <w:rPr/>
            </w:pPr>
            <w:r>
              <w:rPr/>
              <w:t> </w:t>
            </w:r>
          </w:p>
        </w:tc>
        <w:tc>
          <w:tcPr>
            <w:tcW w:w="4083" w:type="dxa"/>
            <w:tcBorders>
              <w:bottom w:val="single" w:sz="2" w:space="0" w:color="FFFFFF"/>
            </w:tcBorders>
            <w:shd w:fill="auto" w:val="clear"/>
            <w:tcMar>
              <w:bottom w:w="28" w:type="dxa"/>
            </w:tcM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March 7, 2008</w:t>
            </w:r>
          </w:p>
        </w:tc>
        <w:tc>
          <w:tcPr>
            <w:tcW w:w="5104" w:type="dxa"/>
            <w:tcBorders/>
            <w:shd w:fill="auto" w:val="clear"/>
            <w:vAlign w:val="center"/>
          </w:tcPr>
          <w:p>
            <w:pPr>
              <w:pStyle w:val="TableContents"/>
              <w:spacing w:before="0" w:after="283"/>
              <w:rPr/>
            </w:pPr>
            <w:r>
              <w:rPr/>
              <w:t> </w:t>
            </w:r>
          </w:p>
        </w:tc>
      </w:tr>
      <w:tr>
        <w:trPr/>
        <w:tc>
          <w:tcPr>
            <w:tcW w:w="918" w:type="dxa"/>
            <w:tcBorders>
              <w:bottom w:val="single" w:sz="4" w:space="0" w:color="FFFFFF"/>
            </w:tcBorders>
            <w:shd w:fill="auto" w:val="clear"/>
            <w:tcMar>
              <w:bottom w:w="28" w:type="dxa"/>
            </w:tcMar>
            <w:vAlign w:val="bottom"/>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By:</w:t>
            </w:r>
          </w:p>
        </w:tc>
        <w:tc>
          <w:tcPr>
            <w:tcW w:w="100" w:type="dxa"/>
            <w:tcBorders>
              <w:bottom w:val="single" w:sz="2" w:space="0" w:color="000000"/>
            </w:tcBorders>
            <w:shd w:fill="auto" w:val="clear"/>
            <w:tcMar>
              <w:bottom w:w="28" w:type="dxa"/>
            </w:tcMar>
            <w:vAlign w:val="bottom"/>
          </w:tcPr>
          <w:p>
            <w:pPr>
              <w:pStyle w:val="TableContents"/>
              <w:spacing w:before="0" w:after="283"/>
              <w:jc w:val="both"/>
              <w:rPr/>
            </w:pPr>
            <w:r>
              <w:rPr/>
              <w:t> </w:t>
            </w:r>
          </w:p>
        </w:tc>
        <w:tc>
          <w:tcPr>
            <w:tcW w:w="4083" w:type="dxa"/>
            <w:tcBorders>
              <w:bottom w:val="single" w:sz="2" w:space="0" w:color="000000"/>
            </w:tcBorders>
            <w:shd w:fill="auto" w:val="clear"/>
            <w:tcMar>
              <w:bottom w:w="28" w:type="dxa"/>
            </w:tcMar>
            <w:vAlign w:val="bottom"/>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/s/ Daniel S. Jaffee</w:t>
            </w:r>
          </w:p>
        </w:tc>
        <w:tc>
          <w:tcPr>
            <w:tcW w:w="5104" w:type="dxa"/>
            <w:tcBorders/>
            <w:shd w:fill="auto" w:val="clear"/>
            <w:vAlign w:val="center"/>
          </w:tcPr>
          <w:p>
            <w:pPr>
              <w:pStyle w:val="TableContents"/>
              <w:spacing w:before="0" w:after="283"/>
              <w:rPr/>
            </w:pPr>
            <w:r>
              <w:rPr/>
              <w:t> </w:t>
            </w:r>
          </w:p>
        </w:tc>
      </w:tr>
      <w:tr>
        <w:trPr/>
        <w:tc>
          <w:tcPr>
            <w:tcW w:w="918" w:type="dxa"/>
            <w:tcBorders/>
            <w:shd w:fill="auto" w:val="clear"/>
          </w:tcPr>
          <w:p>
            <w:pPr>
              <w:pStyle w:val="TableContents"/>
              <w:spacing w:before="0" w:after="283"/>
              <w:jc w:val="both"/>
              <w:rPr/>
            </w:pPr>
            <w:r>
              <w:rPr/>
              <w:t> </w:t>
            </w:r>
          </w:p>
        </w:tc>
        <w:tc>
          <w:tcPr>
            <w:tcW w:w="100" w:type="dxa"/>
            <w:tcBorders/>
            <w:shd w:fill="auto" w:val="clear"/>
          </w:tcPr>
          <w:p>
            <w:pPr>
              <w:pStyle w:val="TableContents"/>
              <w:spacing w:before="0" w:after="283"/>
              <w:jc w:val="both"/>
              <w:rPr/>
            </w:pPr>
            <w:r>
              <w:rPr/>
              <w:t> </w:t>
            </w:r>
          </w:p>
        </w:tc>
        <w:tc>
          <w:tcPr>
            <w:tcW w:w="4083" w:type="dxa"/>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Daniel S. Jaffee</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President and Chief Executive Officer</w:t>
            </w:r>
          </w:p>
        </w:tc>
        <w:tc>
          <w:tcPr>
            <w:tcW w:w="5104" w:type="dxa"/>
            <w:tcBorders/>
            <w:shd w:fill="auto" w:val="clear"/>
            <w:vAlign w:val="center"/>
          </w:tcPr>
          <w:p>
            <w:pPr>
              <w:pStyle w:val="TableContents"/>
              <w:spacing w:before="0" w:after="283"/>
              <w:rPr/>
            </w:pPr>
            <w:r>
              <w:rPr/>
              <w:t> </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71" w:name="PGBRK46"/>
      <w:bookmarkStart w:id="1272" w:name="PGBRK46"/>
      <w:bookmarkEnd w:id="1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73" w:name="FTR46"/>
      <w:bookmarkStart w:id="1274" w:name="FTR46"/>
      <w:bookmarkEnd w:id="12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75" w:name="GLFTR46"/>
      <w:bookmarkStart w:id="1276" w:name="GLFTR46"/>
      <w:bookmarkEnd w:id="127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1277" w:name="PN46"/>
      <w:bookmarkStart w:id="1278" w:name="PN46"/>
      <w:bookmarkEnd w:id="12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79" w:name="HDR46"/>
      <w:bookmarkStart w:id="1280" w:name="HDR46"/>
      <w:bookmarkEnd w:id="12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81" w:name="GLHDR46"/>
      <w:bookmarkStart w:id="1282" w:name="GLHDR46"/>
      <w:bookmarkEnd w:id="12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left"/>
        <w:rPr/>
      </w:pPr>
      <w:r>
        <w:rPr>
          <w:rStyle w:val="StrongEmphasis"/>
          <w:rFonts w:ascii="Times New Roman" w:hAnsi="Times New Roman"/>
          <w:sz w:val="20"/>
        </w:rPr>
        <w:t>Exhibit 31 (continued):</w:t>
      </w:r>
    </w:p>
    <w:p>
      <w:pPr>
        <w:pStyle w:val="TextBody"/>
        <w:spacing w:lineRule="auto" w:line="300" w:before="0" w:after="0"/>
        <w:ind w:left="0" w:right="0" w:hanging="0"/>
        <w:jc w:val="left"/>
        <w:rPr/>
      </w:pPr>
      <w:r>
        <w:rPr/>
      </w:r>
    </w:p>
    <w:p>
      <w:pPr>
        <w:pStyle w:val="TextBody"/>
        <w:spacing w:lineRule="auto" w:line="300" w:before="0" w:after="0"/>
        <w:ind w:left="360" w:right="0" w:hanging="0"/>
        <w:jc w:val="center"/>
        <w:rPr/>
      </w:pPr>
      <w:r>
        <w:rPr>
          <w:rStyle w:val="StrongEmphasis"/>
          <w:rFonts w:ascii="Times New Roman" w:hAnsi="Times New Roman"/>
          <w:sz w:val="20"/>
        </w:rPr>
        <w:t>Certification of Principal Financial Officer</w:t>
      </w:r>
    </w:p>
    <w:p>
      <w:pPr>
        <w:pStyle w:val="TextBody"/>
        <w:spacing w:lineRule="auto" w:line="300" w:before="0" w:after="0"/>
        <w:ind w:left="360" w:right="0" w:hanging="0"/>
        <w:jc w:val="center"/>
        <w:rPr/>
      </w:pPr>
      <w:r>
        <w:rPr>
          <w:rStyle w:val="StrongEmphasis"/>
          <w:rFonts w:ascii="Times New Roman" w:hAnsi="Times New Roman"/>
          <w:sz w:val="20"/>
        </w:rPr>
        <w:t>(Section 302 of the Sarbanes-Oxley Act of 2002)</w:t>
      </w:r>
    </w:p>
    <w:p>
      <w:pPr>
        <w:pStyle w:val="TextBody"/>
        <w:spacing w:lineRule="auto" w:line="300" w:before="0" w:after="0"/>
        <w:ind w:left="360" w:right="0" w:hanging="0"/>
        <w:jc w:val="both"/>
        <w:rPr/>
      </w:pPr>
      <w:r>
        <w:rPr/>
      </w:r>
    </w:p>
    <w:p>
      <w:pPr>
        <w:pStyle w:val="TextBody"/>
        <w:spacing w:lineRule="auto" w:line="300" w:before="0" w:after="0"/>
        <w:ind w:left="360" w:right="0" w:hanging="0"/>
        <w:jc w:val="both"/>
        <w:rPr/>
      </w:pPr>
      <w:r>
        <w:rPr>
          <w:rFonts w:ascii="Times New Roman" w:hAnsi="Times New Roman"/>
          <w:sz w:val="20"/>
        </w:rPr>
        <w:t>I.</w:t>
      </w:r>
      <w:bookmarkStart w:id="1283" w:name="TAB2154"/>
      <w:bookmarkEnd w:id="1283"/>
      <w:r>
        <w:rPr>
          <w:color w:val="000000"/>
          <w:spacing w:val="360"/>
        </w:rPr>
        <w:t> </w:t>
      </w:r>
      <w:r>
        <w:rPr>
          <w:rFonts w:ascii="Times New Roman" w:hAnsi="Times New Roman"/>
          <w:sz w:val="20"/>
        </w:rPr>
        <w:t>I, Andrew N. Peterson, certify that:</w:t>
      </w:r>
    </w:p>
    <w:p>
      <w:pPr>
        <w:pStyle w:val="TextBody"/>
        <w:spacing w:lineRule="auto" w:line="300" w:before="0" w:after="0"/>
        <w:ind w:left="360" w:right="0" w:hanging="0"/>
        <w:jc w:val="both"/>
        <w:rPr/>
      </w:pPr>
      <w:r>
        <w:rPr/>
      </w:r>
    </w:p>
    <w:p>
      <w:pPr>
        <w:pStyle w:val="Normal"/>
        <w:spacing w:before="0" w:after="0"/>
        <w:rPr>
          <w:sz w:val="4"/>
          <w:szCs w:val="4"/>
        </w:rPr>
      </w:pPr>
      <w:r>
        <w:rPr>
          <w:sz w:val="4"/>
          <w:szCs w:val="4"/>
        </w:rPr>
      </w:r>
      <w:bookmarkStart w:id="1284" w:name="hangingindent56"/>
      <w:bookmarkStart w:id="1285" w:name="hangingindent56"/>
      <w:bookmarkEnd w:id="1285"/>
    </w:p>
    <w:tbl>
      <w:tblPr>
        <w:tblW w:w="5000" w:type="pct"/>
        <w:jc w:val="center"/>
        <w:tblInd w:w="0" w:type="dxa"/>
        <w:tblCellMar>
          <w:top w:w="0" w:type="dxa"/>
          <w:left w:w="0" w:type="dxa"/>
          <w:bottom w:w="0" w:type="dxa"/>
          <w:right w:w="0" w:type="dxa"/>
        </w:tblCellMar>
      </w:tblPr>
      <w:tblGrid>
        <w:gridCol w:w="70"/>
        <w:gridCol w:w="71"/>
        <w:gridCol w:w="200"/>
        <w:gridCol w:w="9864"/>
      </w:tblGrid>
      <w:tr>
        <w:trPr/>
        <w:tc>
          <w:tcPr>
            <w:tcW w:w="70"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20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w:t>
            </w:r>
          </w:p>
        </w:tc>
        <w:tc>
          <w:tcPr>
            <w:tcW w:w="986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have reviewed this quarterly report on Form 10-Q of Oil-Dri Corporation of America (the “registrant”);</w:t>
            </w:r>
          </w:p>
        </w:tc>
      </w:tr>
    </w:tbl>
    <w:p>
      <w:pPr>
        <w:pStyle w:val="TextBody"/>
        <w:spacing w:lineRule="auto" w:line="300" w:before="0" w:after="0"/>
        <w:ind w:left="1440" w:right="0" w:hanging="1080"/>
        <w:jc w:val="both"/>
        <w:rPr/>
      </w:pPr>
      <w:r>
        <w:rPr/>
      </w:r>
    </w:p>
    <w:p>
      <w:pPr>
        <w:pStyle w:val="Normal"/>
        <w:spacing w:before="0" w:after="0"/>
        <w:rPr>
          <w:sz w:val="4"/>
          <w:szCs w:val="4"/>
        </w:rPr>
      </w:pPr>
      <w:r>
        <w:rPr>
          <w:sz w:val="4"/>
          <w:szCs w:val="4"/>
        </w:rPr>
      </w:r>
      <w:bookmarkStart w:id="1286" w:name="hangingindent57"/>
      <w:bookmarkStart w:id="1287" w:name="hangingindent57"/>
      <w:bookmarkEnd w:id="1287"/>
    </w:p>
    <w:tbl>
      <w:tblPr>
        <w:tblW w:w="5000" w:type="pct"/>
        <w:jc w:val="center"/>
        <w:tblInd w:w="0" w:type="dxa"/>
        <w:tblCellMar>
          <w:top w:w="0" w:type="dxa"/>
          <w:left w:w="0" w:type="dxa"/>
          <w:bottom w:w="0" w:type="dxa"/>
          <w:right w:w="0" w:type="dxa"/>
        </w:tblCellMar>
      </w:tblPr>
      <w:tblGrid>
        <w:gridCol w:w="59"/>
        <w:gridCol w:w="60"/>
        <w:gridCol w:w="142"/>
        <w:gridCol w:w="9944"/>
      </w:tblGrid>
      <w:tr>
        <w:trPr/>
        <w:tc>
          <w:tcPr>
            <w:tcW w:w="59"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4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w:t>
            </w:r>
          </w:p>
        </w:tc>
        <w:tc>
          <w:tcPr>
            <w:tcW w:w="99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1288" w:name="hangingindent58"/>
      <w:bookmarkStart w:id="1289" w:name="hangingindent58"/>
      <w:bookmarkEnd w:id="1289"/>
    </w:p>
    <w:tbl>
      <w:tblPr>
        <w:tblW w:w="5000" w:type="pct"/>
        <w:jc w:val="center"/>
        <w:tblInd w:w="0" w:type="dxa"/>
        <w:tblCellMar>
          <w:top w:w="0" w:type="dxa"/>
          <w:left w:w="0" w:type="dxa"/>
          <w:bottom w:w="0" w:type="dxa"/>
          <w:right w:w="0" w:type="dxa"/>
        </w:tblCellMar>
      </w:tblPr>
      <w:tblGrid>
        <w:gridCol w:w="59"/>
        <w:gridCol w:w="144"/>
        <w:gridCol w:w="10002"/>
      </w:tblGrid>
      <w:tr>
        <w:trPr/>
        <w:tc>
          <w:tcPr>
            <w:tcW w:w="59" w:type="dxa"/>
            <w:tcBorders/>
            <w:shd w:fill="auto" w:val="clear"/>
          </w:tcPr>
          <w:p>
            <w:pPr>
              <w:pStyle w:val="TableContents"/>
              <w:spacing w:before="0" w:after="283"/>
              <w:rPr/>
            </w:pPr>
            <w:r>
              <w:rPr/>
              <w:t> </w:t>
            </w:r>
          </w:p>
        </w:tc>
        <w:tc>
          <w:tcPr>
            <w:tcW w:w="1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w:t>
            </w:r>
          </w:p>
        </w:tc>
        <w:tc>
          <w:tcPr>
            <w:tcW w:w="1000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1290" w:name="hangingindent59"/>
      <w:bookmarkStart w:id="1291" w:name="hangingindent59"/>
      <w:bookmarkEnd w:id="1291"/>
    </w:p>
    <w:tbl>
      <w:tblPr>
        <w:tblW w:w="5000" w:type="pct"/>
        <w:jc w:val="center"/>
        <w:tblInd w:w="0" w:type="dxa"/>
        <w:tblCellMar>
          <w:top w:w="0" w:type="dxa"/>
          <w:left w:w="0" w:type="dxa"/>
          <w:bottom w:w="0" w:type="dxa"/>
          <w:right w:w="0" w:type="dxa"/>
        </w:tblCellMar>
      </w:tblPr>
      <w:tblGrid>
        <w:gridCol w:w="59"/>
        <w:gridCol w:w="141"/>
        <w:gridCol w:w="10005"/>
      </w:tblGrid>
      <w:tr>
        <w:trPr/>
        <w:tc>
          <w:tcPr>
            <w:tcW w:w="59" w:type="dxa"/>
            <w:tcBorders/>
            <w:shd w:fill="auto" w:val="clear"/>
          </w:tcPr>
          <w:p>
            <w:pPr>
              <w:pStyle w:val="TableContents"/>
              <w:spacing w:before="0" w:after="283"/>
              <w:rPr/>
            </w:pPr>
            <w:r>
              <w:rPr/>
              <w:t> </w:t>
            </w:r>
          </w:p>
        </w:tc>
        <w:tc>
          <w:tcPr>
            <w:tcW w:w="14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4.</w:t>
            </w:r>
          </w:p>
        </w:tc>
        <w:tc>
          <w:tcPr>
            <w:tcW w:w="1000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1292" w:name="hangingindent60"/>
      <w:bookmarkStart w:id="1293" w:name="hangingindent60"/>
      <w:bookmarkEnd w:id="1293"/>
    </w:p>
    <w:tbl>
      <w:tblPr>
        <w:tblW w:w="5000" w:type="pct"/>
        <w:jc w:val="center"/>
        <w:tblInd w:w="0" w:type="dxa"/>
        <w:tblCellMar>
          <w:top w:w="0" w:type="dxa"/>
          <w:left w:w="0" w:type="dxa"/>
          <w:bottom w:w="0" w:type="dxa"/>
          <w:right w:w="0" w:type="dxa"/>
        </w:tblCellMar>
      </w:tblPr>
      <w:tblGrid>
        <w:gridCol w:w="59"/>
        <w:gridCol w:w="155"/>
        <w:gridCol w:w="9991"/>
      </w:tblGrid>
      <w:tr>
        <w:trPr/>
        <w:tc>
          <w:tcPr>
            <w:tcW w:w="59" w:type="dxa"/>
            <w:tcBorders/>
            <w:shd w:fill="auto" w:val="clear"/>
          </w:tcPr>
          <w:p>
            <w:pPr>
              <w:pStyle w:val="TableContents"/>
              <w:spacing w:before="0" w:after="283"/>
              <w:rPr/>
            </w:pPr>
            <w:r>
              <w:rPr/>
              <w:t> </w:t>
            </w:r>
          </w:p>
        </w:tc>
        <w:tc>
          <w:tcPr>
            <w:tcW w:w="15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w:t>
            </w:r>
          </w:p>
        </w:tc>
        <w:tc>
          <w:tcPr>
            <w:tcW w:w="99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1294" w:name="hangingindent61"/>
      <w:bookmarkStart w:id="1295" w:name="hangingindent61"/>
      <w:bookmarkEnd w:id="1295"/>
    </w:p>
    <w:tbl>
      <w:tblPr>
        <w:tblW w:w="5000" w:type="pct"/>
        <w:jc w:val="center"/>
        <w:tblInd w:w="0" w:type="dxa"/>
        <w:tblCellMar>
          <w:top w:w="0" w:type="dxa"/>
          <w:left w:w="0" w:type="dxa"/>
          <w:bottom w:w="0" w:type="dxa"/>
          <w:right w:w="0" w:type="dxa"/>
        </w:tblCellMar>
      </w:tblPr>
      <w:tblGrid>
        <w:gridCol w:w="59"/>
        <w:gridCol w:w="170"/>
        <w:gridCol w:w="9976"/>
      </w:tblGrid>
      <w:tr>
        <w:trPr/>
        <w:tc>
          <w:tcPr>
            <w:tcW w:w="59" w:type="dxa"/>
            <w:tcBorders/>
            <w:shd w:fill="auto" w:val="clear"/>
          </w:tcPr>
          <w:p>
            <w:pPr>
              <w:pStyle w:val="TableContents"/>
              <w:spacing w:before="0" w:after="283"/>
              <w:rPr/>
            </w:pPr>
            <w:r>
              <w:rPr/>
              <w:t> </w:t>
            </w:r>
          </w:p>
        </w:tc>
        <w:tc>
          <w:tcPr>
            <w:tcW w:w="17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lineRule="auto" w:line="300" w:before="0" w:after="0"/>
        <w:ind w:left="1440" w:right="0" w:hanging="0"/>
        <w:jc w:val="both"/>
        <w:rPr/>
      </w:pPr>
      <w:r>
        <w:rPr/>
      </w:r>
    </w:p>
    <w:p>
      <w:pPr>
        <w:pStyle w:val="Normal"/>
        <w:spacing w:before="0" w:after="0"/>
        <w:rPr>
          <w:sz w:val="4"/>
          <w:szCs w:val="4"/>
        </w:rPr>
      </w:pPr>
      <w:r>
        <w:rPr>
          <w:sz w:val="4"/>
          <w:szCs w:val="4"/>
        </w:rPr>
      </w:r>
      <w:bookmarkStart w:id="1296" w:name="hangingindent62"/>
      <w:bookmarkStart w:id="1297" w:name="hangingindent62"/>
      <w:bookmarkEnd w:id="1297"/>
    </w:p>
    <w:tbl>
      <w:tblPr>
        <w:tblW w:w="5000" w:type="pct"/>
        <w:jc w:val="center"/>
        <w:tblInd w:w="0" w:type="dxa"/>
        <w:tblCellMar>
          <w:top w:w="0" w:type="dxa"/>
          <w:left w:w="0" w:type="dxa"/>
          <w:bottom w:w="0" w:type="dxa"/>
          <w:right w:w="0" w:type="dxa"/>
        </w:tblCellMar>
      </w:tblPr>
      <w:tblGrid>
        <w:gridCol w:w="59"/>
        <w:gridCol w:w="155"/>
        <w:gridCol w:w="9991"/>
      </w:tblGrid>
      <w:tr>
        <w:trPr/>
        <w:tc>
          <w:tcPr>
            <w:tcW w:w="59" w:type="dxa"/>
            <w:tcBorders/>
            <w:shd w:fill="auto" w:val="clear"/>
          </w:tcPr>
          <w:p>
            <w:pPr>
              <w:pStyle w:val="TableContents"/>
              <w:spacing w:before="0" w:after="283"/>
              <w:rPr/>
            </w:pPr>
            <w:r>
              <w:rPr/>
              <w:t> </w:t>
            </w:r>
          </w:p>
        </w:tc>
        <w:tc>
          <w:tcPr>
            <w:tcW w:w="15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w:t>
            </w:r>
          </w:p>
        </w:tc>
        <w:tc>
          <w:tcPr>
            <w:tcW w:w="99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1298" w:name="hangingindent63"/>
      <w:bookmarkStart w:id="1299" w:name="hangingindent63"/>
      <w:bookmarkEnd w:id="1299"/>
    </w:p>
    <w:tbl>
      <w:tblPr>
        <w:tblW w:w="5000" w:type="pct"/>
        <w:jc w:val="center"/>
        <w:tblInd w:w="0" w:type="dxa"/>
        <w:tblCellMar>
          <w:top w:w="0" w:type="dxa"/>
          <w:left w:w="0" w:type="dxa"/>
          <w:bottom w:w="0" w:type="dxa"/>
          <w:right w:w="0" w:type="dxa"/>
        </w:tblCellMar>
      </w:tblPr>
      <w:tblGrid>
        <w:gridCol w:w="59"/>
        <w:gridCol w:w="170"/>
        <w:gridCol w:w="9976"/>
      </w:tblGrid>
      <w:tr>
        <w:trPr/>
        <w:tc>
          <w:tcPr>
            <w:tcW w:w="59" w:type="dxa"/>
            <w:tcBorders/>
            <w:shd w:fill="auto" w:val="clear"/>
          </w:tcPr>
          <w:p>
            <w:pPr>
              <w:pStyle w:val="TableContents"/>
              <w:spacing w:before="0" w:after="283"/>
              <w:rPr/>
            </w:pPr>
            <w:r>
              <w:rPr/>
              <w:t> </w:t>
            </w:r>
          </w:p>
        </w:tc>
        <w:tc>
          <w:tcPr>
            <w:tcW w:w="17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lineRule="auto" w:line="300" w:before="0" w:after="0"/>
        <w:ind w:left="1080" w:right="0" w:hanging="1080"/>
        <w:jc w:val="both"/>
        <w:rPr/>
      </w:pPr>
      <w:r>
        <w:rPr/>
      </w:r>
    </w:p>
    <w:p>
      <w:pPr>
        <w:pStyle w:val="Normal"/>
        <w:spacing w:before="0" w:after="0"/>
        <w:rPr>
          <w:sz w:val="4"/>
          <w:szCs w:val="4"/>
        </w:rPr>
      </w:pPr>
      <w:r>
        <w:rPr>
          <w:sz w:val="4"/>
          <w:szCs w:val="4"/>
        </w:rPr>
      </w:r>
      <w:bookmarkStart w:id="1300" w:name="hangingindent64"/>
      <w:bookmarkStart w:id="1301" w:name="hangingindent64"/>
      <w:bookmarkEnd w:id="1301"/>
    </w:p>
    <w:tbl>
      <w:tblPr>
        <w:tblW w:w="5000" w:type="pct"/>
        <w:jc w:val="center"/>
        <w:tblInd w:w="0" w:type="dxa"/>
        <w:tblCellMar>
          <w:top w:w="0" w:type="dxa"/>
          <w:left w:w="0" w:type="dxa"/>
          <w:bottom w:w="0" w:type="dxa"/>
          <w:right w:w="0" w:type="dxa"/>
        </w:tblCellMar>
      </w:tblPr>
      <w:tblGrid>
        <w:gridCol w:w="59"/>
        <w:gridCol w:w="143"/>
        <w:gridCol w:w="10003"/>
      </w:tblGrid>
      <w:tr>
        <w:trPr/>
        <w:tc>
          <w:tcPr>
            <w:tcW w:w="59" w:type="dxa"/>
            <w:tcBorders/>
            <w:shd w:fill="auto" w:val="clear"/>
          </w:tcPr>
          <w:p>
            <w:pPr>
              <w:pStyle w:val="TableContents"/>
              <w:spacing w:before="0" w:after="283"/>
              <w:rPr/>
            </w:pPr>
            <w:r>
              <w:rPr/>
              <w:t> </w:t>
            </w:r>
          </w:p>
        </w:tc>
        <w:tc>
          <w:tcPr>
            <w:tcW w:w="1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5.</w:t>
            </w:r>
          </w:p>
        </w:tc>
        <w:tc>
          <w:tcPr>
            <w:tcW w:w="100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1302" w:name="hangingindent65"/>
      <w:bookmarkStart w:id="1303" w:name="hangingindent65"/>
      <w:bookmarkEnd w:id="1303"/>
    </w:p>
    <w:tbl>
      <w:tblPr>
        <w:tblW w:w="5000" w:type="pct"/>
        <w:jc w:val="center"/>
        <w:tblInd w:w="0" w:type="dxa"/>
        <w:tblCellMar>
          <w:top w:w="0" w:type="dxa"/>
          <w:left w:w="0" w:type="dxa"/>
          <w:bottom w:w="0" w:type="dxa"/>
          <w:right w:w="0" w:type="dxa"/>
        </w:tblCellMar>
      </w:tblPr>
      <w:tblGrid>
        <w:gridCol w:w="22"/>
        <w:gridCol w:w="155"/>
        <w:gridCol w:w="10028"/>
      </w:tblGrid>
      <w:tr>
        <w:trPr/>
        <w:tc>
          <w:tcPr>
            <w:tcW w:w="22" w:type="dxa"/>
            <w:tcBorders/>
            <w:shd w:fill="auto" w:val="clear"/>
          </w:tcPr>
          <w:p>
            <w:pPr>
              <w:pStyle w:val="TableContents"/>
              <w:spacing w:before="0" w:after="283"/>
              <w:rPr>
                <w:sz w:val="4"/>
                <w:szCs w:val="4"/>
              </w:rPr>
            </w:pPr>
            <w:r>
              <w:rPr>
                <w:sz w:val="4"/>
                <w:szCs w:val="4"/>
              </w:rPr>
            </w:r>
          </w:p>
        </w:tc>
        <w:tc>
          <w:tcPr>
            <w:tcW w:w="15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1002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lineRule="auto" w:line="300" w:before="0" w:after="0"/>
        <w:ind w:left="1080" w:right="0" w:hanging="1080"/>
        <w:jc w:val="both"/>
        <w:rPr/>
      </w:pPr>
      <w:r>
        <w:rPr/>
      </w:r>
    </w:p>
    <w:p>
      <w:pPr>
        <w:pStyle w:val="Normal"/>
        <w:spacing w:before="0" w:after="0"/>
        <w:rPr>
          <w:sz w:val="4"/>
          <w:szCs w:val="4"/>
        </w:rPr>
      </w:pPr>
      <w:r>
        <w:rPr>
          <w:sz w:val="4"/>
          <w:szCs w:val="4"/>
        </w:rPr>
      </w:r>
      <w:bookmarkStart w:id="1304" w:name="hangingindent66"/>
      <w:bookmarkStart w:id="1305" w:name="hangingindent66"/>
      <w:bookmarkEnd w:id="1305"/>
    </w:p>
    <w:tbl>
      <w:tblPr>
        <w:tblW w:w="5000" w:type="pct"/>
        <w:jc w:val="center"/>
        <w:tblInd w:w="0" w:type="dxa"/>
        <w:tblCellMar>
          <w:top w:w="0" w:type="dxa"/>
          <w:left w:w="0" w:type="dxa"/>
          <w:bottom w:w="0" w:type="dxa"/>
          <w:right w:w="0" w:type="dxa"/>
        </w:tblCellMar>
      </w:tblPr>
      <w:tblGrid>
        <w:gridCol w:w="22"/>
        <w:gridCol w:w="170"/>
        <w:gridCol w:w="10013"/>
      </w:tblGrid>
      <w:tr>
        <w:trPr/>
        <w:tc>
          <w:tcPr>
            <w:tcW w:w="22" w:type="dxa"/>
            <w:tcBorders/>
            <w:shd w:fill="auto" w:val="clear"/>
          </w:tcPr>
          <w:p>
            <w:pPr>
              <w:pStyle w:val="TableContents"/>
              <w:spacing w:before="0" w:after="283"/>
              <w:rPr>
                <w:sz w:val="4"/>
                <w:szCs w:val="4"/>
              </w:rPr>
            </w:pPr>
            <w:r>
              <w:rPr>
                <w:sz w:val="4"/>
                <w:szCs w:val="4"/>
              </w:rPr>
            </w:r>
          </w:p>
        </w:tc>
        <w:tc>
          <w:tcPr>
            <w:tcW w:w="17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1001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lineRule="auto" w:line="300" w:before="0" w:after="0"/>
        <w:ind w:left="1440" w:right="0" w:hanging="1080"/>
        <w:jc w:val="both"/>
        <w:rPr/>
      </w:pPr>
      <w:r>
        <w:rPr/>
        <w:t> </w:t>
      </w:r>
    </w:p>
    <w:tbl>
      <w:tblPr>
        <w:tblW w:w="5000" w:type="pct"/>
        <w:jc w:val="left"/>
        <w:tblInd w:w="0" w:type="dxa"/>
        <w:tblCellMar>
          <w:top w:w="0" w:type="dxa"/>
          <w:left w:w="0" w:type="dxa"/>
          <w:bottom w:w="0" w:type="dxa"/>
          <w:right w:w="0" w:type="dxa"/>
        </w:tblCellMar>
      </w:tblPr>
      <w:tblGrid>
        <w:gridCol w:w="918"/>
        <w:gridCol w:w="100"/>
        <w:gridCol w:w="4083"/>
        <w:gridCol w:w="5104"/>
      </w:tblGrid>
      <w:tr>
        <w:trPr/>
        <w:tc>
          <w:tcPr>
            <w:tcW w:w="918" w:type="dxa"/>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Date:</w:t>
            </w:r>
          </w:p>
        </w:tc>
        <w:tc>
          <w:tcPr>
            <w:tcW w:w="100" w:type="dxa"/>
            <w:tcBorders/>
            <w:shd w:fill="auto" w:val="clear"/>
          </w:tcPr>
          <w:p>
            <w:pPr>
              <w:pStyle w:val="TableContents"/>
              <w:spacing w:before="0" w:after="283"/>
              <w:jc w:val="both"/>
              <w:rPr/>
            </w:pPr>
            <w:r>
              <w:rPr/>
              <w:t> </w:t>
            </w:r>
          </w:p>
        </w:tc>
        <w:tc>
          <w:tcPr>
            <w:tcW w:w="4083" w:type="dxa"/>
            <w:tcBorders>
              <w:bottom w:val="single" w:sz="2" w:space="0" w:color="FFFFFF"/>
            </w:tcBorders>
            <w:shd w:fill="auto" w:val="clear"/>
            <w:tcMar>
              <w:bottom w:w="28" w:type="dxa"/>
            </w:tcM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March 7, 2008</w:t>
            </w:r>
          </w:p>
        </w:tc>
        <w:tc>
          <w:tcPr>
            <w:tcW w:w="5104" w:type="dxa"/>
            <w:tcBorders/>
            <w:shd w:fill="auto" w:val="clear"/>
            <w:vAlign w:val="center"/>
          </w:tcPr>
          <w:p>
            <w:pPr>
              <w:pStyle w:val="TableContents"/>
              <w:spacing w:before="0" w:after="283"/>
              <w:rPr/>
            </w:pPr>
            <w:r>
              <w:rPr/>
              <w:t> </w:t>
            </w:r>
          </w:p>
        </w:tc>
      </w:tr>
      <w:tr>
        <w:trPr/>
        <w:tc>
          <w:tcPr>
            <w:tcW w:w="918" w:type="dxa"/>
            <w:tcBorders>
              <w:bottom w:val="single" w:sz="4" w:space="0" w:color="FFFFFF"/>
            </w:tcBorders>
            <w:shd w:fill="auto" w:val="clear"/>
            <w:tcMar>
              <w:bottom w:w="28" w:type="dxa"/>
            </w:tcMar>
            <w:vAlign w:val="bottom"/>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By:</w:t>
            </w:r>
          </w:p>
        </w:tc>
        <w:tc>
          <w:tcPr>
            <w:tcW w:w="100" w:type="dxa"/>
            <w:tcBorders>
              <w:bottom w:val="single" w:sz="2" w:space="0" w:color="000000"/>
            </w:tcBorders>
            <w:shd w:fill="auto" w:val="clear"/>
            <w:tcMar>
              <w:bottom w:w="28" w:type="dxa"/>
            </w:tcMar>
          </w:tcPr>
          <w:p>
            <w:pPr>
              <w:pStyle w:val="TableContents"/>
              <w:spacing w:before="0" w:after="283"/>
              <w:jc w:val="both"/>
              <w:rPr/>
            </w:pPr>
            <w:r>
              <w:rPr/>
              <w:t> </w:t>
            </w:r>
          </w:p>
        </w:tc>
        <w:tc>
          <w:tcPr>
            <w:tcW w:w="4083" w:type="dxa"/>
            <w:tcBorders>
              <w:bottom w:val="single" w:sz="2" w:space="0" w:color="000000"/>
            </w:tcBorders>
            <w:shd w:fill="auto" w:val="clear"/>
            <w:tcMar>
              <w:bottom w:w="28" w:type="dxa"/>
            </w:tcMar>
            <w:vAlign w:val="bottom"/>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/s/ Andrew N. Peterson</w:t>
            </w:r>
          </w:p>
        </w:tc>
        <w:tc>
          <w:tcPr>
            <w:tcW w:w="5104" w:type="dxa"/>
            <w:tcBorders>
              <w:bottom w:val="single" w:sz="4" w:space="0" w:color="FFFFFF"/>
            </w:tcBorders>
            <w:shd w:fill="auto" w:val="clear"/>
            <w:tcMar>
              <w:bottom w:w="28" w:type="dxa"/>
            </w:tcMar>
            <w:vAlign w:val="center"/>
          </w:tcPr>
          <w:p>
            <w:pPr>
              <w:pStyle w:val="TableContents"/>
              <w:spacing w:before="0" w:after="283"/>
              <w:rPr/>
            </w:pPr>
            <w:r>
              <w:rPr/>
              <w:t> </w:t>
            </w:r>
          </w:p>
        </w:tc>
      </w:tr>
      <w:tr>
        <w:trPr/>
        <w:tc>
          <w:tcPr>
            <w:tcW w:w="918" w:type="dxa"/>
            <w:tcBorders/>
            <w:shd w:fill="auto" w:val="clear"/>
          </w:tcPr>
          <w:p>
            <w:pPr>
              <w:pStyle w:val="TableContents"/>
              <w:spacing w:before="0" w:after="283"/>
              <w:jc w:val="both"/>
              <w:rPr/>
            </w:pPr>
            <w:r>
              <w:rPr/>
              <w:t> </w:t>
            </w:r>
          </w:p>
        </w:tc>
        <w:tc>
          <w:tcPr>
            <w:tcW w:w="100" w:type="dxa"/>
            <w:tcBorders/>
            <w:shd w:fill="auto" w:val="clear"/>
          </w:tcPr>
          <w:p>
            <w:pPr>
              <w:pStyle w:val="TableContents"/>
              <w:spacing w:before="0" w:after="283"/>
              <w:jc w:val="both"/>
              <w:rPr/>
            </w:pPr>
            <w:r>
              <w:rPr/>
              <w:t> </w:t>
            </w:r>
          </w:p>
        </w:tc>
        <w:tc>
          <w:tcPr>
            <w:tcW w:w="4083" w:type="dxa"/>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Andrew N. Peterson</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Vice President and Chief Financial Officer</w:t>
            </w:r>
          </w:p>
        </w:tc>
        <w:tc>
          <w:tcPr>
            <w:tcW w:w="5104" w:type="dxa"/>
            <w:tcBorders/>
            <w:shd w:fill="auto" w:val="clear"/>
            <w:vAlign w:val="center"/>
          </w:tcPr>
          <w:p>
            <w:pPr>
              <w:pStyle w:val="TableContents"/>
              <w:spacing w:before="0" w:after="283"/>
              <w:rPr/>
            </w:pPr>
            <w:r>
              <w:rPr/>
              <w:t> </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06" w:name="PGBRK47"/>
      <w:bookmarkStart w:id="1307" w:name="PGBRK47"/>
      <w:bookmarkEnd w:id="13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08" w:name="FTR47"/>
      <w:bookmarkStart w:id="1309" w:name="FTR47"/>
      <w:bookmarkEnd w:id="13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10" w:name="GLFTR47"/>
      <w:bookmarkStart w:id="1311" w:name="GLFTR47"/>
      <w:bookmarkEnd w:id="13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312" w:name="PN47"/>
      <w:bookmarkEnd w:id="1312"/>
      <w:r>
        <w:rPr>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13" w:name="HDR47"/>
      <w:bookmarkStart w:id="1314" w:name="HDR47"/>
      <w:bookmarkEnd w:id="13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15" w:name="GLHDR47"/>
      <w:bookmarkStart w:id="1316" w:name="GLHDR47"/>
      <w:bookmarkEnd w:id="13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bookmarkStart w:id="1317" w:name="v105960_ex32.htm"/>
      <w:bookmarkStart w:id="1318" w:name="ksv105960_ex32"/>
      <w:bookmarkEnd w:id="1317"/>
      <w:bookmarkEnd w:id="1318"/>
      <w:r>
        <w:rPr>
          <w:rStyle w:val="StrongEmphasis"/>
          <w:rFonts w:ascii="Times New Roman" w:hAnsi="Times New Roman"/>
          <w:sz w:val="20"/>
        </w:rPr>
        <w:t>Exhibit 32:</w:t>
      </w:r>
    </w:p>
    <w:p>
      <w:pPr>
        <w:pStyle w:val="TextBody"/>
        <w:spacing w:lineRule="auto" w:line="300" w:before="0" w:after="0"/>
        <w:ind w:left="0" w:right="0" w:hanging="0"/>
        <w:jc w:val="left"/>
        <w:rPr/>
      </w:pPr>
      <w:r>
        <w:rPr/>
      </w:r>
    </w:p>
    <w:p>
      <w:pPr>
        <w:pStyle w:val="TextBody"/>
        <w:spacing w:lineRule="auto" w:line="300" w:before="0" w:after="0"/>
        <w:ind w:left="0" w:right="0" w:hanging="0"/>
        <w:jc w:val="center"/>
        <w:rPr/>
      </w:pPr>
      <w:r>
        <w:rPr>
          <w:rStyle w:val="StrongEmphasis"/>
          <w:rFonts w:ascii="Times New Roman" w:hAnsi="Times New Roman"/>
          <w:sz w:val="20"/>
        </w:rPr>
        <w:t>CERTIFICATIONS PURSUANT TO 18 U.S.C. SECTION 1350 AS ADOPTED PURSUANT TO</w:t>
      </w:r>
    </w:p>
    <w:p>
      <w:pPr>
        <w:pStyle w:val="TextBody"/>
        <w:spacing w:lineRule="auto" w:line="300" w:before="0" w:after="0"/>
        <w:ind w:left="0" w:right="0" w:hanging="0"/>
        <w:jc w:val="center"/>
        <w:rPr/>
      </w:pPr>
      <w:r>
        <w:rPr>
          <w:rStyle w:val="StrongEmphasis"/>
          <w:rFonts w:ascii="Times New Roman" w:hAnsi="Times New Roman"/>
          <w:sz w:val="20"/>
        </w:rPr>
        <w:t>THE SARBANES-OXLEY ACT OF 2002 CERTIFICATION</w:t>
      </w:r>
    </w:p>
    <w:p>
      <w:pPr>
        <w:pStyle w:val="TextBody"/>
        <w:spacing w:before="0" w:after="0"/>
        <w:rPr/>
      </w:pPr>
      <w:r>
        <w:rPr/>
        <w:t> </w:t>
      </w:r>
    </w:p>
    <w:p>
      <w:pPr>
        <w:pStyle w:val="TextBody"/>
        <w:spacing w:lineRule="auto" w:line="300" w:before="0" w:after="0"/>
        <w:ind w:left="0" w:right="0" w:hanging="0"/>
        <w:jc w:val="center"/>
        <w:rPr/>
      </w:pPr>
      <w:r>
        <w:rPr>
          <w:rStyle w:val="StrongEmphasis"/>
          <w:rFonts w:ascii="Times New Roman" w:hAnsi="Times New Roman"/>
          <w:sz w:val="20"/>
        </w:rPr>
        <w:t>Certification</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Pursuant to 18 U.S.C. Section 1350, the undersigned officer of Oil-Dri Corporation of America (the “Company”) hereby certifies that to the best of my knowledge the Company’s Quarterly Report on Form 10-Q for the quarter ended January 31, 2008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Dated: March 7, 2008</w:t>
      </w:r>
    </w:p>
    <w:p>
      <w:pPr>
        <w:pStyle w:val="TextBody"/>
        <w:spacing w:lineRule="auto" w:line="300" w:before="0" w:after="0"/>
        <w:ind w:left="0" w:right="0" w:hanging="0"/>
        <w:jc w:val="left"/>
        <w:rPr/>
      </w:pPr>
      <w:r>
        <w:rPr/>
      </w:r>
    </w:p>
    <w:tbl>
      <w:tblPr>
        <w:tblW w:w="5000" w:type="pct"/>
        <w:jc w:val="left"/>
        <w:tblInd w:w="0" w:type="dxa"/>
        <w:tblCellMar>
          <w:top w:w="0" w:type="dxa"/>
          <w:left w:w="0" w:type="dxa"/>
          <w:bottom w:w="28" w:type="dxa"/>
          <w:right w:w="0" w:type="dxa"/>
        </w:tblCellMar>
      </w:tblPr>
      <w:tblGrid>
        <w:gridCol w:w="2551"/>
        <w:gridCol w:w="7654"/>
      </w:tblGrid>
      <w:tr>
        <w:trPr/>
        <w:tc>
          <w:tcPr>
            <w:tcW w:w="2551" w:type="dxa"/>
            <w:tcBorders>
              <w:bottom w:val="single" w:sz="2" w:space="0" w:color="000000"/>
            </w:tcBorders>
            <w:shd w:fill="auto"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 Daniel S. Jaffee</w:t>
            </w:r>
          </w:p>
        </w:tc>
        <w:tc>
          <w:tcPr>
            <w:tcW w:w="7654" w:type="dxa"/>
            <w:tcBorders>
              <w:bottom w:val="single" w:sz="4" w:space="0" w:color="FFFFFF"/>
            </w:tcBorders>
            <w:shd w:fill="auto" w:val="clear"/>
          </w:tcPr>
          <w:p>
            <w:pPr>
              <w:pStyle w:val="TableContents"/>
              <w:spacing w:before="0" w:after="283"/>
              <w:jc w:val="left"/>
              <w:rPr/>
            </w:pPr>
            <w:r>
              <w:rPr/>
              <w:t> </w:t>
            </w:r>
          </w:p>
        </w:tc>
      </w:tr>
      <w:tr>
        <w:trPr/>
        <w:tc>
          <w:tcPr>
            <w:tcW w:w="10205" w:type="dxa"/>
            <w:gridSpan w:val="2"/>
            <w:tcBorders/>
            <w:shd w:fill="auto" w:val="clear"/>
            <w:tcMar>
              <w:bottom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Name: Daniel S. Jaffee</w:t>
            </w:r>
          </w:p>
        </w:tc>
      </w:tr>
      <w:tr>
        <w:trPr/>
        <w:tc>
          <w:tcPr>
            <w:tcW w:w="10205" w:type="dxa"/>
            <w:gridSpan w:val="2"/>
            <w:tcBorders/>
            <w:shd w:fill="auto" w:val="clear"/>
            <w:tcMar>
              <w:bottom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Title: President and Chief Executive Officer</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foregoing certification is being furnished solely pursuant to Section 906 of the Sarbanes-Oxley Act of 2002 (Section 1350, Chapter 63 of Title 18, United States Code) and is not being filed as part of the Report or as a separate disclosure document.</w:t>
      </w:r>
    </w:p>
    <w:p>
      <w:pPr>
        <w:pStyle w:val="TextBody"/>
        <w:spacing w:lineRule="auto" w:line="300" w:before="0" w:after="0"/>
        <w:ind w:left="0" w:right="0" w:hanging="0"/>
        <w:jc w:val="left"/>
        <w:rPr/>
      </w:pPr>
      <w:r>
        <w:rPr/>
      </w:r>
    </w:p>
    <w:p>
      <w:pPr>
        <w:pStyle w:val="TextBody"/>
        <w:spacing w:lineRule="auto" w:line="300" w:before="0" w:after="0"/>
        <w:ind w:left="0" w:right="0" w:hanging="0"/>
        <w:jc w:val="center"/>
        <w:rPr/>
      </w:pPr>
      <w:r>
        <w:rPr>
          <w:rStyle w:val="StrongEmphasis"/>
          <w:rFonts w:ascii="Times New Roman" w:hAnsi="Times New Roman"/>
          <w:sz w:val="20"/>
        </w:rPr>
        <w:t>Certification</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Pursuant to 18 U.S.C. Section 1350, the undersigned officer of Oil-Dri Corporation of America (the “Company”) hereby certifies that to the best of my knowledge the Company’s Quarterly Report on Form 10-Q for the quarter ended January 31, 2008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Dated: March 7, 2008</w:t>
      </w:r>
    </w:p>
    <w:p>
      <w:pPr>
        <w:pStyle w:val="TextBody"/>
        <w:spacing w:lineRule="auto" w:line="300" w:before="0" w:after="0"/>
        <w:ind w:left="0" w:right="0" w:hanging="0"/>
        <w:jc w:val="left"/>
        <w:rPr/>
      </w:pPr>
      <w:r>
        <w:rPr/>
      </w:r>
    </w:p>
    <w:tbl>
      <w:tblPr>
        <w:tblW w:w="5000" w:type="pct"/>
        <w:jc w:val="left"/>
        <w:tblInd w:w="0" w:type="dxa"/>
        <w:tblCellMar>
          <w:top w:w="0" w:type="dxa"/>
          <w:left w:w="0" w:type="dxa"/>
          <w:bottom w:w="28" w:type="dxa"/>
          <w:right w:w="0" w:type="dxa"/>
        </w:tblCellMar>
      </w:tblPr>
      <w:tblGrid>
        <w:gridCol w:w="2550"/>
        <w:gridCol w:w="7655"/>
      </w:tblGrid>
      <w:tr>
        <w:trPr/>
        <w:tc>
          <w:tcPr>
            <w:tcW w:w="2550" w:type="dxa"/>
            <w:tcBorders>
              <w:bottom w:val="single" w:sz="2" w:space="0" w:color="000000"/>
            </w:tcBorders>
            <w:shd w:fill="auto"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 Andrew N. Peterson</w:t>
            </w:r>
          </w:p>
        </w:tc>
        <w:tc>
          <w:tcPr>
            <w:tcW w:w="7655" w:type="dxa"/>
            <w:tcBorders>
              <w:bottom w:val="single" w:sz="4" w:space="0" w:color="FFFFFF"/>
            </w:tcBorders>
            <w:shd w:fill="auto" w:val="clear"/>
          </w:tcPr>
          <w:p>
            <w:pPr>
              <w:pStyle w:val="TableContents"/>
              <w:spacing w:before="0" w:after="283"/>
              <w:jc w:val="left"/>
              <w:rPr/>
            </w:pPr>
            <w:r>
              <w:rPr/>
              <w:t> </w:t>
            </w:r>
          </w:p>
        </w:tc>
      </w:tr>
      <w:tr>
        <w:trPr/>
        <w:tc>
          <w:tcPr>
            <w:tcW w:w="10205" w:type="dxa"/>
            <w:gridSpan w:val="2"/>
            <w:tcBorders/>
            <w:shd w:fill="auto" w:val="clear"/>
            <w:tcMar>
              <w:bottom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Name: Andrew N. Peterson</w:t>
            </w:r>
          </w:p>
        </w:tc>
      </w:tr>
      <w:tr>
        <w:trPr/>
        <w:tc>
          <w:tcPr>
            <w:tcW w:w="10205" w:type="dxa"/>
            <w:gridSpan w:val="2"/>
            <w:tcBorders/>
            <w:shd w:fill="auto" w:val="clear"/>
            <w:tcMar>
              <w:bottom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Title: Vice President and Chief Financial Officer</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foregoing certification is being furnished solely pursuant to Section 906 of the Sarbanes-Oxley Act of 2002 (Section 1350, Chapter 63 of Title 18, United States Code) and is not being filed as part of the Report or as a separate disclosure document.</w:t>
      </w:r>
    </w:p>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19" w:name="PGBRK48"/>
      <w:bookmarkStart w:id="1320" w:name="PGBRK48"/>
      <w:bookmarkEnd w:id="13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21" w:name="FTR48"/>
      <w:bookmarkStart w:id="1322" w:name="FTR48"/>
      <w:bookmarkEnd w:id="13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23" w:name="GLFTR48"/>
      <w:bookmarkEnd w:id="132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24" w:name="PN48"/>
      <w:bookmarkEnd w:id="1324"/>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25" w:name="HDR48"/>
      <w:bookmarkStart w:id="1326" w:name="HDR48"/>
      <w:bookmarkEnd w:id="13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27" w:name="GLHDR48"/>
      <w:bookmarkEnd w:id="1327"/>
      <w:r>
        <w:rPr/>
        <w:t> </w:t>
      </w:r>
    </w:p>
    <w:sectPr>
      <w:type w:val="continuous"/>
      <w:pgSz w:w="11906" w:h="16838"/>
      <w:pgMar w:left="1134" w:right="567" w:header="0" w:top="567" w:footer="0" w:bottom="567" w:gutter="0"/>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23451</Words>
  <CharactersWithSpaces>148857</CharactersWithSpaces>
  <Paragraphs>4157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