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v244230_8k.htm"/>
      <w:bookmarkStart w:id="1" w:name="ksv244230_8k"/>
      <w:bookmarkStart w:id="2" w:name="v244230_8k.htm"/>
      <w:bookmarkStart w:id="3" w:name="ksv244230_8k"/>
      <w:bookmarkEnd w:id="2"/>
      <w:bookmarkEnd w:id="3"/>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5"/>
        <w:gridCol w:w="4730"/>
      </w:tblGrid>
      <w:tr>
        <w:trPr/>
        <w:tc>
          <w:tcPr>
            <w:tcW w:w="54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73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21, 2011</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328"/>
        <w:gridCol w:w="110"/>
        <w:gridCol w:w="3328"/>
        <w:gridCol w:w="110"/>
        <w:gridCol w:w="3329"/>
      </w:tblGrid>
      <w:tr>
        <w:trPr/>
        <w:tc>
          <w:tcPr>
            <w:tcW w:w="332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110" w:type="dxa"/>
            <w:tcBorders>
              <w:bottom w:val="single" w:sz="12" w:space="0" w:color="000000"/>
            </w:tcBorders>
            <w:shd w:fill="auto" w:val="clear"/>
          </w:tcPr>
          <w:p>
            <w:pPr>
              <w:pStyle w:val="TableContents"/>
              <w:spacing w:before="0" w:after="283"/>
              <w:rPr/>
            </w:pPr>
            <w:r>
              <w:rPr/>
              <w:t xml:space="preserve">  </w:t>
            </w:r>
          </w:p>
        </w:tc>
        <w:tc>
          <w:tcPr>
            <w:tcW w:w="332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110" w:type="dxa"/>
            <w:tcBorders>
              <w:bottom w:val="single" w:sz="12" w:space="0" w:color="000000"/>
            </w:tcBorders>
            <w:shd w:fill="auto" w:val="clear"/>
          </w:tcPr>
          <w:p>
            <w:pPr>
              <w:pStyle w:val="TableContents"/>
              <w:spacing w:before="0" w:after="283"/>
              <w:rPr/>
            </w:pPr>
            <w:r>
              <w:rPr/>
              <w:t xml:space="preserve">  </w:t>
            </w:r>
          </w:p>
        </w:tc>
        <w:tc>
          <w:tcPr>
            <w:tcW w:w="3329"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32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110" w:type="dxa"/>
            <w:tcBorders/>
            <w:shd w:fill="auto" w:val="clear"/>
            <w:tcMar>
              <w:bottom w:w="0" w:type="dxa"/>
            </w:tcMar>
          </w:tcPr>
          <w:p>
            <w:pPr>
              <w:pStyle w:val="TableContents"/>
              <w:spacing w:before="0" w:after="283"/>
              <w:rPr/>
            </w:pPr>
            <w:r>
              <w:rPr/>
              <w:t xml:space="preserve">  </w:t>
            </w:r>
          </w:p>
        </w:tc>
        <w:tc>
          <w:tcPr>
            <w:tcW w:w="332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110" w:type="dxa"/>
            <w:tcBorders/>
            <w:shd w:fill="auto" w:val="clear"/>
            <w:tcMar>
              <w:bottom w:w="0" w:type="dxa"/>
            </w:tcMar>
          </w:tcPr>
          <w:p>
            <w:pPr>
              <w:pStyle w:val="TableContents"/>
              <w:spacing w:before="0" w:after="283"/>
              <w:rPr/>
            </w:pPr>
            <w:r>
              <w:rPr/>
              <w:t xml:space="preserve">  </w:t>
            </w:r>
          </w:p>
        </w:tc>
        <w:tc>
          <w:tcPr>
            <w:tcW w:w="3329"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283"/>
              <w:rPr/>
            </w:pPr>
            <w:r>
              <w:rPr/>
              <w:t xml:space="preserve">  </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w:t>
      </w:r>
      <w:r>
        <w:rPr/>
        <w:t> </w:t>
      </w:r>
      <w:r>
        <w:rPr>
          <w:rFonts w:ascii="Times New Roman" w:hAnsi="Times New Roman"/>
          <w:sz w:val="20"/>
        </w:rPr>
        <w:t>(17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4179"/>
        <w:gridCol w:w="6026"/>
      </w:tblGrid>
      <w:tr>
        <w:trPr/>
        <w:tc>
          <w:tcPr>
            <w:tcW w:w="4179" w:type="dxa"/>
            <w:tcBorders/>
            <w:shd w:fill="auto" w:val="clea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Item 8.01</w:t>
            </w:r>
          </w:p>
        </w:tc>
        <w:tc>
          <w:tcPr>
            <w:tcW w:w="602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Other Events.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December 21, 2011, Oil-Dri Corporation of America (the “Registrant” or the “Company”) entered into a successor credit arrangement with BMO Harris Bank N.A (formerly known as Harris N.A.) (“BMO Harris”) by executing a written amendment (“Second Amendment”) to its $15,000,000 unsecured revolving credit agreement with BMO Harris (the “Credit Agreement”). The Credit Agreement was scheduled to expire on December 31, 2011. The Second Amendment extends the Credit Agreement for an additional three years by setting a new Termination Date of December 31, 2014 and revises certain rates and guarantees under the Credit Agreement (as the result of revising the Applicable Margin as defined under the Credit Agreement). The Second Amendment also provides for an additional term regarding the disposition of Letters of Credit after the Termination Date. The foregoing summary is qualified in its entirety by reference to the full and complete Second Amendment that is attached as Exhibit 10 to this Current Report on Form 8-K, and which is incorporated herein by reference.</w:t>
      </w:r>
    </w:p>
    <w:p>
      <w:pPr>
        <w:pStyle w:val="TextBody"/>
        <w:spacing w:before="0" w:after="0"/>
        <w:ind w:left="0" w:right="0" w:hanging="0"/>
        <w:rPr/>
      </w:pPr>
      <w:r>
        <w:rPr/>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Item 9.01</w:t>
            </w:r>
          </w:p>
        </w:tc>
        <w:tc>
          <w:tcPr>
            <w:tcW w:w="7993"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121"/>
        <w:gridCol w:w="203"/>
        <w:gridCol w:w="8881"/>
      </w:tblGrid>
      <w:tr>
        <w:trPr/>
        <w:tc>
          <w:tcPr>
            <w:tcW w:w="112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Exhibit </w:t>
              <w:br/>
              <w:t>Number</w:t>
            </w:r>
          </w:p>
        </w:tc>
        <w:tc>
          <w:tcPr>
            <w:tcW w:w="203" w:type="dxa"/>
            <w:tcBorders/>
            <w:shd w:fill="auto" w:val="clear"/>
            <w:tcMar>
              <w:bottom w:w="0" w:type="dxa"/>
            </w:tcMar>
          </w:tcPr>
          <w:p>
            <w:pPr>
              <w:pStyle w:val="TableContents"/>
              <w:spacing w:before="0" w:after="283"/>
              <w:jc w:val="center"/>
              <w:rPr/>
            </w:pPr>
            <w:r>
              <w:rPr/>
              <w:t> </w:t>
            </w:r>
          </w:p>
        </w:tc>
        <w:tc>
          <w:tcPr>
            <w:tcW w:w="888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br/>
              <w:t>Description of Exhibits</w:t>
            </w:r>
          </w:p>
        </w:tc>
      </w:tr>
      <w:tr>
        <w:trPr/>
        <w:tc>
          <w:tcPr>
            <w:tcW w:w="1121"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rPr/>
            </w:pPr>
            <w:r>
              <w:rPr/>
              <w:t> </w:t>
            </w:r>
          </w:p>
        </w:tc>
        <w:tc>
          <w:tcPr>
            <w:tcW w:w="8881" w:type="dxa"/>
            <w:tcBorders/>
            <w:shd w:fill="auto" w:val="clear"/>
            <w:tcMar>
              <w:bottom w:w="0" w:type="dxa"/>
            </w:tcMar>
          </w:tcPr>
          <w:p>
            <w:pPr>
              <w:pStyle w:val="TableContents"/>
              <w:spacing w:before="0" w:after="283"/>
              <w:rPr/>
            </w:pPr>
            <w:r>
              <w:rPr/>
              <w:t xml:space="preserve">  </w:t>
            </w:r>
          </w:p>
        </w:tc>
      </w:tr>
      <w:tr>
        <w:trPr/>
        <w:tc>
          <w:tcPr>
            <w:tcW w:w="112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203" w:type="dxa"/>
            <w:tcBorders/>
            <w:shd w:fill="auto" w:val="clear"/>
            <w:tcMar>
              <w:bottom w:w="0" w:type="dxa"/>
            </w:tcMar>
          </w:tcPr>
          <w:p>
            <w:pPr>
              <w:pStyle w:val="TableContents"/>
              <w:spacing w:before="0" w:after="283"/>
              <w:jc w:val="left"/>
              <w:rPr/>
            </w:pPr>
            <w:r>
              <w:rPr/>
              <w:t> </w:t>
            </w:r>
          </w:p>
        </w:tc>
        <w:tc>
          <w:tcPr>
            <w:tcW w:w="888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Amendment, dated as of December 21, 2011 to the Credit Agreement among the Company, certain subsidiaries of the Company and BMO Harris Bank N.A. dated as of January 27, 2006.</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PN"/>
      <w:bookmarkEnd w:id="13"/>
      <w:r>
        <w:rPr/>
        <w:t xml:space="preserve">  </w:t>
      </w:r>
    </w:p>
    <w:p>
      <w:pPr>
        <w:pStyle w:val="HorizontalLine"/>
        <w:pBdr>
          <w:bottom w:val="single" w:sz="6"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sz w:val="20"/>
              </w:rPr>
            </w:pPr>
            <w:r>
              <w:rPr>
                <w:sz w:val="20"/>
              </w:rPr>
              <w:t>OIL-DRI CORPORATION OF AMERICA</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Douglas A. Graham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General Counsel and Secretary</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rFonts w:ascii="Times New Roman" w:hAnsi="Times New Roman"/>
          <w:sz w:val="20"/>
        </w:rPr>
      </w:pPr>
      <w:r>
        <w:rPr>
          <w:rFonts w:ascii="Times New Roman" w:hAnsi="Times New Roman"/>
          <w:sz w:val="20"/>
        </w:rPr>
        <w:t>Date:  December 28,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 w:name="GLFT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 w:name="PN1"/>
      <w:bookmarkEnd w:id="22"/>
      <w:r>
        <w:rPr/>
        <w:t xml:space="preserve">  </w:t>
      </w:r>
    </w:p>
    <w:p>
      <w:pPr>
        <w:pStyle w:val="HorizontalLine"/>
        <w:pBdr>
          <w:bottom w:val="single" w:sz="6"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 w:name="GLHD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121"/>
        <w:gridCol w:w="203"/>
        <w:gridCol w:w="8881"/>
      </w:tblGrid>
      <w:tr>
        <w:trPr/>
        <w:tc>
          <w:tcPr>
            <w:tcW w:w="112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Exhibit </w:t>
              <w:br/>
              <w:t>Number</w:t>
            </w:r>
          </w:p>
        </w:tc>
        <w:tc>
          <w:tcPr>
            <w:tcW w:w="203" w:type="dxa"/>
            <w:tcBorders/>
            <w:shd w:fill="auto" w:val="clear"/>
            <w:tcMar>
              <w:bottom w:w="0" w:type="dxa"/>
            </w:tcMar>
          </w:tcPr>
          <w:p>
            <w:pPr>
              <w:pStyle w:val="TableContents"/>
              <w:spacing w:before="0" w:after="283"/>
              <w:jc w:val="left"/>
              <w:rPr/>
            </w:pPr>
            <w:r>
              <w:rPr/>
              <w:t> </w:t>
            </w:r>
          </w:p>
        </w:tc>
        <w:tc>
          <w:tcPr>
            <w:tcW w:w="888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br/>
              <w:t>Description of Exhibits</w:t>
            </w:r>
          </w:p>
        </w:tc>
      </w:tr>
      <w:tr>
        <w:trPr/>
        <w:tc>
          <w:tcPr>
            <w:tcW w:w="1121"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rPr/>
            </w:pPr>
            <w:r>
              <w:rPr/>
              <w:t> </w:t>
            </w:r>
          </w:p>
        </w:tc>
        <w:tc>
          <w:tcPr>
            <w:tcW w:w="8881" w:type="dxa"/>
            <w:tcBorders/>
            <w:shd w:fill="auto" w:val="clear"/>
            <w:tcMar>
              <w:bottom w:w="0" w:type="dxa"/>
            </w:tcMar>
          </w:tcPr>
          <w:p>
            <w:pPr>
              <w:pStyle w:val="TableContents"/>
              <w:spacing w:before="0" w:after="283"/>
              <w:rPr/>
            </w:pPr>
            <w:r>
              <w:rPr/>
              <w:t xml:space="preserve">  </w:t>
            </w:r>
          </w:p>
        </w:tc>
      </w:tr>
      <w:tr>
        <w:trPr/>
        <w:tc>
          <w:tcPr>
            <w:tcW w:w="112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203" w:type="dxa"/>
            <w:tcBorders/>
            <w:shd w:fill="auto" w:val="clear"/>
            <w:tcMar>
              <w:bottom w:w="0" w:type="dxa"/>
            </w:tcMar>
          </w:tcPr>
          <w:p>
            <w:pPr>
              <w:pStyle w:val="TableContents"/>
              <w:spacing w:before="0" w:after="283"/>
              <w:jc w:val="left"/>
              <w:rPr/>
            </w:pPr>
            <w:r>
              <w:rPr/>
              <w:t> </w:t>
            </w:r>
          </w:p>
        </w:tc>
        <w:tc>
          <w:tcPr>
            <w:tcW w:w="888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Amendment, dated as of December 21, 2011 to the Credit Agreement among the Company, certain subsidiaries of the Company and BMO Harris Bank N.A. dated as of January 27, 2006.</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 w:name="PGBRK2"/>
      <w:bookmarkStart w:id="27" w:name="PGBRK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FTR2"/>
      <w:bookmarkStart w:id="29" w:name="FT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 w:name="GLFT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 w:name="PN2"/>
      <w:bookmarkEnd w:id="31"/>
      <w:r>
        <w:rPr/>
        <w:t xml:space="preserve">  </w:t>
      </w:r>
    </w:p>
    <w:p>
      <w:pPr>
        <w:pStyle w:val="HorizontalLine"/>
        <w:pBdr>
          <w:bottom w:val="single" w:sz="6"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HDR2"/>
      <w:bookmarkStart w:id="33" w:name="HD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 w:name="GLHD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bookmarkStart w:id="35" w:name="v244230_ex10.htm"/>
      <w:bookmarkStart w:id="36" w:name="ksv244230_ex10"/>
      <w:bookmarkStart w:id="37" w:name="v244230_ex10.htm"/>
      <w:bookmarkStart w:id="38" w:name="ksv244230_ex10"/>
      <w:bookmarkEnd w:id="37"/>
      <w:bookmarkEnd w:id="38"/>
    </w:p>
    <w:p>
      <w:pPr>
        <w:pStyle w:val="TextBody"/>
        <w:spacing w:before="0" w:after="0"/>
        <w:ind w:left="0" w:right="0" w:hanging="0"/>
        <w:jc w:val="right"/>
        <w:rPr>
          <w:rFonts w:ascii="Times New Roman" w:hAnsi="Times New Roman"/>
          <w:sz w:val="20"/>
        </w:rPr>
      </w:pPr>
      <w:r>
        <w:rPr>
          <w:rFonts w:ascii="Times New Roman" w:hAnsi="Times New Roman"/>
          <w:sz w:val="20"/>
        </w:rPr>
        <w:t>Exhibit 10</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Second Amendment to Credit Agreement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Second Amendment to Credit Agreement (the “</w:t>
      </w:r>
      <w:r>
        <w:rPr>
          <w:rFonts w:ascii="Times New Roman" w:hAnsi="Times New Roman"/>
          <w:i/>
          <w:sz w:val="20"/>
        </w:rPr>
        <w:t>Second Amendment”</w:t>
      </w:r>
      <w:r>
        <w:rPr>
          <w:rFonts w:ascii="Times New Roman" w:hAnsi="Times New Roman"/>
          <w:sz w:val="20"/>
        </w:rPr>
        <w:t>) dated as of December 21, 2011, between Oil-Dri Corporation of America (the “</w:t>
      </w:r>
      <w:r>
        <w:rPr>
          <w:rFonts w:ascii="Times New Roman" w:hAnsi="Times New Roman"/>
          <w:i/>
          <w:sz w:val="20"/>
        </w:rPr>
        <w:t>Company”</w:t>
      </w:r>
      <w:r>
        <w:rPr>
          <w:rFonts w:ascii="Times New Roman" w:hAnsi="Times New Roman"/>
          <w:sz w:val="20"/>
        </w:rPr>
        <w:t>) and BMO Harris Bank N.A. (formerly known as Harris N.A.) (the “</w:t>
      </w:r>
      <w:r>
        <w:rPr>
          <w:rFonts w:ascii="Times New Roman" w:hAnsi="Times New Roman"/>
          <w:i/>
          <w:sz w:val="20"/>
        </w:rPr>
        <w:t>Bank”</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Preliminary Statements</w:t>
      </w:r>
    </w:p>
    <w:p>
      <w:pPr>
        <w:pStyle w:val="TextBody"/>
        <w:spacing w:before="0" w:after="0"/>
        <w:ind w:left="0" w:right="0" w:hanging="0"/>
        <w:jc w:val="both"/>
        <w:rPr/>
      </w:pPr>
      <w:r>
        <w:rPr/>
        <w:t> </w:t>
      </w:r>
    </w:p>
    <w:p>
      <w:pPr>
        <w:pStyle w:val="TextBody"/>
        <w:spacing w:before="0" w:after="0"/>
        <w:ind w:left="302" w:right="0" w:hanging="0"/>
        <w:jc w:val="both"/>
        <w:rPr/>
      </w:pPr>
      <w:r>
        <w:rPr/>
        <w:t>              </w:t>
      </w:r>
      <w:r>
        <w:rPr>
          <w:rFonts w:ascii="Times New Roman" w:hAnsi="Times New Roman"/>
          <w:sz w:val="20"/>
        </w:rPr>
        <w:t>A.</w:t>
      </w:r>
      <w:bookmarkStart w:id="39" w:name="TAB1"/>
      <w:bookmarkEnd w:id="39"/>
      <w:r>
        <w:rPr>
          <w:rFonts w:ascii="Times New Roman" w:hAnsi="Times New Roman"/>
          <w:sz w:val="20"/>
        </w:rPr>
        <w:t>The Company, the Domestic Subsidiaries of the Company, and the Bank are parties to a Credit Agreement dated as of January 27, 2006 (as amended and restated from time to time, the “</w:t>
      </w:r>
      <w:r>
        <w:rPr>
          <w:rFonts w:ascii="Times New Roman" w:hAnsi="Times New Roman"/>
          <w:i/>
          <w:sz w:val="20"/>
        </w:rPr>
        <w:t>Credit Agreement”</w:t>
      </w:r>
      <w:r>
        <w:rPr>
          <w:rFonts w:ascii="Times New Roman" w:hAnsi="Times New Roman"/>
          <w:sz w:val="20"/>
        </w:rPr>
        <w:t>).  All capitalized terms used herein without definition shall have the same meanings herein as such terms are defined in the Credit Agreement.</w:t>
      </w:r>
    </w:p>
    <w:p>
      <w:pPr>
        <w:pStyle w:val="TextBody"/>
        <w:spacing w:before="0" w:after="0"/>
        <w:ind w:left="0" w:right="0" w:hanging="0"/>
        <w:jc w:val="both"/>
        <w:rPr/>
      </w:pPr>
      <w:r>
        <w:rPr/>
        <w:t> </w:t>
      </w:r>
    </w:p>
    <w:p>
      <w:pPr>
        <w:pStyle w:val="TextBody"/>
        <w:spacing w:before="0" w:after="0"/>
        <w:ind w:left="302" w:right="0" w:hanging="0"/>
        <w:jc w:val="both"/>
        <w:rPr/>
      </w:pPr>
      <w:r>
        <w:rPr/>
        <w:t>              </w:t>
      </w:r>
      <w:r>
        <w:rPr>
          <w:rFonts w:ascii="Times New Roman" w:hAnsi="Times New Roman"/>
          <w:sz w:val="20"/>
        </w:rPr>
        <w:t>B.</w:t>
      </w:r>
      <w:bookmarkStart w:id="40" w:name="TAB11"/>
      <w:bookmarkEnd w:id="40"/>
      <w:r>
        <w:rPr>
          <w:rFonts w:ascii="Times New Roman" w:hAnsi="Times New Roman"/>
          <w:sz w:val="20"/>
        </w:rPr>
        <w:t>The Company and the Bank have agreed to amend the Credit Agreement under the terms and conditions set forth in this Second Amendment.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 w:name="hangingindent2"/>
      <w:bookmarkStart w:id="42" w:name="hangingindent2"/>
      <w:bookmarkEnd w:id="42"/>
    </w:p>
    <w:tbl>
      <w:tblPr>
        <w:tblW w:w="5000" w:type="pct"/>
        <w:jc w:val="center"/>
        <w:tblInd w:w="0" w:type="dxa"/>
        <w:tblCellMar>
          <w:top w:w="0" w:type="dxa"/>
          <w:left w:w="0" w:type="dxa"/>
          <w:bottom w:w="0" w:type="dxa"/>
          <w:right w:w="0" w:type="dxa"/>
        </w:tblCellMar>
      </w:tblPr>
      <w:tblGrid>
        <w:gridCol w:w="4337"/>
        <w:gridCol w:w="5868"/>
      </w:tblGrid>
      <w:tr>
        <w:trPr/>
        <w:tc>
          <w:tcPr>
            <w:tcW w:w="4337" w:type="dxa"/>
            <w:tcBorders/>
            <w:shd w:fill="auto" w:val="clear"/>
          </w:tcPr>
          <w:p>
            <w:pPr>
              <w:pStyle w:val="TableContents"/>
              <w:spacing w:before="0" w:after="0"/>
              <w:ind w:left="0" w:right="0" w:hanging="0"/>
              <w:rPr>
                <w:rFonts w:ascii="Times New Roman" w:hAnsi="Times New Roman"/>
                <w:smallCaps/>
                <w:sz w:val="20"/>
              </w:rPr>
            </w:pPr>
            <w:r>
              <w:rPr>
                <w:rFonts w:ascii="Times New Roman" w:hAnsi="Times New Roman"/>
                <w:smallCaps/>
                <w:sz w:val="20"/>
              </w:rPr>
              <w:t>Section 1.</w:t>
            </w:r>
          </w:p>
        </w:tc>
        <w:tc>
          <w:tcPr>
            <w:tcW w:w="5868" w:type="dxa"/>
            <w:tcBorders/>
            <w:shd w:fill="auto" w:val="clear"/>
          </w:tcPr>
          <w:p>
            <w:pPr>
              <w:pStyle w:val="TableContents"/>
              <w:spacing w:before="0" w:after="0"/>
              <w:jc w:val="left"/>
              <w:rPr>
                <w:rFonts w:ascii="Times New Roman" w:hAnsi="Times New Roman"/>
                <w:smallCaps/>
                <w:sz w:val="20"/>
              </w:rPr>
            </w:pPr>
            <w:r>
              <w:rPr>
                <w:rFonts w:ascii="Times New Roman" w:hAnsi="Times New Roman"/>
                <w:smallCaps/>
                <w:sz w:val="20"/>
              </w:rPr>
              <w:t>Amendments.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Upon satisfaction of the conditions precedent contained in Section 3 below, the Credit Agreement shall be and hereby is amended as follows:</w:t>
      </w:r>
    </w:p>
    <w:p>
      <w:pPr>
        <w:pStyle w:val="TextBody"/>
        <w:spacing w:before="0" w:after="0"/>
        <w:ind w:left="0" w:right="0" w:hanging="0"/>
        <w:jc w:val="both"/>
        <w:rPr/>
      </w:pPr>
      <w:r>
        <w:rPr/>
        <w:t> </w:t>
      </w:r>
    </w:p>
    <w:p>
      <w:pPr>
        <w:pStyle w:val="TextBody"/>
        <w:spacing w:before="0" w:after="0"/>
        <w:ind w:left="1080" w:right="0" w:hanging="0"/>
        <w:jc w:val="both"/>
        <w:rPr/>
      </w:pPr>
      <w:r>
        <w:rPr/>
        <w:t>              </w:t>
      </w:r>
      <w:r>
        <w:rPr>
          <w:rFonts w:ascii="Times New Roman" w:hAnsi="Times New Roman"/>
          <w:sz w:val="20"/>
        </w:rPr>
        <w:t>1.1.</w:t>
      </w:r>
      <w:bookmarkStart w:id="43" w:name="TAB12"/>
      <w:bookmarkEnd w:id="43"/>
      <w:r>
        <w:rPr>
          <w:rFonts w:ascii="Times New Roman" w:hAnsi="Times New Roman"/>
          <w:sz w:val="20"/>
        </w:rPr>
        <w:t>Section 1.3(b) of the Credit Agreement (Letters of Credit; Term) shall be amended and restated in its entirety to read as follows:</w:t>
      </w:r>
    </w:p>
    <w:p>
      <w:pPr>
        <w:pStyle w:val="TextBody"/>
        <w:spacing w:before="0" w:after="0"/>
        <w:ind w:left="0" w:right="0" w:hanging="0"/>
        <w:jc w:val="both"/>
        <w:rPr/>
      </w:pPr>
      <w:r>
        <w:rPr/>
        <w:t> </w:t>
      </w:r>
    </w:p>
    <w:p>
      <w:pPr>
        <w:pStyle w:val="TextBody"/>
        <w:spacing w:before="0" w:after="0"/>
        <w:ind w:left="2160" w:right="1440" w:hanging="0"/>
        <w:jc w:val="both"/>
        <w:rPr>
          <w:rFonts w:ascii="Times New Roman" w:hAnsi="Times New Roman"/>
          <w:sz w:val="20"/>
        </w:rPr>
      </w:pPr>
      <w:bookmarkStart w:id="44" w:name="TAB13"/>
      <w:bookmarkEnd w:id="44"/>
      <w:r>
        <w:rPr>
          <w:rFonts w:ascii="Times New Roman" w:hAnsi="Times New Roman"/>
          <w:sz w:val="20"/>
        </w:rPr>
        <w:t>(b)           </w:t>
      </w:r>
      <w:r>
        <w:rPr>
          <w:rFonts w:ascii="Times New Roman" w:hAnsi="Times New Roman"/>
          <w:i/>
          <w:sz w:val="20"/>
        </w:rPr>
        <w:t>Term.</w:t>
      </w:r>
      <w:r>
        <w:rPr>
          <w:rFonts w:ascii="Times New Roman" w:hAnsi="Times New Roman"/>
          <w:sz w:val="20"/>
        </w:rPr>
        <w:t>  Each Letter of Credit issued hereunder shall expire not later than the earlier of (i) twelve (12) months from the date of issuance (or be cancelable not later than twelve (12) months from the date of issuance and each renewal) or (ii) 270 days after the Termination Date.  On the Termination Date, the Company hereby agrees to pay to the Bank without notice or demand an amount equal to 103% of the Letters of Credit outstanding on such date (whether or not the relevant Letters of Credit have been drawn upon) which amount shall be held by the Bank as collateral security therefor ( and which cash collateral shall be accompanied by such security documents as are then required by the Bank in its reasonable discretion) or the Company shall provide a “back-up” letter of credit in a face amount equal to 103% of the Letters of Credit outstanding on such date and otherwise in form and substance, and issued by an issuer, satisfactory to the Bank in its reasonable discretion, as security for the repayment of any amounts owing with respect to the Letters of Credit.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 w:name="PGBRK3"/>
      <w:bookmarkStart w:id="46" w:name="PGBRK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FTR3"/>
      <w:bookmarkStart w:id="48" w:name="FT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 w:name="GLFT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 w:name="PN3"/>
      <w:bookmarkEnd w:id="5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HDR3"/>
      <w:bookmarkStart w:id="52" w:name="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 w:name="GLHDR3"/>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1080" w:right="0" w:hanging="0"/>
        <w:jc w:val="both"/>
        <w:rPr/>
      </w:pPr>
      <w:r>
        <w:rPr/>
        <w:t>              </w:t>
      </w:r>
      <w:r>
        <w:rPr>
          <w:rFonts w:ascii="Times New Roman" w:hAnsi="Times New Roman"/>
          <w:sz w:val="20"/>
        </w:rPr>
        <w:t>1.2.</w:t>
      </w:r>
      <w:bookmarkStart w:id="54" w:name="TAB14"/>
      <w:bookmarkEnd w:id="54"/>
      <w:r>
        <w:rPr>
          <w:rFonts w:ascii="Times New Roman" w:hAnsi="Times New Roman"/>
          <w:sz w:val="20"/>
        </w:rPr>
        <w:t>Section 4.1 of the Credit Agreement (Definitions) is hereby amended by (a) amending and restating in their entirety the definitions of “Applicable Margin” (which shall be deemed amended effective as of December 21, 2011), “Level II Status,” “Level III Status,” and “Termination Date” to read as follows and (b) deleting the definitions of “Level IV Status” and “Level V Status” in their entirety: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1440" w:right="1440" w:hanging="0"/>
        <w:jc w:val="both"/>
        <w:rPr/>
      </w:pPr>
      <w:r>
        <w:rPr/>
        <w:t>“</w:t>
      </w:r>
      <w:r>
        <w:rPr>
          <w:rFonts w:ascii="Times New Roman" w:hAnsi="Times New Roman"/>
          <w:i/>
          <w:sz w:val="20"/>
        </w:rPr>
        <w:t>Applicable Margin”</w:t>
      </w:r>
      <w:r>
        <w:rPr>
          <w:rFonts w:ascii="Times New Roman" w:hAnsi="Times New Roman"/>
          <w:sz w:val="20"/>
        </w:rPr>
        <w:t xml:space="preserve"> means, with respect to the Base Rate Portion, LIBOR Portions, the commitment fee payable under Section 3.1(a) hereof and the letter of credit fee payable under Section 3.1(b) hereof shall mean the rate specified for such Obligation below, subject to quarterly adjustment as hereinafter provided:</w:t>
      </w:r>
    </w:p>
    <w:p>
      <w:pPr>
        <w:pStyle w:val="TextBody"/>
        <w:spacing w:before="0" w:after="0"/>
        <w:ind w:left="0" w:right="0" w:hanging="0"/>
        <w:jc w:val="both"/>
        <w:rPr/>
      </w:pPr>
      <w:r>
        <w:rPr/>
        <w:t> </w:t>
      </w:r>
    </w:p>
    <w:tbl>
      <w:tblPr>
        <w:tblW w:w="4450" w:type="pct"/>
        <w:jc w:val="center"/>
        <w:tblInd w:w="0" w:type="dxa"/>
        <w:tblCellMar>
          <w:top w:w="0" w:type="dxa"/>
          <w:left w:w="0" w:type="dxa"/>
          <w:bottom w:w="0" w:type="dxa"/>
          <w:right w:w="0" w:type="dxa"/>
        </w:tblCellMar>
      </w:tblPr>
      <w:tblGrid>
        <w:gridCol w:w="1990"/>
        <w:gridCol w:w="1618"/>
        <w:gridCol w:w="1990"/>
        <w:gridCol w:w="1991"/>
        <w:gridCol w:w="1493"/>
      </w:tblGrid>
      <w:tr>
        <w:trPr/>
        <w:tc>
          <w:tcPr>
            <w:tcW w:w="1990"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When Following Status Exists For any Margin Determination Date</w:t>
            </w:r>
          </w:p>
        </w:tc>
        <w:tc>
          <w:tcPr>
            <w:tcW w:w="1618"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Applicable Margin For Base Rate Portion is:</w:t>
            </w:r>
          </w:p>
        </w:tc>
        <w:tc>
          <w:tcPr>
            <w:tcW w:w="1990"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Applicable Margin For LIBOR Portions is:</w:t>
            </w:r>
          </w:p>
        </w:tc>
        <w:tc>
          <w:tcPr>
            <w:tcW w:w="1991"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Applicable Margin For Commitment Fee is:</w:t>
            </w:r>
          </w:p>
        </w:tc>
        <w:tc>
          <w:tcPr>
            <w:tcW w:w="1493"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Applicable Margin For Letter of Credit Fee is:</w:t>
            </w:r>
          </w:p>
        </w:tc>
      </w:tr>
      <w:tr>
        <w:trPr/>
        <w:tc>
          <w:tcPr>
            <w:tcW w:w="1990" w:type="dxa"/>
            <w:tcBorders/>
            <w:shd w:fill="CCFFCC"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Level I Status</w:t>
            </w:r>
          </w:p>
        </w:tc>
        <w:tc>
          <w:tcPr>
            <w:tcW w:w="1618" w:type="dxa"/>
            <w:tcBorders/>
            <w:shd w:fill="CCFFCC" w:val="clear"/>
            <w:vAlign w:val="bottom"/>
          </w:tcPr>
          <w:p>
            <w:pPr>
              <w:pStyle w:val="TableContents"/>
              <w:spacing w:before="0" w:after="0"/>
              <w:ind w:left="0" w:right="730" w:hanging="0"/>
              <w:jc w:val="center"/>
              <w:rPr>
                <w:rFonts w:ascii="times new roman" w:hAnsi="times new roman"/>
                <w:sz w:val="20"/>
              </w:rPr>
            </w:pPr>
            <w:r>
              <w:rPr>
                <w:rFonts w:ascii="times new roman" w:hAnsi="times new roman"/>
                <w:sz w:val="20"/>
              </w:rPr>
              <w:t>0.0%</w:t>
            </w:r>
          </w:p>
        </w:tc>
        <w:tc>
          <w:tcPr>
            <w:tcW w:w="1990" w:type="dxa"/>
            <w:tcBorders/>
            <w:shd w:fill="CCFFCC"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1991" w:type="dxa"/>
            <w:tcBorders/>
            <w:shd w:fill="CCFFCC"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0.20%</w:t>
            </w:r>
          </w:p>
        </w:tc>
        <w:tc>
          <w:tcPr>
            <w:tcW w:w="1493" w:type="dxa"/>
            <w:tcBorders/>
            <w:shd w:fill="CCFFCC" w:val="clear"/>
            <w:vAlign w:val="bottom"/>
          </w:tcPr>
          <w:p>
            <w:pPr>
              <w:pStyle w:val="TableContents"/>
              <w:spacing w:before="0" w:after="0"/>
              <w:ind w:left="0" w:right="460" w:hanging="0"/>
              <w:jc w:val="left"/>
              <w:rPr>
                <w:rFonts w:ascii="times new roman" w:hAnsi="times new roman"/>
                <w:sz w:val="20"/>
              </w:rPr>
            </w:pPr>
            <w:r>
              <w:rPr>
                <w:rFonts w:ascii="times new roman" w:hAnsi="times new roman"/>
                <w:sz w:val="20"/>
              </w:rPr>
              <w:t>1.00%</w:t>
            </w:r>
          </w:p>
        </w:tc>
      </w:tr>
      <w:tr>
        <w:trPr/>
        <w:tc>
          <w:tcPr>
            <w:tcW w:w="199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Level II Status</w:t>
            </w:r>
          </w:p>
        </w:tc>
        <w:tc>
          <w:tcPr>
            <w:tcW w:w="1618" w:type="dxa"/>
            <w:tcBorders/>
            <w:shd w:fill="FFFFFF" w:val="clear"/>
            <w:vAlign w:val="bottom"/>
          </w:tcPr>
          <w:p>
            <w:pPr>
              <w:pStyle w:val="TableContents"/>
              <w:spacing w:before="0" w:after="0"/>
              <w:ind w:left="0" w:right="730" w:hanging="0"/>
              <w:jc w:val="center"/>
              <w:rPr>
                <w:rFonts w:ascii="times new roman" w:hAnsi="times new roman"/>
                <w:sz w:val="20"/>
              </w:rPr>
            </w:pPr>
            <w:r>
              <w:rPr>
                <w:rFonts w:ascii="times new roman" w:hAnsi="times new roman"/>
                <w:sz w:val="20"/>
              </w:rPr>
              <w:t>0.0%</w:t>
            </w:r>
          </w:p>
        </w:tc>
        <w:tc>
          <w:tcPr>
            <w:tcW w:w="199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1.25%</w:t>
            </w:r>
          </w:p>
        </w:tc>
        <w:tc>
          <w:tcPr>
            <w:tcW w:w="199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0.20%</w:t>
            </w:r>
          </w:p>
        </w:tc>
        <w:tc>
          <w:tcPr>
            <w:tcW w:w="1493" w:type="dxa"/>
            <w:tcBorders/>
            <w:shd w:fill="FFFFFF" w:val="clear"/>
            <w:vAlign w:val="bottom"/>
          </w:tcPr>
          <w:p>
            <w:pPr>
              <w:pStyle w:val="TableContents"/>
              <w:spacing w:before="0" w:after="0"/>
              <w:ind w:left="0" w:right="460" w:hanging="0"/>
              <w:jc w:val="left"/>
              <w:rPr>
                <w:rFonts w:ascii="times new roman" w:hAnsi="times new roman"/>
                <w:sz w:val="20"/>
              </w:rPr>
            </w:pPr>
            <w:r>
              <w:rPr>
                <w:rFonts w:ascii="times new roman" w:hAnsi="times new roman"/>
                <w:sz w:val="20"/>
              </w:rPr>
              <w:t>1.25%</w:t>
            </w:r>
          </w:p>
        </w:tc>
      </w:tr>
      <w:tr>
        <w:trPr/>
        <w:tc>
          <w:tcPr>
            <w:tcW w:w="1990"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III Status</w:t>
            </w:r>
          </w:p>
        </w:tc>
        <w:tc>
          <w:tcPr>
            <w:tcW w:w="1618" w:type="dxa"/>
            <w:tcBorders/>
            <w:shd w:fill="CCFFCC" w:val="clear"/>
          </w:tcPr>
          <w:p>
            <w:pPr>
              <w:pStyle w:val="TableContents"/>
              <w:spacing w:before="0" w:after="0"/>
              <w:ind w:left="0" w:right="730" w:hanging="0"/>
              <w:jc w:val="center"/>
              <w:rPr>
                <w:rFonts w:ascii="times new roman" w:hAnsi="times new roman"/>
                <w:sz w:val="20"/>
              </w:rPr>
            </w:pPr>
            <w:r>
              <w:rPr>
                <w:rFonts w:ascii="times new roman" w:hAnsi="times new roman"/>
                <w:sz w:val="20"/>
              </w:rPr>
              <w:t>0.0%</w:t>
            </w:r>
          </w:p>
        </w:tc>
        <w:tc>
          <w:tcPr>
            <w:tcW w:w="1990"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1.50%</w:t>
            </w:r>
          </w:p>
        </w:tc>
        <w:tc>
          <w:tcPr>
            <w:tcW w:w="199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0.20%</w:t>
            </w:r>
          </w:p>
        </w:tc>
        <w:tc>
          <w:tcPr>
            <w:tcW w:w="1493" w:type="dxa"/>
            <w:tcBorders/>
            <w:shd w:fill="CCFFCC" w:val="clear"/>
          </w:tcPr>
          <w:p>
            <w:pPr>
              <w:pStyle w:val="TableContents"/>
              <w:spacing w:before="0" w:after="0"/>
              <w:ind w:left="0" w:right="460" w:hanging="0"/>
              <w:jc w:val="left"/>
              <w:rPr>
                <w:rFonts w:ascii="times new roman" w:hAnsi="times new roman"/>
                <w:sz w:val="20"/>
              </w:rPr>
            </w:pPr>
            <w:r>
              <w:rPr>
                <w:rFonts w:ascii="times new roman" w:hAnsi="times new roman"/>
                <w:sz w:val="20"/>
              </w:rPr>
              <w:t>1.50%</w:t>
            </w:r>
          </w:p>
        </w:tc>
      </w:tr>
    </w:tbl>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i/>
          <w:sz w:val="20"/>
        </w:rPr>
        <w:t xml:space="preserve">provided, however, </w:t>
      </w:r>
      <w:r>
        <w:rPr>
          <w:rFonts w:ascii="Times New Roman" w:hAnsi="Times New Roman"/>
          <w:sz w:val="20"/>
        </w:rPr>
        <w:t>that all of the foregoing is subject to the following:</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sz w:val="20"/>
        </w:rPr>
        <w:t>(i)           the initial Applicable Margin in effect from December 21, 2011, through the first Margin Determination Date shall be the Applicable Margin for Level II Status;</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sz w:val="20"/>
        </w:rPr>
        <w:t>(ii)           on or before the date that is five (5) Business Days after the latest date by which the Company is required to deliver a Compliance Certificate to the Bank pursuant to Section 7.5 hereof for each fiscal quarter of the Company (such date that is five (5) Business Days after the latest date by which the Company is required to deliver a Compliance Certificate to the Bank for the relevant fiscal quarter being herein referred to as the “</w:t>
      </w:r>
      <w:r>
        <w:rPr>
          <w:rFonts w:ascii="Times New Roman" w:hAnsi="Times New Roman"/>
          <w:i/>
          <w:sz w:val="20"/>
        </w:rPr>
        <w:t>Margin Determination Date”</w:t>
      </w:r>
      <w:r>
        <w:rPr>
          <w:rFonts w:ascii="Times New Roman" w:hAnsi="Times New Roman"/>
          <w:sz w:val="20"/>
        </w:rPr>
        <w:t xml:space="preserve"> for such fiscal quarter) (commencing with the first fiscal quarter ending after the date hereof), the Bank shall determine whether Level I Status, Level II Status or Level III Status exists as of the close of the applicable quarterly accounting period, based upon the Compliance Certificate and financial statements delivered to the Bank under Section 7.5 hereof for such accounting period, and shall promptly notify the Company of such determination and of any change in the Applicable Margin resulting therefrom.  Any such change in the Applicable Margin shall be effective as of the related Margin Determination Date, with such new Applicable Margin to continue in effect (subject to interim adjustment in the events and with the effects set forth in the immediately following clause (iii)) until the next Margin Determination Date;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 w:name="PGBRK4"/>
      <w:bookmarkStart w:id="56" w:name="PGBRK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FTR4"/>
      <w:bookmarkStart w:id="58" w:name="FT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 w:name="GLFTR4"/>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 w:name="PN4"/>
      <w:bookmarkEnd w:id="6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HDR4"/>
      <w:bookmarkStart w:id="62" w:name="HDR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 w:name="GLHDR4"/>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sz w:val="20"/>
        </w:rPr>
        <w:t>(iii)           if the Company has not delivered a Compliance Certificate by the date such Compliance Certificate is required to be delivered under Section 7.5 hereof for a given Margin Determination Date (a “</w:t>
      </w:r>
      <w:r>
        <w:rPr>
          <w:rFonts w:ascii="Times New Roman" w:hAnsi="Times New Roman"/>
          <w:i/>
          <w:sz w:val="20"/>
        </w:rPr>
        <w:t>Late Compliance Certificate”</w:t>
      </w:r>
      <w:r>
        <w:rPr>
          <w:rFonts w:ascii="Times New Roman" w:hAnsi="Times New Roman"/>
          <w:sz w:val="20"/>
        </w:rPr>
        <w:t xml:space="preserve">), the Applicable Margin shall be the Applicable Margin for Level III Status unless and until a Compliance Certificate is delivered for the next Margin Determination Date; </w:t>
      </w:r>
      <w:r>
        <w:rPr>
          <w:rFonts w:ascii="Times New Roman" w:hAnsi="Times New Roman"/>
          <w:i/>
          <w:sz w:val="20"/>
        </w:rPr>
        <w:t>provided, however,</w:t>
      </w:r>
      <w:r>
        <w:rPr>
          <w:rFonts w:ascii="Times New Roman" w:hAnsi="Times New Roman"/>
          <w:sz w:val="20"/>
        </w:rPr>
        <w:t xml:space="preserve"> that if the Company subsequently delivers the Late Compliance Certificate before such next Margin Determination Date, the Applicable Margin shall be established by such Late Compliance Certificate, shall take effect from the date of such late delivery and shall remain effective until such next Margin Determination Date; and</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sz w:val="20"/>
        </w:rPr>
        <w:t>(iv)           if and so long as any Event of Default has occurred and is continuing hereunder, notwithstanding anything herein to the contrary, the Applicable Margin shall be the Applicable Margin for Level III Status.</w:t>
      </w:r>
    </w:p>
    <w:p>
      <w:pPr>
        <w:pStyle w:val="TextBody"/>
        <w:spacing w:before="0" w:after="0"/>
        <w:ind w:left="0" w:right="0" w:hanging="0"/>
        <w:jc w:val="both"/>
        <w:rPr/>
      </w:pPr>
      <w:r>
        <w:rPr/>
        <w:t> </w:t>
      </w:r>
    </w:p>
    <w:p>
      <w:pPr>
        <w:pStyle w:val="TextBody"/>
        <w:spacing w:before="0" w:after="0"/>
        <w:ind w:left="1440" w:right="1440" w:hanging="0"/>
        <w:jc w:val="both"/>
        <w:rPr/>
      </w:pPr>
      <w:r>
        <w:rPr/>
        <w:t>“</w:t>
      </w:r>
      <w:r>
        <w:rPr>
          <w:rFonts w:ascii="Times New Roman" w:hAnsi="Times New Roman"/>
          <w:i/>
          <w:sz w:val="20"/>
        </w:rPr>
        <w:t>Level II Status”</w:t>
      </w:r>
      <w:r>
        <w:rPr>
          <w:rFonts w:ascii="Times New Roman" w:hAnsi="Times New Roman"/>
          <w:sz w:val="20"/>
        </w:rPr>
        <w:t xml:space="preserve"> means, for any Margin Determination Date, that as of the close of the most recently completed calendar quarter with reference to which such Margin Determination Date was set, the Debt to Earnings Ratio is greater than or equal to 1.00 to 1.0 but less than 2.00 to 1.0.</w:t>
      </w:r>
    </w:p>
    <w:p>
      <w:pPr>
        <w:pStyle w:val="TextBody"/>
        <w:spacing w:before="0" w:after="0"/>
        <w:ind w:left="0" w:right="0" w:hanging="0"/>
        <w:jc w:val="both"/>
        <w:rPr/>
      </w:pPr>
      <w:r>
        <w:rPr/>
        <w:t> </w:t>
      </w:r>
    </w:p>
    <w:p>
      <w:pPr>
        <w:pStyle w:val="TextBody"/>
        <w:spacing w:before="0" w:after="0"/>
        <w:ind w:left="1440" w:right="1440" w:hanging="0"/>
        <w:jc w:val="both"/>
        <w:rPr/>
      </w:pPr>
      <w:r>
        <w:rPr/>
        <w:t>“</w:t>
      </w:r>
      <w:r>
        <w:rPr>
          <w:rFonts w:ascii="Times New Roman" w:hAnsi="Times New Roman"/>
          <w:i/>
          <w:sz w:val="20"/>
        </w:rPr>
        <w:t>Level III Status”</w:t>
      </w:r>
      <w:r>
        <w:rPr>
          <w:rFonts w:ascii="Times New Roman" w:hAnsi="Times New Roman"/>
          <w:sz w:val="20"/>
        </w:rPr>
        <w:t xml:space="preserve"> means, for any Margin Determination Date, that as of the close of the most recently completed calendar quarter with reference to which such Margin Determination Date was set, the Debt to Earnings Ratio is greater than or equal to 2.00 to 1.0.</w:t>
      </w:r>
    </w:p>
    <w:p>
      <w:pPr>
        <w:pStyle w:val="TextBody"/>
        <w:spacing w:before="0" w:after="0"/>
        <w:ind w:left="0" w:right="0" w:hanging="0"/>
        <w:jc w:val="both"/>
        <w:rPr/>
      </w:pPr>
      <w:r>
        <w:rPr/>
        <w:t> </w:t>
      </w:r>
    </w:p>
    <w:p>
      <w:pPr>
        <w:pStyle w:val="TextBody"/>
        <w:spacing w:before="0" w:after="0"/>
        <w:ind w:left="1440" w:right="1440" w:hanging="0"/>
        <w:jc w:val="both"/>
        <w:rPr/>
      </w:pPr>
      <w:r>
        <w:rPr/>
        <w:t>“</w:t>
      </w:r>
      <w:r>
        <w:rPr>
          <w:rFonts w:ascii="Times New Roman" w:hAnsi="Times New Roman"/>
          <w:i/>
          <w:sz w:val="20"/>
        </w:rPr>
        <w:t>Termination Date”</w:t>
      </w:r>
      <w:r>
        <w:rPr>
          <w:rFonts w:ascii="Times New Roman" w:hAnsi="Times New Roman"/>
          <w:sz w:val="20"/>
        </w:rPr>
        <w:t xml:space="preserve"> means December 31, 2014, or such earlier date on which the Revolving Credit Commitment is terminated in whole pursuant to Section 3.4, 8.2 or 8.3 hereof.</w:t>
      </w:r>
    </w:p>
    <w:p>
      <w:pPr>
        <w:pStyle w:val="TextBody"/>
        <w:spacing w:before="0" w:after="0"/>
        <w:ind w:left="0" w:right="0" w:hanging="0"/>
        <w:jc w:val="both"/>
        <w:rPr/>
      </w:pPr>
      <w:r>
        <w:rPr/>
        <w:t> </w:t>
      </w:r>
    </w:p>
    <w:p>
      <w:pPr>
        <w:pStyle w:val="TextBody"/>
        <w:spacing w:before="0" w:after="0"/>
        <w:ind w:left="1080" w:right="0" w:hanging="0"/>
        <w:jc w:val="left"/>
        <w:rPr/>
      </w:pPr>
      <w:r>
        <w:rPr/>
        <w:t>              </w:t>
      </w:r>
      <w:r>
        <w:rPr>
          <w:rFonts w:ascii="Times New Roman" w:hAnsi="Times New Roman"/>
          <w:sz w:val="20"/>
        </w:rPr>
        <w:t>1.3.</w:t>
      </w:r>
      <w:bookmarkStart w:id="64" w:name="TAB15"/>
      <w:bookmarkEnd w:id="64"/>
      <w:r>
        <w:rPr>
          <w:rFonts w:ascii="Times New Roman" w:hAnsi="Times New Roman"/>
          <w:sz w:val="20"/>
        </w:rPr>
        <w:t>Section 7.1 of the Credit Agreement (Maintenance of Business) shall be amended and restated in its entirety to read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5"/>
      <w:bookmarkStart w:id="66" w:name="PGBRK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5"/>
      <w:bookmarkStart w:id="68" w:name="FTR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 w:name="GLFTR5"/>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 w:name="PN5"/>
      <w:bookmarkEnd w:id="7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5"/>
      <w:bookmarkStart w:id="72" w:name="HDR5"/>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 w:name="GLHDR5"/>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2160" w:right="1440" w:hanging="0"/>
        <w:jc w:val="both"/>
        <w:rPr>
          <w:rFonts w:ascii="Times New Roman" w:hAnsi="Times New Roman"/>
          <w:sz w:val="20"/>
        </w:rPr>
      </w:pPr>
      <w:bookmarkStart w:id="74" w:name="TAB16"/>
      <w:bookmarkEnd w:id="74"/>
      <w:r>
        <w:rPr>
          <w:rFonts w:ascii="Times New Roman" w:hAnsi="Times New Roman"/>
          <w:i/>
          <w:sz w:val="20"/>
        </w:rPr>
        <w:t>Section 7.1.</w:t>
      </w:r>
      <w:r>
        <w:rPr>
          <w:rFonts w:ascii="Times New Roman" w:hAnsi="Times New Roman"/>
          <w:sz w:val="20"/>
        </w:rPr>
        <w:t>                      </w:t>
      </w:r>
      <w:r>
        <w:rPr>
          <w:rFonts w:ascii="Times New Roman" w:hAnsi="Times New Roman"/>
          <w:i/>
          <w:sz w:val="20"/>
        </w:rPr>
        <w:t>Maintenance of Business.</w:t>
      </w:r>
      <w:r>
        <w:rPr>
          <w:rFonts w:ascii="Times New Roman" w:hAnsi="Times New Roman"/>
          <w:sz w:val="20"/>
        </w:rPr>
        <w:t>  The Company shall, and shall cause each Subsidiary to, preserve and maintain its existence.  The Company shall, and shall cause each Subsidiary to, preserve and keep in force and effect all licenses, permits and franchises necessary to the proper conduct of its business.  The foregoing to the contrary notwithstanding, this Section 7.1 shall not operate to prevent any merger or consolidation otherwise permitted by Sections 7.10 or 7.11 hereof or the dissolution of any Foreign Subsidiary that is not a Significant Subsidiary if such action is, in the reasonable business judgment of the Company, desirable is the conduct of its business.</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bookmarkStart w:id="75" w:name="TAB17"/>
      <w:bookmarkEnd w:id="75"/>
      <w:r>
        <w:rPr>
          <w:rFonts w:ascii="Times New Roman" w:hAnsi="Times New Roman"/>
          <w:sz w:val="20"/>
        </w:rPr>
        <w:t>1.4.           Subsection (f) of Section 7.7 of the Credit Agreement (Indebtedness for Borrowed Money) shall be amended and restated in its entirety to read as follows:</w:t>
      </w:r>
    </w:p>
    <w:p>
      <w:pPr>
        <w:pStyle w:val="TextBody"/>
        <w:spacing w:before="0" w:after="0"/>
        <w:ind w:left="0" w:right="0" w:hanging="0"/>
        <w:jc w:val="both"/>
        <w:rPr/>
      </w:pPr>
      <w:r>
        <w:rPr/>
        <w:t> </w:t>
      </w:r>
    </w:p>
    <w:p>
      <w:pPr>
        <w:pStyle w:val="TextBody"/>
        <w:spacing w:before="0" w:after="0"/>
        <w:ind w:left="2160" w:right="1440" w:hanging="0"/>
        <w:jc w:val="both"/>
        <w:rPr>
          <w:rFonts w:ascii="Times New Roman" w:hAnsi="Times New Roman"/>
          <w:sz w:val="20"/>
        </w:rPr>
      </w:pPr>
      <w:bookmarkStart w:id="76" w:name="TAB18"/>
      <w:bookmarkEnd w:id="76"/>
      <w:r>
        <w:rPr>
          <w:rFonts w:ascii="Times New Roman" w:hAnsi="Times New Roman"/>
          <w:sz w:val="20"/>
        </w:rPr>
        <w:t xml:space="preserve">(f)           unsecured indebtedness issued by the Company with respect to the 6.55% Senior Notes due April 15, 2013 issued under that certain Note Purchase Agreement dated as of April 15, 1998, unsecured indebtedness issued by the Company with respect to the 5.89% Senior Notes due October 15, 2015 issued under that certain Note Agreement dated as of December 16, 2005, unsecured indebtedness issued by the Company with respect to the 3.96% Senior Notes due August 1, 2020 issued under that certain Note Purchase Agreement dated as of November 12, 2010, and any other unsecured indebtedness issued by the Company from time to time, </w:t>
      </w:r>
      <w:r>
        <w:rPr>
          <w:rFonts w:ascii="Times New Roman" w:hAnsi="Times New Roman"/>
          <w:i/>
          <w:sz w:val="20"/>
        </w:rPr>
        <w:t>provided</w:t>
      </w:r>
      <w:r>
        <w:rPr>
          <w:rFonts w:ascii="Times New Roman" w:hAnsi="Times New Roman"/>
          <w:sz w:val="20"/>
        </w:rPr>
        <w:t xml:space="preserve"> that the aggregate principal amount of all indebtedness permitted under this subsection shall not to exceed $50,000,000 at any one time outstanding and, in connection with any such indebtedness issued after the date hereof, no Default or Event of Default shall exist at the time of such issuance or shall arise as a consequence thereof; and</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bookmarkStart w:id="77" w:name="TAB19"/>
      <w:bookmarkEnd w:id="77"/>
      <w:r>
        <w:rPr>
          <w:rFonts w:ascii="Times New Roman" w:hAnsi="Times New Roman"/>
          <w:sz w:val="20"/>
        </w:rPr>
        <w:t>1.5.           Subsection (h) of Section 7.9 of the Credit Agreement (Acquisitions, Investments, Loans, Advances and Guaranties) shall be amended and restated in its entirety to read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6"/>
      <w:bookmarkStart w:id="79" w:name="PGBRK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6"/>
      <w:bookmarkStart w:id="81" w:name="FTR6"/>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6"/>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6"/>
      <w:bookmarkEnd w:id="8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6"/>
      <w:bookmarkStart w:id="85" w:name="HDR6"/>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6"/>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r>
        <w:rPr>
          <w:rFonts w:ascii="Times New Roman" w:hAnsi="Times New Roman"/>
          <w:sz w:val="20"/>
        </w:rPr>
        <w:t xml:space="preserve">(h)           Acquisitions of all or any substantial part of the assets or business of any other Person or division thereof engaged in the same or any related business, or of a majority of the voting stock of such a Person, </w:t>
      </w:r>
      <w:r>
        <w:rPr>
          <w:rFonts w:ascii="Times New Roman" w:hAnsi="Times New Roman"/>
          <w:i/>
          <w:sz w:val="20"/>
        </w:rPr>
        <w:t>provided</w:t>
      </w:r>
      <w:r>
        <w:rPr>
          <w:rFonts w:ascii="Times New Roman" w:hAnsi="Times New Roman"/>
          <w:sz w:val="20"/>
        </w:rPr>
        <w:t xml:space="preserve"> that (i) no Default or Event of Default exists or would exist after giving effect to such Acquisition, (ii) the board of directors or other governing body of such Person whose Property, or voting stock or other interests in which, are being so acquired has approved the terms of such Acquisition, (iii) the Company shall have delivered to the Bank prior written notice of such Acquisition and, if a new Subsidiary results from such Acquisition, an updated Schedule 5.2, (iv) the sum of (1) the aggregate amount expended by the Company and its Subsidiaries as consideration for such Acquisition (and in any event (x) including as such consideration, any Indebtedness for Borrowed Money assumed or incurred as a result of such acquisition, and (y) excluding as such consideration, any equity securities issued by the Company as consideration for such Acquisition) and (2) the aggregate amount expended as consideration (including Indebtedness for Borrowed Money and excluding equity securities as aforesaid) for all other Acquisitions permitted under this Section 7.9(h) after January 27, 2006, on a cumulative basis does not exceed $45,000,000 in the aggregate, and (v) where the aggregate amount expended as consideration (including Indebtedness for Borrowed Money and excluding equity securities as aforesaid) for such Acquisition equals or exceeds $20,000,000, the Company shall have furnished to the Bank at such time reasonable details as to such Acquisition (including sources and uses of funds), historical financial information and pro forma financial forecasts of the Company on a consolidated basis after giving effect to the Acquisition and covenant compliance calculations reasonably satisfactory to the Bank (and, within 60 days after the date of any such Acquisition where the aggregate amount expended as consideration (including Indebtedness for Borrowed Money and excluding equity securities as aforesaid) for such Acquisition equals or exceeds $20,000,000, the Company shall provide the Bank a summary integration plan for the business being acquired); and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1440" w:right="1440" w:hanging="0"/>
        <w:jc w:val="both"/>
        <w:rPr>
          <w:rFonts w:ascii="Times New Roman" w:hAnsi="Times New Roman"/>
          <w:sz w:val="20"/>
        </w:rPr>
      </w:pPr>
      <w:bookmarkStart w:id="87" w:name="TAB110"/>
      <w:bookmarkEnd w:id="87"/>
      <w:r>
        <w:rPr>
          <w:rFonts w:ascii="Times New Roman" w:hAnsi="Times New Roman"/>
          <w:sz w:val="20"/>
        </w:rPr>
        <w:t>1.6.           Schedule 5.2 to the Credit Agreement (Subsidiaries) shall be amended and restated in its entirety to read as set forth on Schedule 5.2 attached hereto and made a part hereof.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8" w:name="hangingindent3"/>
      <w:bookmarkStart w:id="89" w:name="hangingindent3"/>
      <w:bookmarkEnd w:id="89"/>
    </w:p>
    <w:tbl>
      <w:tblPr>
        <w:tblW w:w="5000" w:type="pct"/>
        <w:jc w:val="center"/>
        <w:tblInd w:w="0" w:type="dxa"/>
        <w:tblCellMar>
          <w:top w:w="0" w:type="dxa"/>
          <w:left w:w="0" w:type="dxa"/>
          <w:bottom w:w="0" w:type="dxa"/>
          <w:right w:w="0" w:type="dxa"/>
        </w:tblCellMar>
      </w:tblPr>
      <w:tblGrid>
        <w:gridCol w:w="3705"/>
        <w:gridCol w:w="6500"/>
      </w:tblGrid>
      <w:tr>
        <w:trPr/>
        <w:tc>
          <w:tcPr>
            <w:tcW w:w="3705" w:type="dxa"/>
            <w:tcBorders/>
            <w:shd w:fill="auto" w:val="clear"/>
          </w:tcPr>
          <w:p>
            <w:pPr>
              <w:pStyle w:val="TableContents"/>
              <w:spacing w:before="0" w:after="0"/>
              <w:ind w:left="0" w:right="0" w:hanging="0"/>
              <w:rPr>
                <w:rFonts w:ascii="Times New Roman" w:hAnsi="Times New Roman"/>
                <w:smallCaps/>
                <w:sz w:val="20"/>
              </w:rPr>
            </w:pPr>
            <w:r>
              <w:rPr>
                <w:rFonts w:ascii="Times New Roman" w:hAnsi="Times New Roman"/>
                <w:smallCaps/>
                <w:sz w:val="20"/>
              </w:rPr>
              <w:t>Section 2.</w:t>
            </w:r>
          </w:p>
        </w:tc>
        <w:tc>
          <w:tcPr>
            <w:tcW w:w="6500" w:type="dxa"/>
            <w:tcBorders/>
            <w:shd w:fill="auto" w:val="clear"/>
          </w:tcPr>
          <w:p>
            <w:pPr>
              <w:pStyle w:val="TableContents"/>
              <w:spacing w:before="0" w:after="0"/>
              <w:jc w:val="left"/>
              <w:rPr>
                <w:rFonts w:ascii="Times New Roman" w:hAnsi="Times New Roman"/>
                <w:smallCaps/>
                <w:sz w:val="20"/>
              </w:rPr>
            </w:pPr>
            <w:r>
              <w:rPr>
                <w:rFonts w:ascii="Times New Roman" w:hAnsi="Times New Roman"/>
                <w:smallCaps/>
                <w:sz w:val="20"/>
              </w:rPr>
              <w:t>Representations.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order to induce the Bank to execute and deliver this Second Amendment, the Company hereby represents and warrants to the Bank that, after giving effect to the amendments set forth in Section 1 above, (a) each of the representations and warranties set forth in Section 5 of the Credit Agreement is true and correct on and as of the date of this Second Amendment as if made on and as of the date hereof and as if each reference therein to the Credit Agreement referred to the Credit Agreement as amended hereby and (b) no Default or Event of Default exists under the Credit Agreement or shall result after giving effect to this Second Amendment.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0" w:name="hangingindent4"/>
      <w:bookmarkStart w:id="91" w:name="hangingindent4"/>
      <w:bookmarkEnd w:id="91"/>
    </w:p>
    <w:tbl>
      <w:tblPr>
        <w:tblW w:w="5000" w:type="pct"/>
        <w:jc w:val="center"/>
        <w:tblInd w:w="0" w:type="dxa"/>
        <w:tblCellMar>
          <w:top w:w="0" w:type="dxa"/>
          <w:left w:w="0" w:type="dxa"/>
          <w:bottom w:w="0" w:type="dxa"/>
          <w:right w:w="0" w:type="dxa"/>
        </w:tblCellMar>
      </w:tblPr>
      <w:tblGrid>
        <w:gridCol w:w="3108"/>
        <w:gridCol w:w="7097"/>
      </w:tblGrid>
      <w:tr>
        <w:trPr/>
        <w:tc>
          <w:tcPr>
            <w:tcW w:w="3108" w:type="dxa"/>
            <w:tcBorders/>
            <w:shd w:fill="auto" w:val="clear"/>
          </w:tcPr>
          <w:p>
            <w:pPr>
              <w:pStyle w:val="TableContents"/>
              <w:spacing w:before="0" w:after="0"/>
              <w:ind w:left="0" w:right="0" w:hanging="0"/>
              <w:rPr>
                <w:rFonts w:ascii="Times New Roman" w:hAnsi="Times New Roman"/>
                <w:smallCaps/>
                <w:sz w:val="20"/>
              </w:rPr>
            </w:pPr>
            <w:r>
              <w:rPr>
                <w:rFonts w:ascii="Times New Roman" w:hAnsi="Times New Roman"/>
                <w:smallCaps/>
                <w:sz w:val="20"/>
              </w:rPr>
              <w:t>Section 3.</w:t>
            </w:r>
          </w:p>
        </w:tc>
        <w:tc>
          <w:tcPr>
            <w:tcW w:w="7097" w:type="dxa"/>
            <w:tcBorders/>
            <w:shd w:fill="auto" w:val="clear"/>
          </w:tcPr>
          <w:p>
            <w:pPr>
              <w:pStyle w:val="TableContents"/>
              <w:spacing w:before="0" w:after="0"/>
              <w:jc w:val="left"/>
              <w:rPr>
                <w:rFonts w:ascii="Times New Roman" w:hAnsi="Times New Roman"/>
                <w:smallCaps/>
                <w:sz w:val="20"/>
              </w:rPr>
            </w:pPr>
            <w:r>
              <w:rPr>
                <w:rFonts w:ascii="Times New Roman" w:hAnsi="Times New Roman"/>
                <w:smallCaps/>
                <w:sz w:val="20"/>
              </w:rPr>
              <w:t>Conditions Precedent.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Second Amendment shall become effective upon satisfaction of the following conditions precedent: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 w:name="PGBRK7"/>
      <w:bookmarkStart w:id="93" w:name="PGBRK7"/>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FTR7"/>
      <w:bookmarkStart w:id="95" w:name="FTR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 w:name="GLFTR7"/>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 w:name="PN7"/>
      <w:bookmarkEnd w:id="97"/>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HDR7"/>
      <w:bookmarkStart w:id="99" w:name="HDR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 w:name="GLHDR7"/>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1440" w:right="0" w:hanging="0"/>
        <w:jc w:val="both"/>
        <w:rPr>
          <w:rFonts w:ascii="Times New Roman" w:hAnsi="Times New Roman"/>
          <w:sz w:val="20"/>
        </w:rPr>
      </w:pPr>
      <w:bookmarkStart w:id="101" w:name="TAB111"/>
      <w:bookmarkEnd w:id="101"/>
      <w:r>
        <w:rPr>
          <w:rFonts w:ascii="Times New Roman" w:hAnsi="Times New Roman"/>
          <w:sz w:val="20"/>
        </w:rPr>
        <w:t>3.1.           The Company and the Bank shall have executed and delivered this Second Amendment.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102" w:name="TAB112"/>
      <w:bookmarkEnd w:id="102"/>
      <w:r>
        <w:rPr>
          <w:rFonts w:ascii="Times New Roman" w:hAnsi="Times New Roman"/>
          <w:sz w:val="20"/>
        </w:rPr>
        <w:t>3.2.           Each Guarantor shall have executed and delivered its consent to this Second Amendment in the space provided for that purpose below.</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103" w:name="TAB113"/>
      <w:bookmarkEnd w:id="103"/>
      <w:r>
        <w:rPr>
          <w:rFonts w:ascii="Times New Roman" w:hAnsi="Times New Roman"/>
          <w:sz w:val="20"/>
        </w:rPr>
        <w:t>3.3.           Legal matters incident to the execution and delivery of this Second Amendment shall be satisfactory to the Bank and its counsel.</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4" w:name="hangingindent5"/>
      <w:bookmarkStart w:id="105" w:name="hangingindent5"/>
      <w:bookmarkEnd w:id="105"/>
    </w:p>
    <w:tbl>
      <w:tblPr>
        <w:tblW w:w="5000" w:type="pct"/>
        <w:jc w:val="center"/>
        <w:tblInd w:w="0" w:type="dxa"/>
        <w:tblCellMar>
          <w:top w:w="0" w:type="dxa"/>
          <w:left w:w="0" w:type="dxa"/>
          <w:bottom w:w="0" w:type="dxa"/>
          <w:right w:w="0" w:type="dxa"/>
        </w:tblCellMar>
      </w:tblPr>
      <w:tblGrid>
        <w:gridCol w:w="3934"/>
        <w:gridCol w:w="6271"/>
      </w:tblGrid>
      <w:tr>
        <w:trPr/>
        <w:tc>
          <w:tcPr>
            <w:tcW w:w="3934" w:type="dxa"/>
            <w:tcBorders/>
            <w:shd w:fill="auto" w:val="clear"/>
          </w:tcPr>
          <w:p>
            <w:pPr>
              <w:pStyle w:val="TableContents"/>
              <w:spacing w:before="0" w:after="0"/>
              <w:ind w:left="0" w:right="0" w:hanging="0"/>
              <w:rPr>
                <w:rFonts w:ascii="Times New Roman" w:hAnsi="Times New Roman"/>
                <w:smallCaps/>
                <w:sz w:val="20"/>
              </w:rPr>
            </w:pPr>
            <w:r>
              <w:rPr>
                <w:rFonts w:ascii="Times New Roman" w:hAnsi="Times New Roman"/>
                <w:smallCaps/>
                <w:sz w:val="20"/>
              </w:rPr>
              <w:t>Section 4.</w:t>
            </w:r>
          </w:p>
        </w:tc>
        <w:tc>
          <w:tcPr>
            <w:tcW w:w="6271" w:type="dxa"/>
            <w:tcBorders/>
            <w:shd w:fill="auto" w:val="clear"/>
          </w:tcPr>
          <w:p>
            <w:pPr>
              <w:pStyle w:val="TableContents"/>
              <w:spacing w:before="0" w:after="0"/>
              <w:jc w:val="left"/>
              <w:rPr>
                <w:rFonts w:ascii="Times New Roman" w:hAnsi="Times New Roman"/>
                <w:smallCaps/>
                <w:sz w:val="20"/>
              </w:rPr>
            </w:pPr>
            <w:r>
              <w:rPr>
                <w:rFonts w:ascii="Times New Roman" w:hAnsi="Times New Roman"/>
                <w:smallCaps/>
                <w:sz w:val="20"/>
              </w:rPr>
              <w:t>Miscellaneous.</w:t>
            </w:r>
          </w:p>
        </w:tc>
      </w:tr>
    </w:tbl>
    <w:p>
      <w:pPr>
        <w:pStyle w:val="TextBody"/>
        <w:spacing w:before="0" w:after="0"/>
        <w:ind w:left="0" w:right="0" w:hanging="0"/>
        <w:jc w:val="both"/>
        <w:rPr/>
      </w:pPr>
      <w:r>
        <w:rPr/>
        <w:t> </w:t>
      </w:r>
    </w:p>
    <w:p>
      <w:pPr>
        <w:pStyle w:val="TextBody"/>
        <w:spacing w:before="0" w:after="0"/>
        <w:ind w:left="302" w:right="0" w:hanging="0"/>
        <w:jc w:val="both"/>
        <w:rPr/>
      </w:pPr>
      <w:r>
        <w:rPr/>
        <w:t>              </w:t>
      </w:r>
      <w:r>
        <w:rPr>
          <w:rFonts w:ascii="Times New Roman" w:hAnsi="Times New Roman"/>
          <w:sz w:val="20"/>
        </w:rPr>
        <w:t>4.1.</w:t>
      </w:r>
      <w:bookmarkStart w:id="106" w:name="TAB114"/>
      <w:bookmarkEnd w:id="106"/>
      <w:r>
        <w:rPr>
          <w:rFonts w:ascii="Times New Roman" w:hAnsi="Times New Roman"/>
          <w:sz w:val="20"/>
        </w:rPr>
        <w:t>Except as specifically amended herein, the Credit Agreement shall continue in full force and effect in accordance with its original terms.  Reference to this specific Second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pStyle w:val="TextBody"/>
        <w:spacing w:before="0" w:after="0"/>
        <w:ind w:left="0" w:right="0" w:hanging="0"/>
        <w:jc w:val="both"/>
        <w:rPr/>
      </w:pPr>
      <w:r>
        <w:rPr/>
        <w:t> </w:t>
      </w:r>
    </w:p>
    <w:p>
      <w:pPr>
        <w:pStyle w:val="TextBody"/>
        <w:spacing w:before="0" w:after="0"/>
        <w:ind w:left="302" w:right="0" w:hanging="0"/>
        <w:jc w:val="both"/>
        <w:rPr/>
      </w:pPr>
      <w:r>
        <w:rPr/>
        <w:t>              </w:t>
      </w:r>
      <w:r>
        <w:rPr>
          <w:rFonts w:ascii="Times New Roman" w:hAnsi="Times New Roman"/>
          <w:sz w:val="20"/>
        </w:rPr>
        <w:t>4.2.</w:t>
      </w:r>
      <w:bookmarkStart w:id="107" w:name="TAB115"/>
      <w:bookmarkEnd w:id="107"/>
      <w:r>
        <w:rPr>
          <w:rFonts w:ascii="Times New Roman" w:hAnsi="Times New Roman"/>
          <w:sz w:val="20"/>
        </w:rPr>
        <w:t>The Company agrees to pay on demand all costs and expenses of or incurred by the Bank in connection with the negotiation, preparation, execution and delivery of this Second Amendment.</w:t>
      </w:r>
    </w:p>
    <w:p>
      <w:pPr>
        <w:pStyle w:val="TextBody"/>
        <w:spacing w:before="0" w:after="0"/>
        <w:ind w:left="0" w:right="0" w:hanging="0"/>
        <w:jc w:val="both"/>
        <w:rPr/>
      </w:pPr>
      <w:r>
        <w:rPr/>
        <w:t> </w:t>
      </w:r>
    </w:p>
    <w:p>
      <w:pPr>
        <w:pStyle w:val="TextBody"/>
        <w:spacing w:before="0" w:after="0"/>
        <w:ind w:left="302" w:right="0" w:hanging="0"/>
        <w:jc w:val="both"/>
        <w:rPr/>
      </w:pPr>
      <w:r>
        <w:rPr/>
        <w:t>              </w:t>
      </w:r>
      <w:r>
        <w:rPr>
          <w:rFonts w:ascii="Times New Roman" w:hAnsi="Times New Roman"/>
          <w:sz w:val="20"/>
        </w:rPr>
        <w:t>4.3.</w:t>
      </w:r>
      <w:bookmarkStart w:id="108" w:name="TAB116"/>
      <w:bookmarkEnd w:id="108"/>
      <w:r>
        <w:rPr>
          <w:rFonts w:ascii="Times New Roman" w:hAnsi="Times New Roman"/>
          <w:sz w:val="20"/>
        </w:rPr>
        <w:t>This Second Amendment may be executed in any number of counterparts, and by the different parties on different counterpart signature pages, all of which taken together shall constitute one and the same agreement.  Any of the parties hereto may execute this Second Amendment by signing any such counterpart and each of such counterparts shall for all purposes be deemed to be an original.  Delivery of executed counterparts of this Second Amendment by facsimile transmission or by e-mail transmission of an Adobe portable document format file (also known as a “PDF” file) shall be effective as an original.  This Second Amendment shall be governed by, and construed in accordance with, the internal laws of the State of Illinois.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[Signature Pages to Follow]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8"/>
      <w:bookmarkStart w:id="110" w:name="PGBRK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8"/>
      <w:bookmarkStart w:id="112" w:name="FTR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 w:name="GLFTR8"/>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8"/>
      <w:bookmarkEnd w:id="114"/>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8"/>
      <w:bookmarkStart w:id="116" w:name="HDR8"/>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 w:name="GLHDR8"/>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Second Amendment to Credit Agreement is dated as of the date first above written.</w:t>
      </w:r>
    </w:p>
    <w:p>
      <w:pPr>
        <w:pStyle w:val="TextBody"/>
        <w:spacing w:before="0" w:after="0"/>
        <w:ind w:left="0" w:right="0" w:hanging="0"/>
        <w:jc w:val="both"/>
        <w:rPr/>
      </w:pPr>
      <w:r>
        <w:rPr/>
        <w:t> </w:t>
      </w:r>
    </w:p>
    <w:p>
      <w:pPr>
        <w:pStyle w:val="TextBody"/>
        <w:spacing w:before="0" w:after="0"/>
        <w:ind w:left="0" w:right="0" w:hanging="0"/>
        <w:rPr/>
      </w:pPr>
      <w:r>
        <w:rPr/>
      </w:r>
    </w:p>
    <w:tbl>
      <w:tblPr>
        <w:tblW w:w="2500" w:type="pct"/>
        <w:jc w:val="right"/>
        <w:tblInd w:w="0" w:type="dxa"/>
        <w:tblCellMar>
          <w:top w:w="0" w:type="dxa"/>
          <w:left w:w="0" w:type="dxa"/>
          <w:bottom w:w="0" w:type="dxa"/>
          <w:right w:w="0" w:type="dxa"/>
        </w:tblCellMar>
      </w:tblPr>
      <w:tblGrid>
        <w:gridCol w:w="1019"/>
        <w:gridCol w:w="4083"/>
      </w:tblGrid>
      <w:tr>
        <w:trPr/>
        <w:tc>
          <w:tcPr>
            <w:tcW w:w="5102"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Oil-Dri Corporation of America</w:t>
            </w:r>
          </w:p>
          <w:p>
            <w:pPr>
              <w:pStyle w:val="TableContents"/>
              <w:spacing w:before="0" w:after="0"/>
              <w:ind w:left="0" w:right="0" w:hanging="0"/>
              <w:jc w:val="left"/>
              <w:rPr/>
            </w:pPr>
            <w:r>
              <w:rPr/>
              <w:t> </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08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40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40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2500" w:type="pct"/>
        <w:jc w:val="right"/>
        <w:tblInd w:w="0" w:type="dxa"/>
        <w:tblCellMar>
          <w:top w:w="0" w:type="dxa"/>
          <w:left w:w="0" w:type="dxa"/>
          <w:bottom w:w="0" w:type="dxa"/>
          <w:right w:w="0" w:type="dxa"/>
        </w:tblCellMar>
      </w:tblPr>
      <w:tblGrid>
        <w:gridCol w:w="1019"/>
        <w:gridCol w:w="4083"/>
      </w:tblGrid>
      <w:tr>
        <w:trPr/>
        <w:tc>
          <w:tcPr>
            <w:tcW w:w="5102"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BMO Harris Bank N.A.</w:t>
            </w:r>
          </w:p>
          <w:p>
            <w:pPr>
              <w:pStyle w:val="TableContents"/>
              <w:spacing w:before="0" w:after="0"/>
              <w:ind w:left="0" w:right="0" w:hanging="0"/>
              <w:jc w:val="left"/>
              <w:rPr/>
            </w:pPr>
            <w:r>
              <w:rPr/>
              <w:t> </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08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Steven M. Marks</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40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Steven M. Marks</w:t>
            </w:r>
          </w:p>
        </w:tc>
      </w:tr>
      <w:tr>
        <w:trPr/>
        <w:tc>
          <w:tcPr>
            <w:tcW w:w="10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408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18" w:name="PGBRK9"/>
      <w:bookmarkStart w:id="119" w:name="PGBRK9"/>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0" w:name="FTR9"/>
      <w:bookmarkStart w:id="121" w:name="FTR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22" w:name="GLFTR9"/>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9"/>
      <w:bookmarkEnd w:id="12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4" w:name="HDR9"/>
      <w:bookmarkStart w:id="125" w:name="HDR9"/>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6" w:name="GLHDR9"/>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Guarantors’ Acknowledgment, Consent, and Reaffirmation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of the undersigned has heretofore guaranteed the due and punctual payment of all present and future Obligations pursuant to Section 9 of the Credit Agreement and hereby consents to the amendment to the Credit Agreement as set forth above and confirms that all of the obligations of the undersigned thereunder remain in full force and effect.  Each of the undersigned further agrees that the consent of the undersigned to any further amendments to the Credit Agreement shall not be required as a result of this consent having been obtained.  Each of the undersigned acknowledges that the Bank is relying on the assurances provided for herein and entering into this Second Amendment and maintaining credit outstanding to the Borrower under the Credit Agreement as so amended.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32"/>
        <w:gridCol w:w="3489"/>
        <w:gridCol w:w="1033"/>
        <w:gridCol w:w="1032"/>
        <w:gridCol w:w="3619"/>
      </w:tblGrid>
      <w:tr>
        <w:trPr/>
        <w:tc>
          <w:tcPr>
            <w:tcW w:w="452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Oil-Dri Corporation of Georgia</w:t>
            </w:r>
          </w:p>
          <w:p>
            <w:pPr>
              <w:pStyle w:val="TableContents"/>
              <w:spacing w:before="0" w:after="0"/>
              <w:ind w:left="0" w:right="0" w:hanging="0"/>
              <w:jc w:val="left"/>
              <w:rPr/>
            </w:pPr>
            <w:r>
              <w:rPr/>
              <w:t> </w:t>
            </w:r>
          </w:p>
        </w:tc>
        <w:tc>
          <w:tcPr>
            <w:tcW w:w="1033" w:type="dxa"/>
            <w:tcBorders/>
            <w:shd w:fill="auto" w:val="clear"/>
            <w:vAlign w:val="bottom"/>
          </w:tcPr>
          <w:p>
            <w:pPr>
              <w:pStyle w:val="TableContents"/>
              <w:spacing w:before="0" w:after="283"/>
              <w:rPr/>
            </w:pPr>
            <w:r>
              <w:rPr/>
              <w:t xml:space="preserve">  </w:t>
            </w:r>
          </w:p>
        </w:tc>
        <w:tc>
          <w:tcPr>
            <w:tcW w:w="465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Oil-Dri Production Company</w:t>
            </w:r>
          </w:p>
          <w:p>
            <w:pPr>
              <w:pStyle w:val="TableContents"/>
              <w:spacing w:before="0" w:after="0"/>
              <w:ind w:left="0" w:right="0" w:hanging="0"/>
              <w:jc w:val="left"/>
              <w:rPr/>
            </w:pPr>
            <w:r>
              <w:rPr/>
              <w:t> </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48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1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32"/>
        <w:gridCol w:w="3489"/>
        <w:gridCol w:w="1033"/>
        <w:gridCol w:w="1032"/>
        <w:gridCol w:w="3619"/>
      </w:tblGrid>
      <w:tr>
        <w:trPr/>
        <w:tc>
          <w:tcPr>
            <w:tcW w:w="452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Mounds Production Company, LLC</w:t>
            </w:r>
          </w:p>
          <w:p>
            <w:pPr>
              <w:pStyle w:val="TableContents"/>
              <w:spacing w:before="0" w:after="0"/>
              <w:ind w:left="0" w:right="0" w:hanging="0"/>
              <w:jc w:val="left"/>
              <w:rPr/>
            </w:pPr>
            <w:r>
              <w:rPr/>
              <w:t> </w:t>
            </w:r>
          </w:p>
        </w:tc>
        <w:tc>
          <w:tcPr>
            <w:tcW w:w="1033" w:type="dxa"/>
            <w:tcBorders/>
            <w:shd w:fill="auto" w:val="clear"/>
            <w:vAlign w:val="bottom"/>
          </w:tcPr>
          <w:p>
            <w:pPr>
              <w:pStyle w:val="TableContents"/>
              <w:spacing w:before="0" w:after="283"/>
              <w:rPr/>
            </w:pPr>
            <w:r>
              <w:rPr/>
              <w:t xml:space="preserve">  </w:t>
            </w:r>
          </w:p>
        </w:tc>
        <w:tc>
          <w:tcPr>
            <w:tcW w:w="465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Mounds Management, Inc.</w:t>
            </w:r>
          </w:p>
          <w:p>
            <w:pPr>
              <w:pStyle w:val="TableContents"/>
              <w:spacing w:before="0" w:after="0"/>
              <w:ind w:left="0" w:right="0" w:hanging="0"/>
              <w:jc w:val="left"/>
              <w:rPr/>
            </w:pPr>
            <w:r>
              <w:rPr/>
              <w:t> </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Mounds Management Inc.</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283"/>
              <w:rPr/>
            </w:pPr>
            <w:r>
              <w:rPr/>
              <w:t xml:space="preserve">  </w:t>
            </w:r>
          </w:p>
        </w:tc>
        <w:tc>
          <w:tcPr>
            <w:tcW w:w="3619" w:type="dxa"/>
            <w:tcBorders/>
            <w:shd w:fill="auto" w:val="clear"/>
            <w:vAlign w:val="bottom"/>
          </w:tcPr>
          <w:p>
            <w:pPr>
              <w:pStyle w:val="TableContents"/>
              <w:spacing w:before="0" w:after="283"/>
              <w:rPr/>
            </w:pPr>
            <w:r>
              <w:rPr/>
              <w:t xml:space="preserve">  </w:t>
            </w:r>
          </w:p>
        </w:tc>
      </w:tr>
      <w:tr>
        <w:trPr/>
        <w:tc>
          <w:tcPr>
            <w:tcW w:w="1032" w:type="dxa"/>
            <w:tcBorders/>
            <w:shd w:fill="auto" w:val="clear"/>
            <w:vAlign w:val="bottom"/>
          </w:tcPr>
          <w:p>
            <w:pPr>
              <w:pStyle w:val="TableContents"/>
              <w:spacing w:before="0" w:after="283"/>
              <w:rPr/>
            </w:pPr>
            <w:r>
              <w:rPr/>
              <w:t xml:space="preserve">  </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Its Managing Member</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283"/>
              <w:rPr/>
            </w:pPr>
            <w:r>
              <w:rPr/>
              <w:t xml:space="preserve">  </w:t>
            </w:r>
          </w:p>
        </w:tc>
        <w:tc>
          <w:tcPr>
            <w:tcW w:w="3619" w:type="dxa"/>
            <w:tcBorders/>
            <w:shd w:fill="auto" w:val="clear"/>
            <w:vAlign w:val="bottom"/>
          </w:tcPr>
          <w:p>
            <w:pPr>
              <w:pStyle w:val="TableContents"/>
              <w:spacing w:before="0" w:after="283"/>
              <w:rPr/>
            </w:pPr>
            <w:r>
              <w:rPr/>
              <w:t xml:space="preserve">  </w:t>
            </w:r>
          </w:p>
        </w:tc>
      </w:tr>
      <w:tr>
        <w:trPr/>
        <w:tc>
          <w:tcPr>
            <w:tcW w:w="1032" w:type="dxa"/>
            <w:tcBorders/>
            <w:shd w:fill="auto" w:val="clear"/>
            <w:vAlign w:val="bottom"/>
          </w:tcPr>
          <w:p>
            <w:pPr>
              <w:pStyle w:val="TableContents"/>
              <w:spacing w:before="0" w:after="283"/>
              <w:rPr/>
            </w:pPr>
            <w:r>
              <w:rPr/>
              <w:t xml:space="preserve">  </w:t>
            </w:r>
          </w:p>
        </w:tc>
        <w:tc>
          <w:tcPr>
            <w:tcW w:w="3489" w:type="dxa"/>
            <w:tcBorders/>
            <w:shd w:fill="auto" w:val="clear"/>
            <w:vAlign w:val="bottom"/>
          </w:tcPr>
          <w:p>
            <w:pPr>
              <w:pStyle w:val="TableContents"/>
              <w:spacing w:before="0" w:after="283"/>
              <w:rPr/>
            </w:pPr>
            <w:r>
              <w:rPr/>
              <w:t xml:space="preserve">  </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283"/>
              <w:rPr/>
            </w:pPr>
            <w:r>
              <w:rPr/>
              <w:t xml:space="preserve">  </w:t>
            </w:r>
          </w:p>
        </w:tc>
        <w:tc>
          <w:tcPr>
            <w:tcW w:w="3619" w:type="dxa"/>
            <w:tcBorders/>
            <w:shd w:fill="auto" w:val="clear"/>
            <w:vAlign w:val="bottom"/>
          </w:tcPr>
          <w:p>
            <w:pPr>
              <w:pStyle w:val="TableContents"/>
              <w:spacing w:before="0" w:after="283"/>
              <w:rPr/>
            </w:pPr>
            <w:r>
              <w:rPr/>
              <w:t xml:space="preserve">  </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48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1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32"/>
        <w:gridCol w:w="3489"/>
        <w:gridCol w:w="1033"/>
        <w:gridCol w:w="1032"/>
        <w:gridCol w:w="3619"/>
      </w:tblGrid>
      <w:tr>
        <w:trPr/>
        <w:tc>
          <w:tcPr>
            <w:tcW w:w="452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Blue Mountain Production Company</w:t>
            </w:r>
          </w:p>
          <w:p>
            <w:pPr>
              <w:pStyle w:val="TableContents"/>
              <w:spacing w:before="0" w:after="0"/>
              <w:ind w:left="0" w:right="0" w:hanging="0"/>
              <w:jc w:val="left"/>
              <w:rPr/>
            </w:pPr>
            <w:r>
              <w:rPr/>
              <w:t> </w:t>
            </w:r>
          </w:p>
        </w:tc>
        <w:tc>
          <w:tcPr>
            <w:tcW w:w="1033" w:type="dxa"/>
            <w:tcBorders/>
            <w:shd w:fill="auto" w:val="clear"/>
            <w:vAlign w:val="bottom"/>
          </w:tcPr>
          <w:p>
            <w:pPr>
              <w:pStyle w:val="TableContents"/>
              <w:spacing w:before="0" w:after="283"/>
              <w:rPr/>
            </w:pPr>
            <w:r>
              <w:rPr/>
              <w:t xml:space="preserve">  </w:t>
            </w:r>
          </w:p>
        </w:tc>
        <w:tc>
          <w:tcPr>
            <w:tcW w:w="465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Oil-Dri Corporation of Nevada</w:t>
            </w:r>
          </w:p>
          <w:p>
            <w:pPr>
              <w:pStyle w:val="TableContents"/>
              <w:spacing w:before="0" w:after="0"/>
              <w:ind w:left="0" w:right="0" w:hanging="0"/>
              <w:jc w:val="left"/>
              <w:rPr/>
            </w:pPr>
            <w:r>
              <w:rPr/>
              <w:t> </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48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1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r>
      <w:tr>
        <w:trPr/>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48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c>
          <w:tcPr>
            <w:tcW w:w="1033" w:type="dxa"/>
            <w:tcBorders/>
            <w:shd w:fill="auto" w:val="clear"/>
            <w:vAlign w:val="bottom"/>
          </w:tcPr>
          <w:p>
            <w:pPr>
              <w:pStyle w:val="TableContents"/>
              <w:spacing w:before="0" w:after="283"/>
              <w:rPr/>
            </w:pPr>
            <w:r>
              <w:rPr/>
              <w:t xml:space="preserve">  </w:t>
            </w:r>
          </w:p>
        </w:tc>
        <w:tc>
          <w:tcPr>
            <w:tcW w:w="103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61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54"/>
        <w:gridCol w:w="1033"/>
        <w:gridCol w:w="3618"/>
      </w:tblGrid>
      <w:tr>
        <w:trPr/>
        <w:tc>
          <w:tcPr>
            <w:tcW w:w="5554" w:type="dxa"/>
            <w:tcBorders/>
            <w:shd w:fill="auto" w:val="clear"/>
            <w:vAlign w:val="bottom"/>
          </w:tcPr>
          <w:p>
            <w:pPr>
              <w:pStyle w:val="TableContents"/>
              <w:spacing w:before="0" w:after="283"/>
              <w:jc w:val="left"/>
              <w:rPr>
                <w:smallCaps/>
              </w:rPr>
            </w:pPr>
            <w:r>
              <w:rPr>
                <w:smallCaps/>
              </w:rPr>
              <w:t> </w:t>
            </w:r>
          </w:p>
        </w:tc>
        <w:tc>
          <w:tcPr>
            <w:tcW w:w="4651" w:type="dxa"/>
            <w:gridSpan w:val="2"/>
            <w:tcBorders/>
            <w:shd w:fill="auto" w:val="clear"/>
            <w:vAlign w:val="bottom"/>
          </w:tcPr>
          <w:p>
            <w:pPr>
              <w:pStyle w:val="TableContents"/>
              <w:spacing w:before="0" w:after="0"/>
              <w:ind w:left="0" w:right="0" w:hanging="0"/>
              <w:jc w:val="left"/>
              <w:rPr>
                <w:rFonts w:ascii="times new roman" w:hAnsi="times new roman"/>
                <w:smallCaps/>
                <w:sz w:val="20"/>
              </w:rPr>
            </w:pPr>
            <w:r>
              <w:rPr>
                <w:rFonts w:ascii="times new roman" w:hAnsi="times new roman"/>
                <w:smallCaps/>
                <w:sz w:val="20"/>
              </w:rPr>
              <w:t>Taft Production Company</w:t>
            </w:r>
          </w:p>
          <w:p>
            <w:pPr>
              <w:pStyle w:val="TableContents"/>
              <w:spacing w:before="0" w:after="0"/>
              <w:ind w:left="0" w:right="0" w:hanging="0"/>
              <w:jc w:val="left"/>
              <w:rPr/>
            </w:pPr>
            <w:r>
              <w:rPr/>
              <w:t> </w:t>
            </w:r>
          </w:p>
        </w:tc>
      </w:tr>
      <w:tr>
        <w:trPr/>
        <w:tc>
          <w:tcPr>
            <w:tcW w:w="555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1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Jeffrey M. Libert</w:t>
            </w:r>
          </w:p>
        </w:tc>
      </w:tr>
      <w:tr>
        <w:trPr/>
        <w:tc>
          <w:tcPr>
            <w:tcW w:w="555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6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M. Libert</w:t>
            </w:r>
          </w:p>
        </w:tc>
      </w:tr>
      <w:tr>
        <w:trPr/>
        <w:tc>
          <w:tcPr>
            <w:tcW w:w="5554"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Title:</w:t>
            </w:r>
          </w:p>
        </w:tc>
        <w:tc>
          <w:tcPr>
            <w:tcW w:w="36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7" w:name="PGBRK10"/>
      <w:bookmarkStart w:id="128" w:name="PGBRK1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9" w:name="FTR10"/>
      <w:bookmarkStart w:id="130" w:name="FTR10"/>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31" w:name="GLFTR10"/>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 w:name="PN10"/>
      <w:bookmarkEnd w:id="132"/>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3" w:name="HDR10"/>
      <w:bookmarkStart w:id="134" w:name="HDR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35" w:name="GLHDR10"/>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Schedule 5.2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mallCaps/>
          <w:sz w:val="20"/>
        </w:rPr>
      </w:pPr>
      <w:r>
        <w:rPr>
          <w:rFonts w:ascii="Times New Roman" w:hAnsi="Times New Roman"/>
          <w:b/>
          <w:smallCaps/>
          <w:sz w:val="20"/>
        </w:rPr>
        <w:t>Subsidiaries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443"/>
        <w:gridCol w:w="2424"/>
        <w:gridCol w:w="1787"/>
        <w:gridCol w:w="2551"/>
      </w:tblGrid>
      <w:tr>
        <w:trPr/>
        <w:tc>
          <w:tcPr>
            <w:tcW w:w="3443"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Name</w:t>
            </w:r>
          </w:p>
        </w:tc>
        <w:tc>
          <w:tcPr>
            <w:tcW w:w="2424"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Jurisdiction of</w:t>
            </w:r>
          </w:p>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Organization</w:t>
            </w:r>
          </w:p>
        </w:tc>
        <w:tc>
          <w:tcPr>
            <w:tcW w:w="1787"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Percentage</w:t>
            </w:r>
          </w:p>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Ownership</w:t>
            </w:r>
          </w:p>
        </w:tc>
        <w:tc>
          <w:tcPr>
            <w:tcW w:w="2551" w:type="dxa"/>
            <w:tcBorders/>
            <w:shd w:fill="auto" w:val="clear"/>
            <w:vAlign w:val="bottom"/>
          </w:tcPr>
          <w:p>
            <w:pPr>
              <w:pStyle w:val="TableContents"/>
              <w:spacing w:before="0" w:after="0"/>
              <w:ind w:left="0" w:right="0" w:hanging="0"/>
              <w:jc w:val="center"/>
              <w:rPr>
                <w:rFonts w:ascii="times new roman" w:hAnsi="times new roman"/>
                <w:smallCaps/>
                <w:sz w:val="20"/>
              </w:rPr>
            </w:pPr>
            <w:r>
              <w:rPr>
                <w:rFonts w:ascii="times new roman" w:hAnsi="times new roman"/>
                <w:smallCaps/>
                <w:sz w:val="20"/>
              </w:rPr>
              <w:t>Type</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Georgia</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Georgia</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Significant</w:t>
            </w:r>
          </w:p>
        </w:tc>
      </w:tr>
      <w:tr>
        <w:trPr/>
        <w:tc>
          <w:tcPr>
            <w:tcW w:w="34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Production Company</w:t>
            </w:r>
          </w:p>
        </w:tc>
        <w:tc>
          <w:tcPr>
            <w:tcW w:w="242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Mississippi</w:t>
            </w:r>
          </w:p>
        </w:tc>
        <w:tc>
          <w:tcPr>
            <w:tcW w:w="17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Significant</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Mounds Management, Inc. (formerly known as Oil-Dri Transportation Co.)</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Delaware</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(U.K.) Limited</w:t>
            </w:r>
          </w:p>
        </w:tc>
        <w:tc>
          <w:tcPr>
            <w:tcW w:w="242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United Kingdom</w:t>
            </w:r>
          </w:p>
        </w:tc>
        <w:tc>
          <w:tcPr>
            <w:tcW w:w="17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Nevada</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Nevada</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ODC Acquisition Corp.</w:t>
            </w:r>
          </w:p>
        </w:tc>
        <w:tc>
          <w:tcPr>
            <w:tcW w:w="242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Illinois</w:t>
            </w:r>
          </w:p>
        </w:tc>
        <w:tc>
          <w:tcPr>
            <w:tcW w:w="17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 Inactive</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SARL</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Switzerland</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Canada ULC</w:t>
            </w:r>
          </w:p>
        </w:tc>
        <w:tc>
          <w:tcPr>
            <w:tcW w:w="242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Canada</w:t>
            </w:r>
          </w:p>
        </w:tc>
        <w:tc>
          <w:tcPr>
            <w:tcW w:w="17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p>
            <w:pPr>
              <w:pStyle w:val="TableContents"/>
              <w:spacing w:before="0" w:after="0"/>
              <w:ind w:left="0" w:right="0" w:hanging="0"/>
              <w:jc w:val="left"/>
              <w:rPr>
                <w:rFonts w:ascii="times new roman" w:hAnsi="times new roman"/>
                <w:sz w:val="20"/>
              </w:rPr>
            </w:pPr>
            <w:r>
              <w:rPr>
                <w:rFonts w:ascii="times new roman" w:hAnsi="times new roman"/>
                <w:sz w:val="20"/>
              </w:rPr>
              <w:t>(by Oil-Dri SARL)</w:t>
            </w:r>
          </w:p>
        </w:tc>
        <w:tc>
          <w:tcPr>
            <w:tcW w:w="255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Blue Mountain Production Company</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Mississippi</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p>
            <w:pPr>
              <w:pStyle w:val="TableContents"/>
              <w:spacing w:before="0" w:after="0"/>
              <w:ind w:left="0" w:right="0" w:hanging="0"/>
              <w:jc w:val="left"/>
              <w:rPr>
                <w:rFonts w:ascii="times new roman" w:hAnsi="times new roman"/>
                <w:sz w:val="20"/>
              </w:rPr>
            </w:pPr>
            <w:r>
              <w:rPr>
                <w:rFonts w:ascii="times new roman" w:hAnsi="times new roman"/>
                <w:sz w:val="20"/>
              </w:rPr>
              <w:t>(by Oil-Dri Canada ULC)</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Mounds Production Company, LLC</w:t>
            </w:r>
          </w:p>
        </w:tc>
        <w:tc>
          <w:tcPr>
            <w:tcW w:w="242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Illinois</w:t>
            </w:r>
          </w:p>
        </w:tc>
        <w:tc>
          <w:tcPr>
            <w:tcW w:w="17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75% </w:t>
            </w:r>
            <w:r>
              <w:rPr>
                <w:rFonts w:ascii="times new roman" w:hAnsi="times new roman"/>
                <w:smallCaps/>
                <w:sz w:val="20"/>
              </w:rPr>
              <w:t>(</w:t>
            </w:r>
            <w:r>
              <w:rPr>
                <w:rFonts w:ascii="times new roman" w:hAnsi="times new roman"/>
                <w:sz w:val="20"/>
              </w:rPr>
              <w:t>by Mounds Management, Inc.) and 25% (by Blue Mountain Production Company)</w:t>
            </w:r>
          </w:p>
        </w:tc>
        <w:tc>
          <w:tcPr>
            <w:tcW w:w="255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r>
        <w:trPr/>
        <w:tc>
          <w:tcPr>
            <w:tcW w:w="3443"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Taft Production Company</w:t>
            </w:r>
          </w:p>
        </w:tc>
        <w:tc>
          <w:tcPr>
            <w:tcW w:w="2424" w:type="dxa"/>
            <w:tcBorders/>
            <w:shd w:fill="CCFFCC"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Delaware</w:t>
            </w:r>
          </w:p>
        </w:tc>
        <w:tc>
          <w:tcPr>
            <w:tcW w:w="1787"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100%</w:t>
            </w:r>
          </w:p>
        </w:tc>
        <w:tc>
          <w:tcPr>
            <w:tcW w:w="2551" w:type="dxa"/>
            <w:tcBorders/>
            <w:shd w:fill="CCFFCC" w:val="clear"/>
          </w:tcPr>
          <w:p>
            <w:pPr>
              <w:pStyle w:val="TableContents"/>
              <w:spacing w:before="0" w:after="0"/>
              <w:ind w:left="0" w:right="0" w:hanging="0"/>
              <w:jc w:val="left"/>
              <w:rPr>
                <w:rFonts w:ascii="times new roman" w:hAnsi="times new roman"/>
                <w:sz w:val="20"/>
              </w:rPr>
            </w:pPr>
            <w:r>
              <w:rPr>
                <w:rFonts w:ascii="times new roman" w:hAnsi="times new roman"/>
                <w:sz w:val="20"/>
              </w:rPr>
              <w:t>Insignificant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1"/>
      <w:bookmarkStart w:id="137" w:name="PGBRK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1"/>
      <w:bookmarkStart w:id="139" w:name="FTR11"/>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11"/>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1" w:name="PN11"/>
      <w:bookmarkEnd w:id="14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1"/>
      <w:bookmarkStart w:id="143" w:name="HDR11"/>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 w:name="GLHDR11"/>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3109</Words>
  <CharactersWithSpaces>20054</CharactersWithSpaces>
  <Paragraphs>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