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140"/>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5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11, 2021, Oil-Dri Corporation of America (the “Registrant”) issued a press release announcing its results of operations for its second quarter ended January 31, 2021.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9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0"/>
                <w:szCs w:val="20"/>
                <w:color w:val="auto"/>
              </w:rPr>
            </w:pPr>
          </w:p>
        </w:tc>
        <w:tc>
          <w:tcPr>
            <w:tcW w:w="954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0"/>
                <w:szCs w:val="20"/>
                <w:color w:val="auto"/>
              </w:rPr>
            </w:pPr>
          </w:p>
        </w:tc>
      </w:tr>
      <w:tr>
        <w:trPr>
          <w:trHeight w:val="453"/>
        </w:trPr>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95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of the Registrant dated March 11, 2021</w:t>
              </w:r>
            </w:hyperlink>
          </w:p>
        </w:tc>
      </w:tr>
      <w:tr>
        <w:trPr>
          <w:trHeight w:val="1222"/>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Scheland</w:t>
            </w:r>
          </w:p>
        </w:tc>
      </w:tr>
      <w:tr>
        <w:trPr>
          <w:trHeight w:val="222"/>
        </w:trPr>
        <w:tc>
          <w:tcPr>
            <w:tcW w:w="6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Laura G. Scheland</w:t>
            </w:r>
          </w:p>
        </w:tc>
      </w:tr>
      <w:tr>
        <w:trPr>
          <w:trHeight w:val="230"/>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Vice President and General Counsel</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2021</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Record Sales for the Second Quarter and First Six-Months of Fiscal 2021</w:t>
      </w:r>
    </w:p>
    <w:p>
      <w:pPr>
        <w:spacing w:after="0" w:line="229" w:lineRule="exact"/>
        <w:rPr>
          <w:sz w:val="20"/>
          <w:szCs w:val="20"/>
          <w:color w:val="auto"/>
        </w:rPr>
      </w:pPr>
    </w:p>
    <w:p>
      <w:pPr>
        <w:ind w:right="680"/>
        <w:spacing w:after="0" w:line="287" w:lineRule="auto"/>
        <w:rPr>
          <w:sz w:val="20"/>
          <w:szCs w:val="20"/>
          <w:color w:val="auto"/>
        </w:rPr>
      </w:pPr>
      <w:r>
        <w:rPr>
          <w:rFonts w:ascii="Arial" w:cs="Arial" w:eastAsia="Arial" w:hAnsi="Arial"/>
          <w:sz w:val="21"/>
          <w:szCs w:val="21"/>
          <w:color w:val="auto"/>
        </w:rPr>
        <w:t>CHICAGO-(March 11, 2021) - Oil-Dri Corporation of America (NYSE: ODC), producer and marketer of sorbent mineral products, today announced results for its second quarter and first six-months of fiscal year 2021.</w:t>
      </w:r>
    </w:p>
    <w:p>
      <w:pPr>
        <w:spacing w:after="0" w:line="60" w:lineRule="exact"/>
        <w:rPr>
          <w:sz w:val="20"/>
          <w:szCs w:val="20"/>
          <w:color w:val="auto"/>
        </w:rPr>
      </w:pPr>
    </w:p>
    <w:p>
      <w:pPr>
        <w:ind w:left="4960"/>
        <w:spacing w:after="0"/>
        <w:tabs>
          <w:tab w:leader="none" w:pos="8660" w:val="left"/>
        </w:tabs>
        <w:rPr>
          <w:sz w:val="20"/>
          <w:szCs w:val="20"/>
          <w:color w:val="auto"/>
        </w:rPr>
      </w:pPr>
      <w:r>
        <w:rPr>
          <w:rFonts w:ascii="Arial" w:cs="Arial" w:eastAsia="Arial" w:hAnsi="Arial"/>
          <w:sz w:val="18"/>
          <w:szCs w:val="18"/>
          <w:b w:val="1"/>
          <w:bCs w:val="1"/>
          <w:color w:val="auto"/>
        </w:rPr>
        <w:t>Second Quarter</w:t>
      </w:r>
      <w:r>
        <w:rPr>
          <w:sz w:val="20"/>
          <w:szCs w:val="20"/>
          <w:color w:val="auto"/>
        </w:rPr>
        <w:tab/>
      </w:r>
      <w:r>
        <w:rPr>
          <w:rFonts w:ascii="Arial" w:cs="Arial" w:eastAsia="Arial" w:hAnsi="Arial"/>
          <w:sz w:val="16"/>
          <w:szCs w:val="16"/>
          <w:b w:val="1"/>
          <w:bCs w:val="1"/>
          <w:color w:val="auto"/>
        </w:rPr>
        <w:t>Year to Date</w:t>
      </w:r>
    </w:p>
    <w:p>
      <w:pPr>
        <w:spacing w:after="0" w:line="27" w:lineRule="exact"/>
        <w:rPr>
          <w:sz w:val="20"/>
          <w:szCs w:val="20"/>
          <w:color w:val="auto"/>
        </w:rPr>
      </w:pPr>
    </w:p>
    <w:p>
      <w:pPr>
        <w:ind w:left="5040"/>
        <w:spacing w:after="0"/>
        <w:tabs>
          <w:tab w:leader="none" w:pos="8620" w:val="left"/>
        </w:tabs>
        <w:rPr>
          <w:sz w:val="20"/>
          <w:szCs w:val="20"/>
          <w:color w:val="auto"/>
        </w:rPr>
      </w:pPr>
      <w:r>
        <w:rPr>
          <w:rFonts w:ascii="Arial" w:cs="Arial" w:eastAsia="Arial" w:hAnsi="Arial"/>
          <w:sz w:val="14"/>
          <w:szCs w:val="14"/>
          <w:i w:val="1"/>
          <w:iCs w:val="1"/>
          <w:color w:val="auto"/>
        </w:rPr>
        <w:t>Ended January 31</w:t>
      </w:r>
      <w:r>
        <w:rPr>
          <w:sz w:val="20"/>
          <w:szCs w:val="20"/>
          <w:color w:val="auto"/>
        </w:rPr>
        <w:tab/>
      </w:r>
      <w:r>
        <w:rPr>
          <w:rFonts w:ascii="Arial" w:cs="Arial" w:eastAsia="Arial" w:hAnsi="Arial"/>
          <w:sz w:val="12"/>
          <w:szCs w:val="12"/>
          <w:i w:val="1"/>
          <w:iCs w:val="1"/>
          <w:color w:val="auto"/>
        </w:rPr>
        <w:t>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05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4605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89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Sales</w:t>
      </w:r>
    </w:p>
    <w:p>
      <w:pPr>
        <w:spacing w:after="0" w:line="32" w:lineRule="exact"/>
        <w:rPr>
          <w:sz w:val="20"/>
          <w:szCs w:val="20"/>
          <w:color w:val="auto"/>
        </w:rPr>
      </w:pPr>
    </w:p>
    <w:p>
      <w:pPr>
        <w:ind w:left="40" w:right="1160"/>
        <w:spacing w:after="0" w:line="318" w:lineRule="auto"/>
        <w:rPr>
          <w:sz w:val="20"/>
          <w:szCs w:val="20"/>
          <w:color w:val="auto"/>
        </w:rPr>
      </w:pPr>
      <w:r>
        <w:rPr>
          <w:rFonts w:ascii="Arial" w:cs="Arial" w:eastAsia="Arial" w:hAnsi="Arial"/>
          <w:sz w:val="14"/>
          <w:szCs w:val="14"/>
          <w:color w:val="auto"/>
        </w:rPr>
        <w:t>Net Income Attributable to Oil-Dri Earnings per Common Diluted 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ind w:left="80"/>
              <w:spacing w:after="0"/>
              <w:rPr>
                <w:sz w:val="20"/>
                <w:szCs w:val="20"/>
                <w:color w:val="auto"/>
              </w:rPr>
            </w:pPr>
            <w:r>
              <w:rPr>
                <w:rFonts w:ascii="Arial" w:cs="Arial" w:eastAsia="Arial" w:hAnsi="Arial"/>
                <w:sz w:val="16"/>
                <w:szCs w:val="16"/>
                <w:b w:val="1"/>
                <w:bCs w:val="1"/>
                <w:color w:val="auto"/>
                <w:w w:val="85"/>
              </w:rPr>
              <w:t>Change</w:t>
            </w:r>
          </w:p>
        </w:tc>
      </w:tr>
      <w:tr>
        <w:trPr>
          <w:trHeight w:val="445"/>
        </w:trPr>
        <w:tc>
          <w:tcPr>
            <w:tcW w:w="960" w:type="dxa"/>
            <w:vAlign w:val="bottom"/>
          </w:tcPr>
          <w:p>
            <w:pPr>
              <w:jc w:val="right"/>
              <w:ind w:right="59"/>
              <w:spacing w:after="0"/>
              <w:rPr>
                <w:sz w:val="20"/>
                <w:szCs w:val="20"/>
                <w:color w:val="auto"/>
              </w:rPr>
            </w:pPr>
            <w:r>
              <w:rPr>
                <w:rFonts w:ascii="Arial" w:cs="Arial" w:eastAsia="Arial" w:hAnsi="Arial"/>
                <w:sz w:val="16"/>
                <w:szCs w:val="16"/>
                <w:color w:val="auto"/>
                <w:w w:val="89"/>
              </w:rPr>
              <w:t>$74,500,000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$71,005,000</w:t>
            </w:r>
          </w:p>
        </w:tc>
        <w:tc>
          <w:tcPr>
            <w:tcW w:w="600" w:type="dxa"/>
            <w:vAlign w:val="bottom"/>
          </w:tcPr>
          <w:p>
            <w:pPr>
              <w:jc w:val="center"/>
              <w:ind w:left="19"/>
              <w:spacing w:after="0"/>
              <w:rPr>
                <w:sz w:val="20"/>
                <w:szCs w:val="20"/>
                <w:color w:val="auto"/>
              </w:rPr>
            </w:pPr>
            <w:r>
              <w:rPr>
                <w:rFonts w:ascii="Arial" w:cs="Arial" w:eastAsia="Arial" w:hAnsi="Arial"/>
                <w:sz w:val="16"/>
                <w:szCs w:val="16"/>
                <w:color w:val="auto"/>
                <w:w w:val="94"/>
              </w:rPr>
              <w:t>5%</w:t>
            </w:r>
          </w:p>
        </w:tc>
      </w:tr>
      <w:tr>
        <w:trPr>
          <w:trHeight w:val="216"/>
        </w:trPr>
        <w:tc>
          <w:tcPr>
            <w:tcW w:w="960" w:type="dxa"/>
            <w:vAlign w:val="bottom"/>
          </w:tcPr>
          <w:p>
            <w:pPr>
              <w:jc w:val="right"/>
              <w:ind w:right="59"/>
              <w:spacing w:after="0"/>
              <w:rPr>
                <w:sz w:val="20"/>
                <w:szCs w:val="20"/>
                <w:color w:val="auto"/>
              </w:rPr>
            </w:pPr>
            <w:r>
              <w:rPr>
                <w:rFonts w:ascii="Arial" w:cs="Arial" w:eastAsia="Arial" w:hAnsi="Arial"/>
                <w:sz w:val="16"/>
                <w:szCs w:val="16"/>
                <w:color w:val="auto"/>
                <w:w w:val="99"/>
              </w:rPr>
              <w:t>$4,299,000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$4,830,000</w:t>
            </w: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(11)%</w:t>
            </w:r>
          </w:p>
        </w:tc>
      </w:tr>
      <w:tr>
        <w:trPr>
          <w:trHeight w:val="216"/>
        </w:trPr>
        <w:tc>
          <w:tcPr>
            <w:tcW w:w="960" w:type="dxa"/>
            <w:vAlign w:val="bottom"/>
          </w:tcPr>
          <w:p>
            <w:pPr>
              <w:jc w:val="right"/>
              <w:ind w:right="59"/>
              <w:spacing w:after="0"/>
              <w:rPr>
                <w:sz w:val="20"/>
                <w:szCs w:val="20"/>
                <w:color w:val="auto"/>
              </w:rPr>
            </w:pPr>
            <w:r>
              <w:rPr>
                <w:rFonts w:ascii="Arial" w:cs="Arial" w:eastAsia="Arial" w:hAnsi="Arial"/>
                <w:sz w:val="16"/>
                <w:szCs w:val="16"/>
                <w:color w:val="auto"/>
              </w:rPr>
              <w:t>$0.61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600" w:type="dxa"/>
            <w:vAlign w:val="bottom"/>
          </w:tcPr>
          <w:p>
            <w:pPr>
              <w:jc w:val="center"/>
              <w:spacing w:after="0"/>
              <w:rPr>
                <w:sz w:val="20"/>
                <w:szCs w:val="20"/>
                <w:color w:val="auto"/>
              </w:rPr>
            </w:pPr>
            <w:r>
              <w:rPr>
                <w:rFonts w:ascii="Arial" w:cs="Arial" w:eastAsia="Arial" w:hAnsi="Arial"/>
                <w:sz w:val="16"/>
                <w:szCs w:val="16"/>
                <w:color w:val="auto"/>
                <w:w w:val="94"/>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-553085</wp:posOffset>
            </wp:positionV>
            <wp:extent cx="7140575" cy="556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56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jc w:val="right"/>
              <w:ind w:right="859"/>
              <w:spacing w:after="0"/>
              <w:rPr>
                <w:sz w:val="20"/>
                <w:szCs w:val="20"/>
                <w:color w:val="auto"/>
              </w:rPr>
            </w:pPr>
            <w:r>
              <w:rPr>
                <w:rFonts w:ascii="Arial" w:cs="Arial" w:eastAsia="Arial" w:hAnsi="Arial"/>
                <w:sz w:val="16"/>
                <w:szCs w:val="16"/>
                <w:b w:val="1"/>
                <w:bCs w:val="1"/>
                <w:color w:val="auto"/>
                <w:w w:val="84"/>
              </w:rPr>
              <w:t>2021</w:t>
            </w: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ind w:left="120"/>
              <w:spacing w:after="0"/>
              <w:rPr>
                <w:sz w:val="20"/>
                <w:szCs w:val="20"/>
                <w:color w:val="auto"/>
              </w:rPr>
            </w:pPr>
            <w:r>
              <w:rPr>
                <w:rFonts w:ascii="Arial" w:cs="Arial" w:eastAsia="Arial" w:hAnsi="Arial"/>
                <w:sz w:val="16"/>
                <w:szCs w:val="16"/>
                <w:b w:val="1"/>
                <w:bCs w:val="1"/>
                <w:color w:val="auto"/>
                <w:w w:val="88"/>
              </w:rPr>
              <w:t>Change</w:t>
            </w:r>
          </w:p>
        </w:tc>
      </w:tr>
      <w:tr>
        <w:trPr>
          <w:trHeight w:val="445"/>
        </w:trPr>
        <w:tc>
          <w:tcPr>
            <w:tcW w:w="1260" w:type="dxa"/>
            <w:vAlign w:val="bottom"/>
          </w:tcPr>
          <w:p>
            <w:pPr>
              <w:jc w:val="right"/>
              <w:ind w:right="239"/>
              <w:spacing w:after="0"/>
              <w:rPr>
                <w:sz w:val="20"/>
                <w:szCs w:val="20"/>
                <w:color w:val="auto"/>
              </w:rPr>
            </w:pPr>
            <w:r>
              <w:rPr>
                <w:rFonts w:ascii="Arial" w:cs="Arial" w:eastAsia="Arial" w:hAnsi="Arial"/>
                <w:sz w:val="16"/>
                <w:szCs w:val="16"/>
                <w:color w:val="auto"/>
                <w:w w:val="93"/>
              </w:rPr>
              <w:t>$150,597,000</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$142,127,000</w:t>
            </w:r>
          </w:p>
        </w:tc>
        <w:tc>
          <w:tcPr>
            <w:tcW w:w="660" w:type="dxa"/>
            <w:vAlign w:val="bottom"/>
          </w:tcPr>
          <w:p>
            <w:pPr>
              <w:jc w:val="center"/>
              <w:ind w:left="39"/>
              <w:spacing w:after="0"/>
              <w:rPr>
                <w:sz w:val="20"/>
                <w:szCs w:val="20"/>
                <w:color w:val="auto"/>
              </w:rPr>
            </w:pPr>
            <w:r>
              <w:rPr>
                <w:rFonts w:ascii="Arial" w:cs="Arial" w:eastAsia="Arial" w:hAnsi="Arial"/>
                <w:sz w:val="16"/>
                <w:szCs w:val="16"/>
                <w:color w:val="auto"/>
                <w:w w:val="94"/>
              </w:rPr>
              <w:t>6%</w:t>
            </w:r>
          </w:p>
        </w:tc>
      </w:tr>
      <w:tr>
        <w:trPr>
          <w:trHeight w:val="216"/>
        </w:trPr>
        <w:tc>
          <w:tcPr>
            <w:tcW w:w="1260" w:type="dxa"/>
            <w:vAlign w:val="bottom"/>
          </w:tcPr>
          <w:p>
            <w:pPr>
              <w:jc w:val="right"/>
              <w:ind w:right="239"/>
              <w:spacing w:after="0"/>
              <w:rPr>
                <w:sz w:val="20"/>
                <w:szCs w:val="20"/>
                <w:color w:val="auto"/>
              </w:rPr>
            </w:pPr>
            <w:r>
              <w:rPr>
                <w:rFonts w:ascii="Arial" w:cs="Arial" w:eastAsia="Arial" w:hAnsi="Arial"/>
                <w:sz w:val="16"/>
                <w:szCs w:val="16"/>
                <w:color w:val="auto"/>
              </w:rPr>
              <w:t>$8,283,000</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$8,366,000</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4"/>
              </w:rPr>
              <w:t>(1)%</w:t>
            </w:r>
          </w:p>
        </w:tc>
      </w:tr>
      <w:tr>
        <w:trPr>
          <w:trHeight w:val="216"/>
        </w:trPr>
        <w:tc>
          <w:tcPr>
            <w:tcW w:w="1260" w:type="dxa"/>
            <w:vAlign w:val="bottom"/>
          </w:tcPr>
          <w:p>
            <w:pPr>
              <w:jc w:val="right"/>
              <w:ind w:right="239"/>
              <w:spacing w:after="0"/>
              <w:rPr>
                <w:sz w:val="20"/>
                <w:szCs w:val="20"/>
                <w:color w:val="auto"/>
              </w:rPr>
            </w:pPr>
            <w:r>
              <w:rPr>
                <w:rFonts w:ascii="Arial" w:cs="Arial" w:eastAsia="Arial" w:hAnsi="Arial"/>
                <w:sz w:val="16"/>
                <w:szCs w:val="16"/>
                <w:color w:val="auto"/>
              </w:rPr>
              <w:t>$1.17</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660" w:type="dxa"/>
            <w:vAlign w:val="bottom"/>
          </w:tcPr>
          <w:p>
            <w:pPr>
              <w:jc w:val="center"/>
              <w:ind w:left="39"/>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-407035</wp:posOffset>
            </wp:positionV>
            <wp:extent cx="825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3">
            <w:col w:w="3600" w:space="720"/>
            <w:col w:w="2700" w:space="720"/>
            <w:col w:w="3500"/>
          </w:cols>
          <w:pgMar w:left="320" w:top="1274" w:right="339" w:bottom="1440" w:gutter="0" w:footer="0" w:header="0"/>
          <w:type w:val="continuous"/>
        </w:sectPr>
      </w:pPr>
    </w:p>
    <w:p>
      <w:pPr>
        <w:ind w:left="40"/>
        <w:spacing w:after="0"/>
        <w:rPr>
          <w:sz w:val="20"/>
          <w:szCs w:val="20"/>
          <w:color w:val="auto"/>
        </w:rPr>
      </w:pPr>
      <w:r>
        <w:rPr>
          <w:rFonts w:ascii="Arial" w:cs="Arial" w:eastAsia="Arial" w:hAnsi="Arial"/>
          <w:sz w:val="18"/>
          <w:szCs w:val="18"/>
          <w:color w:val="FFFFFF"/>
        </w:rPr>
        <w:t>Business to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89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Sales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Segment Operating Income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Retail and Wholesale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Sales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Segment Operating Income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tabs>
          <w:tab w:leader="none" w:pos="1080" w:val="left"/>
          <w:tab w:leader="none" w:pos="2220" w:val="left"/>
        </w:tabs>
        <w:rPr>
          <w:sz w:val="20"/>
          <w:szCs w:val="20"/>
          <w:color w:val="auto"/>
        </w:rPr>
      </w:pPr>
      <w:r>
        <w:rPr>
          <w:rFonts w:ascii="Arial" w:cs="Arial" w:eastAsia="Arial" w:hAnsi="Arial"/>
          <w:sz w:val="16"/>
          <w:szCs w:val="16"/>
          <w:color w:val="auto"/>
        </w:rPr>
        <w:t>$26,283,000</w:t>
      </w:r>
      <w:r>
        <w:rPr>
          <w:sz w:val="20"/>
          <w:szCs w:val="20"/>
          <w:color w:val="auto"/>
        </w:rPr>
        <w:tab/>
      </w:r>
      <w:r>
        <w:rPr>
          <w:rFonts w:ascii="Arial" w:cs="Arial" w:eastAsia="Arial" w:hAnsi="Arial"/>
          <w:sz w:val="16"/>
          <w:szCs w:val="16"/>
          <w:color w:val="auto"/>
        </w:rPr>
        <w:t>$24,471,000</w:t>
      </w:r>
      <w:r>
        <w:rPr>
          <w:sz w:val="20"/>
          <w:szCs w:val="20"/>
          <w:color w:val="auto"/>
        </w:rPr>
        <w:tab/>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-264160</wp:posOffset>
            </wp:positionV>
            <wp:extent cx="714057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420370"/>
                    </a:xfrm>
                    <a:prstGeom prst="rect">
                      <a:avLst/>
                    </a:prstGeom>
                    <a:noFill/>
                  </pic:spPr>
                </pic:pic>
              </a:graphicData>
            </a:graphic>
          </wp:anchor>
        </w:drawing>
      </w:r>
    </w:p>
    <w:p>
      <w:pPr>
        <w:spacing w:after="0" w:line="12" w:lineRule="exact"/>
        <w:rPr>
          <w:sz w:val="20"/>
          <w:szCs w:val="20"/>
          <w:color w:val="auto"/>
        </w:rPr>
      </w:pPr>
    </w:p>
    <w:p>
      <w:pPr>
        <w:ind w:left="80"/>
        <w:spacing w:after="0"/>
        <w:tabs>
          <w:tab w:leader="none" w:pos="1160" w:val="left"/>
          <w:tab w:leader="none" w:pos="2220" w:val="left"/>
        </w:tabs>
        <w:rPr>
          <w:sz w:val="20"/>
          <w:szCs w:val="20"/>
          <w:color w:val="auto"/>
        </w:rPr>
      </w:pPr>
      <w:r>
        <w:rPr>
          <w:rFonts w:ascii="Arial" w:cs="Arial" w:eastAsia="Arial" w:hAnsi="Arial"/>
          <w:sz w:val="16"/>
          <w:szCs w:val="16"/>
          <w:color w:val="auto"/>
        </w:rPr>
        <w:t>$7,663,000</w:t>
      </w:r>
      <w:r>
        <w:rPr>
          <w:sz w:val="20"/>
          <w:szCs w:val="20"/>
          <w:color w:val="auto"/>
        </w:rPr>
        <w:tab/>
      </w:r>
      <w:r>
        <w:rPr>
          <w:rFonts w:ascii="Arial" w:cs="Arial" w:eastAsia="Arial" w:hAnsi="Arial"/>
          <w:sz w:val="16"/>
          <w:szCs w:val="16"/>
          <w:color w:val="auto"/>
        </w:rPr>
        <w:t>$7,552,000</w:t>
      </w:r>
      <w:r>
        <w:rPr>
          <w:sz w:val="20"/>
          <w:szCs w:val="20"/>
          <w:color w:val="auto"/>
        </w:rPr>
        <w:tab/>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17780</wp:posOffset>
            </wp:positionV>
            <wp:extent cx="714057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428625"/>
                    </a:xfrm>
                    <a:prstGeom prst="rect">
                      <a:avLst/>
                    </a:prstGeom>
                    <a:noFill/>
                  </pic:spPr>
                </pic:pic>
              </a:graphicData>
            </a:graphic>
          </wp:anchor>
        </w:drawing>
      </w:r>
    </w:p>
    <w:p>
      <w:pPr>
        <w:spacing w:after="0" w:line="242" w:lineRule="exact"/>
        <w:rPr>
          <w:sz w:val="20"/>
          <w:szCs w:val="20"/>
          <w:color w:val="auto"/>
        </w:rPr>
      </w:pPr>
    </w:p>
    <w:p>
      <w:pPr>
        <w:spacing w:after="0"/>
        <w:tabs>
          <w:tab w:leader="none" w:pos="1080" w:val="left"/>
          <w:tab w:leader="none" w:pos="2220" w:val="left"/>
        </w:tabs>
        <w:rPr>
          <w:sz w:val="20"/>
          <w:szCs w:val="20"/>
          <w:color w:val="auto"/>
        </w:rPr>
      </w:pPr>
      <w:r>
        <w:rPr>
          <w:rFonts w:ascii="Arial" w:cs="Arial" w:eastAsia="Arial" w:hAnsi="Arial"/>
          <w:sz w:val="16"/>
          <w:szCs w:val="16"/>
          <w:color w:val="auto"/>
        </w:rPr>
        <w:t>$48,217,000</w:t>
      </w:r>
      <w:r>
        <w:rPr>
          <w:sz w:val="20"/>
          <w:szCs w:val="20"/>
          <w:color w:val="auto"/>
        </w:rPr>
        <w:tab/>
      </w:r>
      <w:r>
        <w:rPr>
          <w:rFonts w:ascii="Arial" w:cs="Arial" w:eastAsia="Arial" w:hAnsi="Arial"/>
          <w:sz w:val="16"/>
          <w:szCs w:val="16"/>
          <w:color w:val="auto"/>
        </w:rPr>
        <w:t>$46,534,000</w:t>
      </w:r>
      <w:r>
        <w:rPr>
          <w:sz w:val="20"/>
          <w:szCs w:val="20"/>
          <w:color w:val="auto"/>
        </w:rPr>
        <w:tab/>
      </w:r>
      <w:r>
        <w:rPr>
          <w:rFonts w:ascii="Arial" w:cs="Arial" w:eastAsia="Arial" w:hAnsi="Arial"/>
          <w:sz w:val="15"/>
          <w:szCs w:val="15"/>
          <w:color w:val="auto"/>
        </w:rPr>
        <w:t>4%</w:t>
      </w:r>
    </w:p>
    <w:p>
      <w:pPr>
        <w:spacing w:after="0" w:line="32" w:lineRule="exact"/>
        <w:rPr>
          <w:sz w:val="20"/>
          <w:szCs w:val="20"/>
          <w:color w:val="auto"/>
        </w:rPr>
      </w:pPr>
    </w:p>
    <w:p>
      <w:pPr>
        <w:ind w:left="100"/>
        <w:spacing w:after="0"/>
        <w:tabs>
          <w:tab w:leader="none" w:pos="1160" w:val="left"/>
          <w:tab w:leader="none" w:pos="2120" w:val="left"/>
        </w:tabs>
        <w:rPr>
          <w:sz w:val="20"/>
          <w:szCs w:val="20"/>
          <w:color w:val="auto"/>
        </w:rPr>
      </w:pPr>
      <w:r>
        <w:rPr>
          <w:rFonts w:ascii="Arial" w:cs="Arial" w:eastAsia="Arial" w:hAnsi="Arial"/>
          <w:sz w:val="16"/>
          <w:szCs w:val="16"/>
          <w:color w:val="auto"/>
        </w:rPr>
        <w:t>$4,111,000</w:t>
      </w:r>
      <w:r>
        <w:rPr>
          <w:sz w:val="20"/>
          <w:szCs w:val="20"/>
          <w:color w:val="auto"/>
        </w:rPr>
        <w:tab/>
      </w:r>
      <w:r>
        <w:rPr>
          <w:rFonts w:ascii="Arial" w:cs="Arial" w:eastAsia="Arial" w:hAnsi="Arial"/>
          <w:sz w:val="16"/>
          <w:szCs w:val="16"/>
          <w:color w:val="auto"/>
        </w:rPr>
        <w:t>$5,608,000</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00" w:type="dxa"/>
            <w:vAlign w:val="bottom"/>
          </w:tcPr>
          <w:p>
            <w:pPr>
              <w:jc w:val="right"/>
              <w:ind w:right="299"/>
              <w:spacing w:after="0"/>
              <w:rPr>
                <w:sz w:val="20"/>
                <w:szCs w:val="20"/>
                <w:color w:val="auto"/>
              </w:rPr>
            </w:pPr>
            <w:r>
              <w:rPr>
                <w:rFonts w:ascii="Arial" w:cs="Arial" w:eastAsia="Arial" w:hAnsi="Arial"/>
                <w:sz w:val="16"/>
                <w:szCs w:val="16"/>
                <w:color w:val="auto"/>
                <w:w w:val="89"/>
              </w:rPr>
              <w:t>$53,805,000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$50,949,000</w:t>
            </w: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1200" w:type="dxa"/>
            <w:vAlign w:val="bottom"/>
          </w:tcPr>
          <w:p>
            <w:pPr>
              <w:jc w:val="right"/>
              <w:ind w:right="299"/>
              <w:spacing w:after="0"/>
              <w:rPr>
                <w:sz w:val="20"/>
                <w:szCs w:val="20"/>
                <w:color w:val="auto"/>
              </w:rPr>
            </w:pPr>
            <w:r>
              <w:rPr>
                <w:rFonts w:ascii="Arial" w:cs="Arial" w:eastAsia="Arial" w:hAnsi="Arial"/>
                <w:sz w:val="16"/>
                <w:szCs w:val="16"/>
                <w:color w:val="auto"/>
                <w:w w:val="89"/>
              </w:rPr>
              <w:t>$15,859,000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$15,848,000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45"/>
        </w:trPr>
        <w:tc>
          <w:tcPr>
            <w:tcW w:w="1200" w:type="dxa"/>
            <w:vAlign w:val="bottom"/>
          </w:tcPr>
          <w:p>
            <w:pPr>
              <w:jc w:val="right"/>
              <w:ind w:right="299"/>
              <w:spacing w:after="0"/>
              <w:rPr>
                <w:sz w:val="20"/>
                <w:szCs w:val="20"/>
                <w:color w:val="auto"/>
              </w:rPr>
            </w:pPr>
            <w:r>
              <w:rPr>
                <w:rFonts w:ascii="Arial" w:cs="Arial" w:eastAsia="Arial" w:hAnsi="Arial"/>
                <w:sz w:val="16"/>
                <w:szCs w:val="16"/>
                <w:color w:val="auto"/>
                <w:w w:val="89"/>
              </w:rPr>
              <w:t>$96,792,000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$91,178,000</w:t>
            </w: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1200" w:type="dxa"/>
            <w:vAlign w:val="bottom"/>
          </w:tcPr>
          <w:p>
            <w:pPr>
              <w:jc w:val="right"/>
              <w:ind w:right="299"/>
              <w:spacing w:after="0"/>
              <w:rPr>
                <w:sz w:val="20"/>
                <w:szCs w:val="20"/>
                <w:color w:val="auto"/>
              </w:rPr>
            </w:pPr>
            <w:r>
              <w:rPr>
                <w:rFonts w:ascii="Arial" w:cs="Arial" w:eastAsia="Arial" w:hAnsi="Arial"/>
                <w:sz w:val="16"/>
                <w:szCs w:val="16"/>
                <w:color w:val="auto"/>
                <w:w w:val="99"/>
              </w:rPr>
              <w:t>$8,589,000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$8,968,000</w:t>
            </w: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-689610</wp:posOffset>
            </wp:positionV>
            <wp:extent cx="8255"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600" w:space="720"/>
            <w:col w:w="2820" w:space="720"/>
            <w:col w:w="3380"/>
          </w:cols>
          <w:pgMar w:left="320" w:top="1274" w:right="339" w:bottom="1440" w:gutter="0" w:footer="0" w:header="0"/>
          <w:type w:val="continuous"/>
        </w:sectPr>
      </w:pP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Daniel S. Jaffee, President and Chief Executive Officer, stated, “We delivered another solid quarter of topline growth and set a record for second quarter consolidated net sales. This successful performance demonstrates our dedicated focus on two primary growth drivers of our business, mineral-based animal feed additives and lightweight cat litter. With the addition of new leadership, sales personnel and a renewed marketing strategy, we experienced a significant increase in demand for our animal health products. Our lightweight cat litter continued to gain traction with consumers as sales in this segment also increased in the second quarter compared to last year. While these and other areas of our product portfolio demonstrated strong revenue gains, we were met with several market challenges. Higher commodity prices as well as increased freight costs adversely impacted our gross margin. These headwinds, paired with ongoing COVID-19 impacts and increased investment spending in our animal health business, resulted in lower second quarter net income when compared to last year. We continue to be very focused on improving profitability by investing in strategic initiatives and cost saving capital projects that will have long term benefits for our company. The recent elevated freight and commodity costs necessitated the implementation of mid-fiscal year price increases.”</w:t>
      </w:r>
    </w:p>
    <w:p>
      <w:pPr>
        <w:sectPr>
          <w:pgSz w:w="11900" w:h="16838" w:orient="portrait"/>
          <w:cols w:equalWidth="0" w:num="1">
            <w:col w:w="11240"/>
          </w:cols>
          <w:pgMar w:left="320" w:top="1274" w:right="339" w:bottom="1440" w:gutter="0" w:footer="0" w:header="0"/>
          <w:type w:val="continuous"/>
        </w:sectPr>
      </w:pPr>
    </w:p>
    <w:bookmarkStart w:id="4" w:name="page5"/>
    <w:bookmarkEnd w:id="4"/>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Consolidated Results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Consolidated net sales for the second quarter of fiscal 2021 reached $74.5 million, reflecting a 5% increase over the prior year. This growth is primarily due to higher demand of our cat litter and animal health products. Our agricultural, bleaching clay, and co-packaging cat litter products also experienced increased sales in the second quarter compared to the prior year. Consolidated gross profit decreased 4%, as margins were reduced to 24% in the second quarter of fiscal 2021 from 27% in the same period last year. This decline can be attributed to an 8% increase in cost of goods sold per manufactured ton, driven by higher freight, natural gas, packaging, and non-fuel manufacturing costs. Domestic trucking supply constraints resulted in significant increases in transportation costs. In addition, natural gas, which is used to operate our kilns, increased in the second quarter over the prior year. Higher packaging costs due to mix and increased resin pricing also contributed to the reduction in margin. Total selling, general and administrative (“SG&amp;A”) expenses for the second quarter were $843,000 higher than the prior year, or a 6% increase. The second quarter of the prior fiscal year included a curtailment gain of $1.3 million related to the freeze of the Company’s Supplemental Executive Retirement Plan, which has since been terminated. Other income, net of interest expense, was $913,000 in the second quarter. This included an approximate $800,000 gain upon the annual actuarial valuation of our pension plan. Net income attributed to Oil-Dri was $4.3 million in the second quarter which represents an 11% decrease from the prior year.</w:t>
      </w:r>
    </w:p>
    <w:p>
      <w:pPr>
        <w:spacing w:after="0" w:line="173" w:lineRule="exact"/>
        <w:rPr>
          <w:sz w:val="20"/>
          <w:szCs w:val="20"/>
          <w:color w:val="auto"/>
        </w:rPr>
      </w:pPr>
    </w:p>
    <w:p>
      <w:pPr>
        <w:ind w:right="240"/>
        <w:spacing w:after="0" w:line="231" w:lineRule="auto"/>
        <w:rPr>
          <w:sz w:val="20"/>
          <w:szCs w:val="20"/>
          <w:color w:val="auto"/>
        </w:rPr>
      </w:pPr>
      <w:r>
        <w:rPr>
          <w:rFonts w:ascii="Arial" w:cs="Arial" w:eastAsia="Arial" w:hAnsi="Arial"/>
          <w:sz w:val="22"/>
          <w:szCs w:val="22"/>
          <w:color w:val="auto"/>
        </w:rPr>
        <w:t>With cash and cash equivalents of $31 million and approximately $10 million of debt on our balance sheet, we are in a very strong liquidity position. During the second quarter of fiscal year 2021, we repurchased 33,594 shares of common stock, with a total value of $1.2 million.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Products Group Review</w:t>
      </w:r>
    </w:p>
    <w:p>
      <w:pPr>
        <w:spacing w:after="0" w:line="14"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The Business to Business (“B2B”) Products Group’s second quarter revenues climbed 7% over the prior year to $26.3 million as a result of sales increases for all of our products within this operating segment. Higher demand of animal health and agricultural products fueled the majority of this growth. Sales of animal feed additives increased 20% in the second quarter versus the prior year, due to enhanced distribution of Varium, a natural alternative to antibiotic growth promoters for poultry. This was an all-time high for second quarter net sales for Amlan International, our animal health business. Revenues within China increased by 140%, while Latin America and Mexico also experienced strong growth. Agricultural product sales rose 10% in the second quarter compared to last year, mainly due to product mix and increased sales to existing customers. Revenues for our fluids purification products increased by 3% in the second quarter versus last year, driven by higher demand within Latin America, Europe and</w:t>
      </w:r>
    </w:p>
    <w:p>
      <w:pPr>
        <w:sectPr>
          <w:pgSz w:w="11900" w:h="16838" w:orient="portrait"/>
          <w:cols w:equalWidth="0" w:num="1">
            <w:col w:w="11240"/>
          </w:cols>
          <w:pgMar w:left="320" w:top="1440" w:right="339" w:bottom="1440" w:gutter="0" w:footer="0" w:header="0"/>
        </w:sectPr>
      </w:pPr>
    </w:p>
    <w:bookmarkStart w:id="5" w:name="page6"/>
    <w:bookmarkEnd w:id="5"/>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21"/>
          <w:szCs w:val="21"/>
          <w:color w:val="auto"/>
        </w:rPr>
        <w:t>Africa. These gains were partially offset by revenue declines in North America resulting from favorable crop conditions which decreased the need for our bleaching clay products. In addition, COVID-19 continues to impact this business as many edible oil manufacturing plants have reduced production. The pandemic has also negatively affected sales of our Ultra-Clear products used for jet fuel processing, as fewer people are traveling by air. However, the B2B Products Group also benefited from a 5% increase in sales within our co-packaging cat litter business. This continued growth can be at least partially attributed to increased pet ownership since the onset of the pandemic.</w:t>
      </w:r>
    </w:p>
    <w:p>
      <w:pPr>
        <w:spacing w:after="0" w:line="201" w:lineRule="exact"/>
        <w:rPr>
          <w:sz w:val="20"/>
          <w:szCs w:val="20"/>
          <w:color w:val="auto"/>
        </w:rPr>
      </w:pPr>
    </w:p>
    <w:p>
      <w:pPr>
        <w:ind w:right="80"/>
        <w:spacing w:after="0" w:line="226" w:lineRule="auto"/>
        <w:rPr>
          <w:sz w:val="20"/>
          <w:szCs w:val="20"/>
          <w:color w:val="auto"/>
        </w:rPr>
      </w:pPr>
      <w:r>
        <w:rPr>
          <w:rFonts w:ascii="Arial" w:cs="Arial" w:eastAsia="Arial" w:hAnsi="Arial"/>
          <w:sz w:val="22"/>
          <w:szCs w:val="22"/>
          <w:color w:val="auto"/>
        </w:rPr>
        <w:t>Operating income in the B2B Products Group was $7.7 million in the second quarter, a 1% decrease from the prior year. Improved sales were offset by increases in freight, natural gas, packaging and non-fuel manufacturing costs along with a 26% increase in SG&amp;A expenses. Elevated SG&amp;A costs represent a strategic investment in our animal health business. These expenses reflect new marketing initiatives and compensation related to the hiring of new leadership and sales personnel who are essential to our growth plan.</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Retail and Wholesale (“R&amp;W”) Products Group’s second quarter revenues reached $48.2 million, a 4% gain over the same period last year. We set a record for the highest second quarter net sales for total domestic cat litter, which demonstrates a 6% increase over the prior year. Once again, we exceeded category growth of 2.4% for the 12-week period ended January 23, 2021, according to third-party market research data for retail sales</w:t>
      </w:r>
      <w:r>
        <w:rPr>
          <w:rFonts w:ascii="Arial" w:cs="Arial" w:eastAsia="Arial" w:hAnsi="Arial"/>
          <w:sz w:val="11"/>
          <w:szCs w:val="11"/>
          <w:color w:val="auto"/>
        </w:rPr>
        <w:t>1</w:t>
      </w:r>
      <w:r>
        <w:rPr>
          <w:rFonts w:ascii="Arial" w:cs="Arial" w:eastAsia="Arial" w:hAnsi="Arial"/>
          <w:sz w:val="20"/>
          <w:szCs w:val="20"/>
          <w:color w:val="auto"/>
        </w:rPr>
        <w:t>. Demand for our branded and private label lightweight litter continued to be very strong and is reflected in the past five consecutive quarters of revenue improvement over prior year periods. E-commerce proved to be an area of continued success, as we experienced double-digit sales increases for the second quarter of fiscal 2021 when compared to the second quarter of fiscal 2020. Cat litter revenue from our Canadian subsidiary grew significantly in the second quarter versus the prior year due to higher sales of our private label lightweight litter to our largest customer and distribution expansion via a new significant national retail customer. Revenues from the industrial and sports products business decreased by 10%, compared to the second quarter of fiscal 2020, primarily due to COVID-19’s negative impact on our sports business. Many sports fields remained closed and a number of sports customers still had inventory on hand from the previous season.</w:t>
      </w:r>
    </w:p>
    <w:p>
      <w:pPr>
        <w:spacing w:after="0" w:line="203" w:lineRule="exact"/>
        <w:rPr>
          <w:sz w:val="20"/>
          <w:szCs w:val="20"/>
          <w:color w:val="auto"/>
        </w:rPr>
      </w:pPr>
    </w:p>
    <w:p>
      <w:pPr>
        <w:ind w:right="180"/>
        <w:spacing w:after="0" w:line="237" w:lineRule="auto"/>
        <w:rPr>
          <w:sz w:val="20"/>
          <w:szCs w:val="20"/>
          <w:color w:val="auto"/>
        </w:rPr>
      </w:pPr>
      <w:r>
        <w:rPr>
          <w:rFonts w:ascii="Arial" w:cs="Arial" w:eastAsia="Arial" w:hAnsi="Arial"/>
          <w:sz w:val="21"/>
          <w:szCs w:val="21"/>
          <w:color w:val="auto"/>
        </w:rPr>
        <w:t>Operating income for the R&amp;W Products Group was $4.1 million in the second quarter, a 27% decrease from the prior year. Higher sales were offset by significant increases in freight, natural gas, packaging and non-fuel manufacturing costs. Higher advertising spending due to a shift in timing of our programming led to a 15% year-over-year increase of SG&amp;A in the quarter. Our advertising strategy remains focused on a digital media campaign, and we expect total advertising expenses in fiscal year 2021 to be comparable to fiscal year 2020 spending levels.</w:t>
      </w:r>
    </w:p>
    <w:p>
      <w:pPr>
        <w:sectPr>
          <w:pgSz w:w="11900" w:h="16838" w:orient="portrait"/>
          <w:cols w:equalWidth="0" w:num="1">
            <w:col w:w="11160"/>
          </w:cols>
          <w:pgMar w:left="320" w:top="1440" w:right="4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2"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The Company will host its second quarter of fiscal 2021 earnings teleconference on Friday, March 12, 2021 at 10:00 a.m. Central Time. Participation details are available on the company’s website’</w:t>
      </w:r>
      <w:r>
        <w:rPr>
          <w:rFonts w:ascii="Arial" w:cs="Arial" w:eastAsia="Arial" w:hAnsi="Arial"/>
          <w:sz w:val="17"/>
          <w:szCs w:val="17"/>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38" w:lineRule="exact"/>
        <w:rPr>
          <w:sz w:val="20"/>
          <w:szCs w:val="20"/>
          <w:color w:val="auto"/>
        </w:rPr>
      </w:pPr>
    </w:p>
    <w:p>
      <w:pPr>
        <w:ind w:right="120"/>
        <w:spacing w:after="0" w:line="229"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Based in part on data reported by NielsenIQ through its Scantrack Service for the Cat Litter Category in the 12-week period ended January 23, 2021, for the U.S. xAOC+Pet Supers market. Copyright © 2021 Nielsen.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w:t>
      </w:r>
    </w:p>
    <w:p>
      <w:pPr>
        <w:spacing w:after="0" w:line="61"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i w:val="1"/>
          <w:iCs w:val="1"/>
          <w:color w:val="auto"/>
        </w:rPr>
        <w:t>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“Varium”, “Amlan” and “Ultra-Clear” are registered trademarks of Oil-Dri Corporation of America.</w:t>
      </w:r>
    </w:p>
    <w:p>
      <w:pPr>
        <w:spacing w:after="0" w:line="248"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04" w:lineRule="exact"/>
        <w:rPr>
          <w:sz w:val="20"/>
          <w:szCs w:val="20"/>
          <w:color w:val="auto"/>
        </w:rPr>
      </w:pPr>
    </w:p>
    <w:p>
      <w:pPr>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Category: Earnings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Manager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6"/>
            <w:vMerge w:val="restart"/>
          </w:tcPr>
          <w:p>
            <w:pPr>
              <w:ind w:left="200"/>
              <w:spacing w:after="0"/>
              <w:rPr>
                <w:sz w:val="20"/>
                <w:szCs w:val="20"/>
                <w:color w:val="auto"/>
              </w:rPr>
            </w:pPr>
            <w:r>
              <w:rPr>
                <w:rFonts w:ascii="Arial" w:cs="Arial" w:eastAsia="Arial" w:hAnsi="Arial"/>
                <w:sz w:val="18"/>
                <w:szCs w:val="18"/>
                <w:b w:val="1"/>
                <w:bCs w:val="1"/>
                <w:color w:val="auto"/>
                <w:w w:val="94"/>
              </w:rPr>
              <w:t>Second Quarter Ended January 31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8"/>
              <w:spacing w:after="0"/>
              <w:rPr>
                <w:sz w:val="20"/>
                <w:szCs w:val="20"/>
                <w:color w:val="auto"/>
              </w:rPr>
            </w:pPr>
            <w:r>
              <w:rPr>
                <w:rFonts w:ascii="Arial" w:cs="Arial" w:eastAsia="Arial" w:hAnsi="Arial"/>
                <w:sz w:val="18"/>
                <w:szCs w:val="18"/>
                <w:b w:val="1"/>
                <w:bCs w:val="1"/>
                <w:color w:val="auto"/>
                <w:w w:val="99"/>
              </w:rPr>
              <w:t>% of Sales</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74,500</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71,005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(56,328)</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18,172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(13,928)</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5,157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4,288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4,830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(1):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5,150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right="220" w:firstLine="6"/>
        <w:spacing w:after="0" w:line="224" w:lineRule="auto"/>
        <w:tabs>
          <w:tab w:leader="none" w:pos="204"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Form 10-Q for three months ended January 31,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ectPr>
          <w:pgSz w:w="11900" w:h="16838" w:orient="portrait"/>
          <w:cols w:equalWidth="0" w:num="1">
            <w:col w:w="11180"/>
          </w:cols>
          <w:pgMar w:left="340" w:top="1440" w:right="3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w w:val="93"/>
              </w:rPr>
              <w:t>Six Months Ended January 31,</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(unaudited)</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 of Sales</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150,597</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142,127</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(112,121)</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(103,234)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38,476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38,893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(29,055)</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9,421</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9,994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9,835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8,237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8,209</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8,283</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8,366</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(1):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5,164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5,251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8" w:right="20" w:firstLine="8"/>
        <w:spacing w:after="0" w:line="265" w:lineRule="auto"/>
        <w:tabs>
          <w:tab w:leader="none" w:pos="19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Our Form 10-Q for </w:t>
      </w:r>
      <w:r>
        <w:rPr>
          <w:rFonts w:ascii="Arial" w:cs="Arial" w:eastAsia="Arial" w:hAnsi="Arial"/>
          <w:sz w:val="17"/>
          <w:szCs w:val="17"/>
          <w:color w:val="auto"/>
        </w:rPr>
        <w:t>six</w:t>
      </w:r>
      <w:r>
        <w:rPr>
          <w:rFonts w:ascii="Arial" w:cs="Arial" w:eastAsia="Arial" w:hAnsi="Arial"/>
          <w:sz w:val="14"/>
          <w:szCs w:val="14"/>
          <w:i w:val="1"/>
          <w:iCs w:val="1"/>
          <w:color w:val="auto"/>
        </w:rPr>
        <w:t xml:space="preserve"> months ended January 31,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ectPr>
          <w:pgSz w:w="11900" w:h="16838" w:orient="portrait"/>
          <w:cols w:equalWidth="0" w:num="1">
            <w:col w:w="11192"/>
          </w:cols>
          <w:pgMar w:left="328" w:top="1440" w:right="3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January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30,708</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21,569</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38,896</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23,655</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102,787</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86,181</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91,653</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89,831</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33,757</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33,067</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228,197</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209,079</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7,276</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1,799</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24,854</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19,107</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34,929</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33,505</w:t>
            </w:r>
          </w:p>
        </w:tc>
        <w:tc>
          <w:tcPr>
            <w:tcW w:w="0" w:type="dxa"/>
            <w:vAlign w:val="bottom"/>
          </w:tcPr>
          <w:p>
            <w:pPr>
              <w:spacing w:after="0"/>
              <w:rPr>
                <w:sz w:val="1"/>
                <w:szCs w:val="1"/>
                <w:color w:val="auto"/>
              </w:rPr>
            </w:pPr>
          </w:p>
        </w:tc>
      </w:tr>
      <w:tr>
        <w:trPr>
          <w:trHeight w:val="205"/>
        </w:trPr>
        <w:tc>
          <w:tcPr>
            <w:tcW w:w="4120" w:type="dxa"/>
            <w:vAlign w:val="bottom"/>
          </w:tcPr>
          <w:p>
            <w:pPr>
              <w:spacing w:after="0" w:line="205" w:lineRule="exact"/>
              <w:rPr>
                <w:sz w:val="20"/>
                <w:szCs w:val="20"/>
                <w:color w:val="auto"/>
              </w:rPr>
            </w:pPr>
            <w:r>
              <w:rPr>
                <w:rFonts w:ascii="Arial" w:cs="Arial" w:eastAsia="Arial" w:hAnsi="Arial"/>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8,864</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31,963</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28,645</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40,827</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152,441</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146,929</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228,197</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209,079</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21.53</w:t>
            </w:r>
          </w:p>
        </w:tc>
        <w:tc>
          <w:tcPr>
            <w:tcW w:w="4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481"/>
        </w:trPr>
        <w:tc>
          <w:tcPr>
            <w:tcW w:w="41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Second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4,030</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7,598</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Second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3,561</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7,065</w:t>
            </w:r>
          </w:p>
        </w:tc>
        <w:tc>
          <w:tcPr>
            <w:tcW w:w="4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(unaudited)</w:t>
            </w:r>
          </w:p>
        </w:tc>
        <w:tc>
          <w:tcPr>
            <w:tcW w:w="3380" w:type="dxa"/>
            <w:vAlign w:val="bottom"/>
            <w:gridSpan w:val="4"/>
            <w:vMerge w:val="restart"/>
          </w:tcPr>
          <w:p>
            <w:pPr>
              <w:jc w:val="right"/>
              <w:ind w:right="270"/>
              <w:spacing w:after="0"/>
              <w:rPr>
                <w:sz w:val="20"/>
                <w:szCs w:val="20"/>
                <w:color w:val="auto"/>
              </w:rPr>
            </w:pPr>
            <w:r>
              <w:rPr>
                <w:rFonts w:ascii="Arial" w:cs="Arial" w:eastAsia="Arial" w:hAnsi="Arial"/>
                <w:sz w:val="18"/>
                <w:szCs w:val="18"/>
                <w:b w:val="1"/>
                <w:bCs w:val="1"/>
                <w:color w:val="auto"/>
              </w:rPr>
              <w:t>For the Six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60" w:type="dxa"/>
            <w:vAlign w:val="bottom"/>
          </w:tcPr>
          <w:p>
            <w:pPr>
              <w:spacing w:after="0"/>
              <w:rPr>
                <w:sz w:val="19"/>
                <w:szCs w:val="19"/>
                <w:color w:val="auto"/>
              </w:rPr>
            </w:pPr>
          </w:p>
        </w:tc>
        <w:tc>
          <w:tcPr>
            <w:tcW w:w="3380" w:type="dxa"/>
            <w:vAlign w:val="bottom"/>
            <w:gridSpan w:val="4"/>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January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8,237</w:t>
            </w:r>
          </w:p>
        </w:tc>
        <w:tc>
          <w:tcPr>
            <w:tcW w:w="4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7,065</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(3,798)</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Inventories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412</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Increase in Accounts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(3,901)</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(5,201)</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Pension and Postretirement Benefits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Provided by Operating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14,270</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(7,598)</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Investing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Principal Payments on Notes Payable</w:t>
            </w:r>
          </w:p>
        </w:tc>
        <w:tc>
          <w:tcPr>
            <w:tcW w:w="1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Purchase of Treasury Stock</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Financing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6"/>
        </w:trPr>
        <w:tc>
          <w:tcPr>
            <w:tcW w:w="7160" w:type="dxa"/>
            <w:vAlign w:val="bottom"/>
            <w:vMerge w:val="restart"/>
          </w:tcPr>
          <w:p>
            <w:pPr>
              <w:spacing w:after="0"/>
              <w:rPr>
                <w:sz w:val="20"/>
                <w:szCs w:val="20"/>
                <w:color w:val="auto"/>
              </w:rPr>
            </w:pPr>
            <w:r>
              <w:rPr>
                <w:rFonts w:ascii="Arial" w:cs="Arial" w:eastAsia="Arial" w:hAnsi="Arial"/>
                <w:sz w:val="20"/>
                <w:szCs w:val="20"/>
                <w:b w:val="1"/>
                <w:bCs w:val="1"/>
                <w:color w:val="auto"/>
              </w:rPr>
              <w:t>Net Decrease in Cash and Cash Equivalents</w:t>
            </w:r>
          </w:p>
        </w:tc>
        <w:tc>
          <w:tcPr>
            <w:tcW w:w="1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1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(10,182)</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30,708</w:t>
            </w:r>
          </w:p>
        </w:tc>
        <w:tc>
          <w:tcPr>
            <w:tcW w:w="4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2021-03-11T15:55:11Z</dcterms:created>
  <dcterms:modified xsi:type="dcterms:W3CDTF">2021-03-11T15:55:11Z</dcterms:modified>
</cp:coreProperties>
</file>