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98"/>
              </w:rPr>
              <w:t>December 8, 2020</w:t>
            </w:r>
          </w:p>
        </w:tc>
        <w:tc>
          <w:tcPr>
            <w:tcW w:w="0" w:type="dxa"/>
            <w:vAlign w:val="bottom"/>
          </w:tcPr>
          <w:p>
            <w:pPr>
              <w:spacing w:after="0"/>
              <w:rPr>
                <w:sz w:val="1"/>
                <w:szCs w:val="1"/>
                <w:color w:val="auto"/>
              </w:rPr>
            </w:pPr>
          </w:p>
        </w:tc>
      </w:tr>
      <w:tr>
        <w:trPr>
          <w:trHeight w:val="508"/>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Delaware </w:t>
            </w:r>
            <w:r>
              <w:rPr>
                <w:rFonts w:ascii="Times New Roman" w:cs="Times New Roman" w:eastAsia="Times New Roman" w:hAnsi="Times New Roman"/>
                <w:sz w:val="21"/>
                <w:szCs w:val="21"/>
                <w:b w:val="1"/>
                <w:bCs w:val="1"/>
                <w:color w:val="auto"/>
              </w:rPr>
              <w:t>001-12622</w:t>
            </w:r>
            <w:r>
              <w:rPr>
                <w:rFonts w:ascii="Times New Roman" w:cs="Times New Roman" w:eastAsia="Times New Roman" w:hAnsi="Times New Roman"/>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3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3"/>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 of each class</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Symbol(s)</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Common Stock, par value $0.10 per share</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ODC</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5.05</w:t>
      </w:r>
      <w:r>
        <w:rPr>
          <w:sz w:val="20"/>
          <w:szCs w:val="20"/>
          <w:color w:val="auto"/>
        </w:rPr>
        <w:tab/>
      </w:r>
      <w:r>
        <w:rPr>
          <w:rFonts w:ascii="Times New Roman" w:cs="Times New Roman" w:eastAsia="Times New Roman" w:hAnsi="Times New Roman"/>
          <w:sz w:val="17"/>
          <w:szCs w:val="17"/>
          <w:b w:val="1"/>
          <w:bCs w:val="1"/>
          <w:color w:val="auto"/>
        </w:rPr>
        <w:t>Amendments to the Registrant's Code of Ethics, or Waiver of a Provision of the Code of Ethics.</w:t>
      </w:r>
    </w:p>
    <w:p>
      <w:pPr>
        <w:spacing w:after="0" w:line="36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December 8, 2020, the Board of Directors of the Company approved an amended and restated Code of Ethics and Business Conduct (as amended, the “Code of Ethics”). The Code of Ethics applies to all directors, officers, and employees of the Company. The amendments include updates reflecting the Company’s current policies regarding antidiscrimination (which prohibit discrimination based on sexual orientation and gender identity, in addition to other statuses) and conflicts of interest. The revisions also include updated and expanded methods of reporting potential violation of the Code of Ethics. The Code of Ethics does not materially change the responsibilities and obligations that applied previously, and did not relate to or result in any waiver, explicit or implicit, of any provision of the previous Code of Ethics.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Code of Ethics is available on the Corporate Governance section of the Company's website at www.oildri.com. The contents of the Company's website are not incorporated by reference in this report or made a part hereof for any purpose.</w:t>
      </w:r>
    </w:p>
    <w:p>
      <w:pPr>
        <w:spacing w:after="0" w:line="239"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held its annual meeting of stockholders on December 8, 2020. See the Company’s 2020 Proxy Statement for more information on the proposals presented at the meeting, the relevant portions of which are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stockholders elected all of the nominees for director recommended by the Company’s Board of Directors (the “Board”). The voting results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62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Ellen-Blair Chube</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22,889,135</w:t>
            </w:r>
          </w:p>
        </w:tc>
        <w:tc>
          <w:tcPr>
            <w:tcW w:w="8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1,014,747</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903,513</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M. Hindsley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21,255,599</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2,648,283</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903,513</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22,369,361</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1,534,521</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903,513</w:t>
            </w: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A. Nemeroff</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21,641,998</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2,261,884</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903,513</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C. Roeth</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22,677,734</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1,226,148</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903,513</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Allan H. Selig</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22,488,812</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1,415,070</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903,513</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E. Suckow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22,896,316</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1,007,566</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903,513</w:t>
            </w: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Lawrence E. Washow</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22,912,247</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991,635</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903,513</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AUDITOR</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Grant Thornton LLP as independent auditor for the fiscal year ending July 31, 2021. The voting results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24,718,048</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89,012</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1317"/>
        </w:trPr>
        <w:tc>
          <w:tcPr>
            <w:tcW w:w="548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ind w:right="1000"/>
        <w:spacing w:after="0" w:line="263" w:lineRule="auto"/>
        <w:rPr>
          <w:sz w:val="20"/>
          <w:szCs w:val="20"/>
          <w:color w:val="auto"/>
        </w:rPr>
      </w:pPr>
      <w:r>
        <w:rPr>
          <w:rFonts w:ascii="Times New Roman" w:cs="Times New Roman" w:eastAsia="Times New Roman" w:hAnsi="Times New Roman"/>
          <w:sz w:val="18"/>
          <w:szCs w:val="18"/>
          <w:b w:val="1"/>
          <w:bCs w:val="1"/>
          <w:color w:val="auto"/>
        </w:rPr>
        <w:t>PROPOSAL 3: APPROVAL, ON AN ADVISORY BASIS, OF THE COMPENSATION OF THE NAMED EXECUTIVE OFFICERS DISCLOSED IN THE COMPANY’S 2020 PROXY STATEMENT</w:t>
      </w:r>
    </w:p>
    <w:p>
      <w:pPr>
        <w:spacing w:after="0" w:line="1" w:lineRule="exact"/>
        <w:rPr>
          <w:sz w:val="20"/>
          <w:szCs w:val="20"/>
          <w:color w:val="auto"/>
        </w:rPr>
      </w:pPr>
    </w:p>
    <w:p>
      <w:pPr>
        <w:ind w:right="400" w:firstLine="648"/>
        <w:spacing w:after="0" w:line="260" w:lineRule="auto"/>
        <w:rPr>
          <w:sz w:val="20"/>
          <w:szCs w:val="20"/>
          <w:color w:val="auto"/>
        </w:rPr>
      </w:pPr>
      <w:r>
        <w:rPr>
          <w:rFonts w:ascii="Times New Roman" w:cs="Times New Roman" w:eastAsia="Times New Roman" w:hAnsi="Times New Roman"/>
          <w:sz w:val="18"/>
          <w:szCs w:val="18"/>
          <w:color w:val="auto"/>
        </w:rPr>
        <w:t>The stockholders, in an advisory vote, approved the compensation of the named executive officers as disclosed in the Company’s 2020 Proxy Statement. The voting results were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21,374,218</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2,520,212</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903,512</w:t>
            </w:r>
          </w:p>
        </w:tc>
      </w:tr>
    </w:tbl>
    <w:p>
      <w:pPr>
        <w:spacing w:after="0" w:line="229" w:lineRule="exact"/>
        <w:rPr>
          <w:sz w:val="20"/>
          <w:szCs w:val="20"/>
          <w:color w:val="auto"/>
        </w:rPr>
      </w:pPr>
    </w:p>
    <w:p>
      <w:pPr>
        <w:ind w:left="240"/>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its regular meeting on December 8, 2020, the Board declared quarterly cash dividends of $0.26 per share of the Company’s Common Stock and $0.195 per share of the Company’s Class B Stock. The dividends will be payable on February 26, 2021, to stockholders of record at the close of business on February 12, 2021. A copy of the Company’s press release announcing these matters is attached as Exhibit 99.1 and the information contained therein is incorporated herein by reference.</w:t>
      </w:r>
    </w:p>
    <w:p>
      <w:pPr>
        <w:spacing w:after="0" w:line="200" w:lineRule="exact"/>
        <w:rPr>
          <w:sz w:val="20"/>
          <w:szCs w:val="20"/>
          <w:color w:val="auto"/>
        </w:rPr>
      </w:pPr>
    </w:p>
    <w:p>
      <w:pPr>
        <w:spacing w:after="0" w:line="259" w:lineRule="exact"/>
        <w:rPr>
          <w:sz w:val="20"/>
          <w:szCs w:val="20"/>
          <w:color w:val="auto"/>
        </w:rPr>
      </w:pPr>
    </w:p>
    <w:p>
      <w:pPr>
        <w:ind w:left="240"/>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962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360" w:type="dxa"/>
            <w:vAlign w:val="bottom"/>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964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Press Release of the Company dated December 9, 2020</w:t>
              </w:r>
            </w:hyperlink>
          </w:p>
        </w:tc>
        <w:tc>
          <w:tcPr>
            <w:tcW w:w="0" w:type="dxa"/>
            <w:vAlign w:val="bottom"/>
          </w:tcPr>
          <w:p>
            <w:pPr>
              <w:spacing w:after="0"/>
              <w:rPr>
                <w:sz w:val="1"/>
                <w:szCs w:val="1"/>
                <w:color w:val="auto"/>
              </w:rPr>
            </w:pPr>
          </w:p>
        </w:tc>
      </w:tr>
      <w:tr>
        <w:trPr>
          <w:trHeight w:val="1195"/>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Laura G. Scheland</w:t>
            </w:r>
          </w:p>
        </w:tc>
      </w:tr>
      <w:tr>
        <w:trPr>
          <w:trHeight w:val="218"/>
        </w:trPr>
        <w:tc>
          <w:tcPr>
            <w:tcW w:w="5900" w:type="dxa"/>
            <w:vAlign w:val="bottom"/>
          </w:tcPr>
          <w:p>
            <w:pPr>
              <w:spacing w:after="0"/>
              <w:rPr>
                <w:sz w:val="18"/>
                <w:szCs w:val="18"/>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Laura G. Scheland</w:t>
            </w:r>
          </w:p>
        </w:tc>
      </w:tr>
      <w:tr>
        <w:trPr>
          <w:trHeight w:val="234"/>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ectPr>
          <w:pgSz w:w="11900" w:h="16838" w:orient="portrait"/>
          <w:cols w:equalWidth="0" w:num="1">
            <w:col w:w="11220"/>
          </w:cols>
          <w:pgMar w:left="32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Board of Directors Declares Quarterly Dividends</w:t>
      </w:r>
    </w:p>
    <w:p>
      <w:pPr>
        <w:spacing w:after="0" w:line="200" w:lineRule="exact"/>
        <w:rPr>
          <w:sz w:val="20"/>
          <w:szCs w:val="20"/>
          <w:color w:val="auto"/>
        </w:rPr>
      </w:pPr>
    </w:p>
    <w:p>
      <w:pPr>
        <w:spacing w:after="0" w:line="2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CHICAGO—(December 9, 2020)—The Board of Directors of Oil-Dri Corporation of America (NYSE: ODC) yesterday declared quarterly cash dividends of $0.26 per share of the Company’s Common Stock and $0.195 per share of the Company’s Class B Stock.</w:t>
      </w:r>
    </w:p>
    <w:p>
      <w:pPr>
        <w:spacing w:after="0" w:line="20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dividends declared will be payable on February 26, 2021 to stockholders of record at the close of business on February 12, 2021. The Company has paid cash dividends continuously since 1974 and has increased dividends annually for seventeen consecutive years.</w:t>
      </w:r>
    </w:p>
    <w:p>
      <w:pPr>
        <w:spacing w:after="0" w:line="20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Company expects to release earnings for its second quarter of fiscal 2021 after the close of the U.S. stock market on Thursday, March 11, 2021 and to host an Investor Teleconference on Friday, March 12, 2021. Teleconference participation details will be communicated via web alert and posted on the Events page of the Company’s website approximately one week prior to the call.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75 years of experience, the Company continues to fulfill its mission to Create Value from Sorbent Minerals. To learn more about the Company, visit </w:t>
      </w:r>
      <w:r>
        <w:rPr>
          <w:rFonts w:ascii="Times New Roman" w:cs="Times New Roman" w:eastAsia="Times New Roman" w:hAnsi="Times New Roman"/>
          <w:sz w:val="18"/>
          <w:szCs w:val="18"/>
          <w:i w:val="1"/>
          <w:iCs w:val="1"/>
          <w:u w:val="single" w:color="auto"/>
          <w:color w:val="0000FF"/>
        </w:rPr>
        <w:t>oildri.com</w:t>
      </w:r>
      <w:r>
        <w:rPr>
          <w:rFonts w:ascii="Times New Roman" w:cs="Times New Roman" w:eastAsia="Times New Roman" w:hAnsi="Times New Roman"/>
          <w:sz w:val="18"/>
          <w:szCs w:val="18"/>
          <w:i w:val="1"/>
          <w:iCs w:val="1"/>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Category: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2D69"/>
        </w:rPr>
        <w:t>Leslie A. Garber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(312) 321-1515</w:t>
      </w:r>
    </w:p>
    <w:sectPr>
      <w:pgSz w:w="11900" w:h="16838" w:orient="portrait"/>
      <w:cols w:equalWidth="0" w:num="1">
        <w:col w:w="11240"/>
      </w:cols>
      <w:pgMar w:left="320" w:top="9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2020-12-09T15:48:55Z</dcterms:created>
  <dcterms:modified xsi:type="dcterms:W3CDTF">2020-12-09T15:48:55Z</dcterms:modified>
</cp:coreProperties>
</file>